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9B7" w:rsidRDefault="00F469B7" w:rsidP="00F469B7">
      <w:pPr>
        <w:jc w:val="center"/>
        <w:rPr>
          <w:rFonts w:eastAsia="黑体"/>
          <w:b/>
          <w:sz w:val="48"/>
          <w:szCs w:val="48"/>
        </w:rPr>
      </w:pPr>
      <w:r w:rsidRPr="0003298F">
        <w:rPr>
          <w:rFonts w:eastAsia="黑体"/>
          <w:b/>
          <w:sz w:val="48"/>
          <w:szCs w:val="48"/>
        </w:rPr>
        <w:t>国家标准</w:t>
      </w:r>
    </w:p>
    <w:p w:rsidR="00F469B7" w:rsidRPr="0003298F" w:rsidRDefault="00F469B7" w:rsidP="00F469B7">
      <w:pPr>
        <w:jc w:val="center"/>
        <w:rPr>
          <w:rFonts w:eastAsia="黑体"/>
          <w:b/>
          <w:sz w:val="48"/>
          <w:szCs w:val="48"/>
        </w:rPr>
      </w:pPr>
    </w:p>
    <w:p w:rsidR="00F469B7" w:rsidRPr="0003298F" w:rsidRDefault="00F469B7" w:rsidP="00F469B7">
      <w:pPr>
        <w:jc w:val="center"/>
        <w:rPr>
          <w:rFonts w:eastAsia="黑体"/>
          <w:b/>
          <w:sz w:val="44"/>
          <w:szCs w:val="44"/>
        </w:rPr>
      </w:pPr>
      <w:r w:rsidRPr="00F469B7">
        <w:rPr>
          <w:rFonts w:ascii="黑体" w:eastAsia="黑体" w:hint="eastAsia"/>
          <w:b/>
          <w:sz w:val="44"/>
          <w:szCs w:val="44"/>
        </w:rPr>
        <w:t>工业企业温室气体排放核算和报告通则</w:t>
      </w:r>
    </w:p>
    <w:p w:rsidR="00F469B7" w:rsidRPr="0003298F" w:rsidRDefault="00F469B7" w:rsidP="00F469B7">
      <w:pPr>
        <w:jc w:val="center"/>
        <w:rPr>
          <w:b/>
          <w:sz w:val="36"/>
          <w:szCs w:val="36"/>
        </w:rPr>
      </w:pPr>
      <w:r w:rsidRPr="0003298F">
        <w:rPr>
          <w:rFonts w:hAnsi="宋体"/>
          <w:b/>
          <w:sz w:val="36"/>
          <w:szCs w:val="36"/>
        </w:rPr>
        <w:t>（</w:t>
      </w:r>
      <w:r>
        <w:rPr>
          <w:rFonts w:hAnsi="宋体" w:hint="eastAsia"/>
          <w:b/>
          <w:sz w:val="36"/>
          <w:szCs w:val="36"/>
        </w:rPr>
        <w:t>送审</w:t>
      </w:r>
      <w:r w:rsidRPr="0003298F">
        <w:rPr>
          <w:rFonts w:hAnsi="宋体"/>
          <w:b/>
          <w:sz w:val="36"/>
          <w:szCs w:val="36"/>
        </w:rPr>
        <w:t>稿）</w:t>
      </w:r>
    </w:p>
    <w:p w:rsidR="00F469B7" w:rsidRDefault="00F469B7" w:rsidP="00F469B7">
      <w:pPr>
        <w:jc w:val="center"/>
        <w:rPr>
          <w:rFonts w:eastAsia="华文隶书"/>
          <w:b/>
          <w:sz w:val="48"/>
        </w:rPr>
      </w:pPr>
    </w:p>
    <w:p w:rsidR="00F469B7" w:rsidRDefault="00F469B7" w:rsidP="00F469B7">
      <w:pPr>
        <w:jc w:val="center"/>
        <w:rPr>
          <w:rFonts w:eastAsia="华文隶书"/>
          <w:b/>
          <w:sz w:val="48"/>
        </w:rPr>
      </w:pPr>
    </w:p>
    <w:p w:rsidR="00F469B7" w:rsidRDefault="00F469B7" w:rsidP="00F469B7">
      <w:pPr>
        <w:jc w:val="center"/>
        <w:rPr>
          <w:rFonts w:eastAsia="华文隶书"/>
          <w:b/>
          <w:sz w:val="48"/>
        </w:rPr>
      </w:pPr>
    </w:p>
    <w:p w:rsidR="00F469B7" w:rsidRDefault="00F469B7" w:rsidP="00F469B7">
      <w:pPr>
        <w:jc w:val="center"/>
        <w:rPr>
          <w:rFonts w:eastAsia="华文隶书"/>
          <w:b/>
          <w:sz w:val="48"/>
        </w:rPr>
      </w:pPr>
    </w:p>
    <w:p w:rsidR="00F469B7" w:rsidRPr="0003298F" w:rsidRDefault="00F469B7" w:rsidP="00F469B7">
      <w:pPr>
        <w:jc w:val="center"/>
        <w:rPr>
          <w:rFonts w:eastAsia="华文隶书"/>
          <w:b/>
          <w:sz w:val="48"/>
        </w:rPr>
      </w:pPr>
    </w:p>
    <w:p w:rsidR="00F469B7" w:rsidRPr="0003298F" w:rsidRDefault="00F469B7" w:rsidP="00F469B7">
      <w:pPr>
        <w:jc w:val="center"/>
        <w:rPr>
          <w:rFonts w:eastAsia="华文隶书"/>
          <w:b/>
          <w:w w:val="150"/>
          <w:sz w:val="48"/>
        </w:rPr>
      </w:pPr>
      <w:r w:rsidRPr="0003298F">
        <w:rPr>
          <w:rFonts w:eastAsia="华文隶书"/>
          <w:b/>
          <w:w w:val="150"/>
          <w:sz w:val="48"/>
        </w:rPr>
        <w:t>编制说明</w:t>
      </w: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jc w:val="center"/>
        <w:rPr>
          <w:rFonts w:eastAsia="华文隶书"/>
          <w:b/>
          <w:bCs/>
          <w:sz w:val="36"/>
          <w:szCs w:val="36"/>
        </w:rPr>
      </w:pPr>
      <w:r w:rsidRPr="0003298F">
        <w:rPr>
          <w:rFonts w:eastAsia="华文隶书"/>
          <w:b/>
          <w:bCs/>
          <w:sz w:val="36"/>
          <w:szCs w:val="36"/>
        </w:rPr>
        <w:t>标准起草组</w:t>
      </w:r>
    </w:p>
    <w:p w:rsidR="00F469B7" w:rsidRPr="0003298F" w:rsidRDefault="00F469B7" w:rsidP="00F469B7">
      <w:pPr>
        <w:jc w:val="center"/>
        <w:rPr>
          <w:sz w:val="24"/>
        </w:rPr>
      </w:pPr>
      <w:r w:rsidRPr="0003298F">
        <w:rPr>
          <w:rFonts w:eastAsia="华文隶书"/>
          <w:b/>
          <w:bCs/>
          <w:sz w:val="36"/>
          <w:szCs w:val="36"/>
        </w:rPr>
        <w:t>二〇</w:t>
      </w:r>
      <w:r>
        <w:rPr>
          <w:rFonts w:eastAsia="华文隶书" w:hint="eastAsia"/>
          <w:b/>
          <w:bCs/>
          <w:sz w:val="36"/>
          <w:szCs w:val="36"/>
        </w:rPr>
        <w:t>一四</w:t>
      </w:r>
      <w:r w:rsidRPr="0003298F">
        <w:rPr>
          <w:rFonts w:eastAsia="华文隶书"/>
          <w:b/>
          <w:bCs/>
          <w:sz w:val="36"/>
          <w:szCs w:val="36"/>
        </w:rPr>
        <w:t>年</w:t>
      </w:r>
      <w:r>
        <w:rPr>
          <w:rFonts w:eastAsia="华文隶书" w:hint="eastAsia"/>
          <w:b/>
          <w:bCs/>
          <w:sz w:val="36"/>
          <w:szCs w:val="36"/>
        </w:rPr>
        <w:t>十二</w:t>
      </w:r>
      <w:r w:rsidRPr="0003298F">
        <w:rPr>
          <w:rFonts w:eastAsia="华文隶书"/>
          <w:b/>
          <w:bCs/>
          <w:sz w:val="36"/>
          <w:szCs w:val="36"/>
        </w:rPr>
        <w:t>月</w:t>
      </w:r>
    </w:p>
    <w:p w:rsidR="00F469B7" w:rsidRPr="0003298F" w:rsidRDefault="00F469B7" w:rsidP="00F469B7">
      <w:pPr>
        <w:spacing w:line="300" w:lineRule="auto"/>
      </w:pPr>
    </w:p>
    <w:p w:rsidR="00F469B7" w:rsidRPr="0003298F" w:rsidRDefault="00F469B7" w:rsidP="00F469B7">
      <w:pPr>
        <w:spacing w:line="360" w:lineRule="exact"/>
        <w:rPr>
          <w:sz w:val="24"/>
        </w:rPr>
        <w:sectPr w:rsidR="00F469B7" w:rsidRPr="0003298F" w:rsidSect="00280B6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pPr>
    </w:p>
    <w:p w:rsidR="00F469B7" w:rsidRPr="0003298F" w:rsidRDefault="00F469B7" w:rsidP="00F469B7">
      <w:pPr>
        <w:spacing w:line="360" w:lineRule="auto"/>
        <w:jc w:val="center"/>
        <w:rPr>
          <w:b/>
          <w:sz w:val="32"/>
          <w:szCs w:val="32"/>
        </w:rPr>
      </w:pPr>
      <w:r w:rsidRPr="0003298F">
        <w:rPr>
          <w:rFonts w:hAnsi="宋体"/>
          <w:b/>
          <w:sz w:val="32"/>
          <w:szCs w:val="32"/>
        </w:rPr>
        <w:lastRenderedPageBreak/>
        <w:t>国家标准</w:t>
      </w:r>
    </w:p>
    <w:p w:rsidR="00F469B7" w:rsidRPr="0003298F" w:rsidRDefault="00F469B7" w:rsidP="00F469B7">
      <w:pPr>
        <w:spacing w:line="360" w:lineRule="auto"/>
        <w:jc w:val="center"/>
        <w:rPr>
          <w:b/>
          <w:sz w:val="36"/>
          <w:szCs w:val="36"/>
        </w:rPr>
      </w:pPr>
      <w:r w:rsidRPr="00F469B7">
        <w:rPr>
          <w:rFonts w:hint="eastAsia"/>
          <w:b/>
          <w:sz w:val="36"/>
          <w:szCs w:val="36"/>
        </w:rPr>
        <w:t>工业企业温室气体排放核算和报告通则</w:t>
      </w:r>
    </w:p>
    <w:p w:rsidR="00F469B7" w:rsidRDefault="00F469B7" w:rsidP="00F469B7">
      <w:pPr>
        <w:spacing w:line="360" w:lineRule="auto"/>
        <w:jc w:val="center"/>
        <w:rPr>
          <w:b/>
          <w:sz w:val="32"/>
          <w:szCs w:val="32"/>
        </w:rPr>
      </w:pPr>
      <w:r>
        <w:rPr>
          <w:rFonts w:hint="eastAsia"/>
          <w:b/>
          <w:sz w:val="32"/>
          <w:szCs w:val="32"/>
        </w:rPr>
        <w:t>（</w:t>
      </w:r>
      <w:r>
        <w:rPr>
          <w:rFonts w:hAnsi="宋体" w:hint="eastAsia"/>
          <w:b/>
          <w:sz w:val="32"/>
          <w:szCs w:val="32"/>
        </w:rPr>
        <w:t>送审</w:t>
      </w:r>
      <w:r w:rsidRPr="0003298F">
        <w:rPr>
          <w:rFonts w:hAnsi="宋体"/>
          <w:b/>
          <w:sz w:val="32"/>
          <w:szCs w:val="32"/>
        </w:rPr>
        <w:t>稿</w:t>
      </w:r>
      <w:r>
        <w:rPr>
          <w:rFonts w:hint="eastAsia"/>
          <w:b/>
          <w:sz w:val="32"/>
          <w:szCs w:val="32"/>
        </w:rPr>
        <w:t>）</w:t>
      </w:r>
    </w:p>
    <w:p w:rsidR="00F469B7" w:rsidRPr="0003298F" w:rsidRDefault="00F469B7" w:rsidP="00F469B7">
      <w:pPr>
        <w:spacing w:line="360" w:lineRule="auto"/>
        <w:jc w:val="center"/>
        <w:rPr>
          <w:b/>
          <w:sz w:val="32"/>
          <w:szCs w:val="32"/>
        </w:rPr>
      </w:pPr>
      <w:r w:rsidRPr="0003298F">
        <w:rPr>
          <w:rFonts w:hAnsi="宋体"/>
          <w:b/>
          <w:sz w:val="32"/>
          <w:szCs w:val="32"/>
        </w:rPr>
        <w:t>编制说明</w:t>
      </w:r>
    </w:p>
    <w:p w:rsidR="00F469B7" w:rsidRPr="0003298F" w:rsidRDefault="00F469B7" w:rsidP="00F469B7">
      <w:pPr>
        <w:pStyle w:val="1"/>
        <w:rPr>
          <w:sz w:val="34"/>
          <w:szCs w:val="36"/>
        </w:rPr>
      </w:pPr>
      <w:r w:rsidRPr="0003298F">
        <w:rPr>
          <w:rFonts w:hAnsi="宋体"/>
          <w:sz w:val="34"/>
          <w:szCs w:val="36"/>
        </w:rPr>
        <w:t>一、标准工作概况</w:t>
      </w:r>
    </w:p>
    <w:p w:rsidR="00F469B7" w:rsidRDefault="00F469B7" w:rsidP="00F469B7">
      <w:pPr>
        <w:pStyle w:val="2"/>
        <w:ind w:firstLine="420"/>
        <w:rPr>
          <w:rFonts w:ascii="Times New Roman" w:eastAsia="宋体" w:hAnsi="宋体"/>
          <w:sz w:val="30"/>
        </w:rPr>
      </w:pPr>
      <w:r w:rsidRPr="0003298F">
        <w:rPr>
          <w:rFonts w:ascii="Times New Roman" w:eastAsia="宋体" w:hAnsi="Times New Roman"/>
          <w:sz w:val="30"/>
        </w:rPr>
        <w:t xml:space="preserve">1.1 </w:t>
      </w:r>
      <w:r w:rsidRPr="0003298F">
        <w:rPr>
          <w:rFonts w:ascii="Times New Roman" w:eastAsia="宋体" w:hAnsi="宋体"/>
          <w:sz w:val="30"/>
        </w:rPr>
        <w:t>前言</w:t>
      </w:r>
    </w:p>
    <w:p w:rsidR="00A50F0E" w:rsidRDefault="00E63175" w:rsidP="00A50F0E">
      <w:pPr>
        <w:spacing w:line="360" w:lineRule="auto"/>
        <w:ind w:firstLineChars="200" w:firstLine="480"/>
        <w:rPr>
          <w:rFonts w:hint="eastAsia"/>
          <w:sz w:val="24"/>
        </w:rPr>
      </w:pPr>
      <w:r w:rsidRPr="00E63175">
        <w:rPr>
          <w:rFonts w:hint="eastAsia"/>
          <w:sz w:val="24"/>
        </w:rPr>
        <w:t>国际上已经发布了若干关于组织层面温室气体排放量化与报告的标准化文件，</w:t>
      </w:r>
      <w:r w:rsidR="00A50F0E">
        <w:rPr>
          <w:rFonts w:hint="eastAsia"/>
          <w:sz w:val="24"/>
        </w:rPr>
        <w:t>包括：</w:t>
      </w:r>
    </w:p>
    <w:p w:rsidR="006B2134" w:rsidRPr="006B2134" w:rsidRDefault="006B2134" w:rsidP="006B2134">
      <w:pPr>
        <w:pStyle w:val="a7"/>
        <w:numPr>
          <w:ilvl w:val="0"/>
          <w:numId w:val="5"/>
        </w:numPr>
        <w:spacing w:line="360" w:lineRule="auto"/>
        <w:ind w:firstLineChars="0"/>
        <w:rPr>
          <w:sz w:val="24"/>
        </w:rPr>
      </w:pPr>
      <w:r w:rsidRPr="006B2134">
        <w:rPr>
          <w:rFonts w:hint="eastAsia"/>
          <w:sz w:val="24"/>
        </w:rPr>
        <w:t>世界资源研究所（</w:t>
      </w:r>
      <w:r w:rsidRPr="006B2134">
        <w:rPr>
          <w:rFonts w:hint="eastAsia"/>
          <w:sz w:val="24"/>
        </w:rPr>
        <w:t>WRI</w:t>
      </w:r>
      <w:r w:rsidRPr="006B2134">
        <w:rPr>
          <w:rFonts w:hint="eastAsia"/>
          <w:sz w:val="24"/>
        </w:rPr>
        <w:t>）与世界可持续发展工商理事会（</w:t>
      </w:r>
      <w:r w:rsidRPr="006B2134">
        <w:rPr>
          <w:rFonts w:hint="eastAsia"/>
          <w:sz w:val="24"/>
        </w:rPr>
        <w:t>WBCSD</w:t>
      </w:r>
      <w:r w:rsidRPr="006B2134">
        <w:rPr>
          <w:rFonts w:hint="eastAsia"/>
          <w:sz w:val="24"/>
        </w:rPr>
        <w:t>）编制的温室气体核算体系（</w:t>
      </w:r>
      <w:r w:rsidRPr="006B2134">
        <w:rPr>
          <w:rFonts w:hint="eastAsia"/>
          <w:sz w:val="24"/>
        </w:rPr>
        <w:t>GHG Protocol</w:t>
      </w:r>
      <w:r w:rsidRPr="006B2134">
        <w:rPr>
          <w:rFonts w:hint="eastAsia"/>
          <w:sz w:val="24"/>
        </w:rPr>
        <w:t>）中</w:t>
      </w:r>
      <w:r>
        <w:rPr>
          <w:rFonts w:hint="eastAsia"/>
          <w:sz w:val="24"/>
        </w:rPr>
        <w:t>的</w:t>
      </w:r>
      <w:r w:rsidRPr="006B2134">
        <w:rPr>
          <w:rFonts w:hint="eastAsia"/>
          <w:sz w:val="24"/>
        </w:rPr>
        <w:t>《企业核算与报告准则》（</w:t>
      </w:r>
      <w:r w:rsidRPr="006B2134">
        <w:rPr>
          <w:rFonts w:hint="eastAsia"/>
          <w:sz w:val="24"/>
        </w:rPr>
        <w:t>2001</w:t>
      </w:r>
      <w:r w:rsidRPr="006B2134">
        <w:rPr>
          <w:rFonts w:hint="eastAsia"/>
          <w:sz w:val="24"/>
        </w:rPr>
        <w:t>年颁布，</w:t>
      </w:r>
      <w:r w:rsidRPr="006B2134">
        <w:rPr>
          <w:rFonts w:hint="eastAsia"/>
          <w:sz w:val="24"/>
        </w:rPr>
        <w:t>2004</w:t>
      </w:r>
      <w:r w:rsidRPr="006B2134">
        <w:rPr>
          <w:rFonts w:hint="eastAsia"/>
          <w:sz w:val="24"/>
        </w:rPr>
        <w:t>年修订）</w:t>
      </w:r>
      <w:r>
        <w:rPr>
          <w:rFonts w:hint="eastAsia"/>
          <w:sz w:val="24"/>
        </w:rPr>
        <w:t>，以及《</w:t>
      </w:r>
      <w:r w:rsidRPr="006B2134">
        <w:rPr>
          <w:rFonts w:hint="eastAsia"/>
          <w:sz w:val="24"/>
        </w:rPr>
        <w:t>企业</w:t>
      </w:r>
      <w:r w:rsidR="00A44262">
        <w:rPr>
          <w:rFonts w:hint="eastAsia"/>
          <w:sz w:val="24"/>
        </w:rPr>
        <w:t>价值链（范围三）核算与报告标准》</w:t>
      </w:r>
      <w:r w:rsidRPr="006B2134">
        <w:rPr>
          <w:rFonts w:hint="eastAsia"/>
          <w:sz w:val="24"/>
        </w:rPr>
        <w:t>（</w:t>
      </w:r>
      <w:r w:rsidRPr="006B2134">
        <w:rPr>
          <w:rFonts w:hint="eastAsia"/>
          <w:sz w:val="24"/>
        </w:rPr>
        <w:t>2011</w:t>
      </w:r>
      <w:r w:rsidRPr="006B2134">
        <w:rPr>
          <w:rFonts w:hint="eastAsia"/>
          <w:sz w:val="24"/>
        </w:rPr>
        <w:t>）</w:t>
      </w:r>
      <w:r w:rsidR="00A44262">
        <w:rPr>
          <w:rFonts w:hint="eastAsia"/>
          <w:sz w:val="24"/>
        </w:rPr>
        <w:t>；</w:t>
      </w:r>
    </w:p>
    <w:p w:rsidR="00A50F0E" w:rsidRDefault="00A50F0E" w:rsidP="00A50F0E">
      <w:pPr>
        <w:pStyle w:val="a7"/>
        <w:numPr>
          <w:ilvl w:val="0"/>
          <w:numId w:val="5"/>
        </w:numPr>
        <w:spacing w:line="360" w:lineRule="auto"/>
        <w:ind w:firstLineChars="0"/>
        <w:rPr>
          <w:rFonts w:hint="eastAsia"/>
          <w:sz w:val="24"/>
        </w:rPr>
      </w:pPr>
      <w:r w:rsidRPr="00A50F0E">
        <w:rPr>
          <w:rFonts w:hint="eastAsia"/>
          <w:sz w:val="24"/>
        </w:rPr>
        <w:t>ISO</w:t>
      </w:r>
      <w:r w:rsidRPr="00A50F0E">
        <w:rPr>
          <w:rFonts w:hint="eastAsia"/>
          <w:sz w:val="24"/>
        </w:rPr>
        <w:t>环境管理技术委员会（</w:t>
      </w:r>
      <w:r w:rsidRPr="00A50F0E">
        <w:rPr>
          <w:rFonts w:hint="eastAsia"/>
          <w:sz w:val="24"/>
        </w:rPr>
        <w:t>ISO/TC207</w:t>
      </w:r>
      <w:r w:rsidRPr="00A50F0E">
        <w:rPr>
          <w:rFonts w:hint="eastAsia"/>
          <w:sz w:val="24"/>
        </w:rPr>
        <w:t>）温室气体管理</w:t>
      </w:r>
      <w:r w:rsidRPr="00A50F0E">
        <w:rPr>
          <w:rFonts w:hint="eastAsia"/>
          <w:sz w:val="24"/>
        </w:rPr>
        <w:t>分技术委员会（</w:t>
      </w:r>
      <w:r w:rsidRPr="00A50F0E">
        <w:rPr>
          <w:rFonts w:hint="eastAsia"/>
          <w:sz w:val="24"/>
        </w:rPr>
        <w:t>SC7</w:t>
      </w:r>
      <w:r w:rsidRPr="00A50F0E">
        <w:rPr>
          <w:rFonts w:hint="eastAsia"/>
          <w:sz w:val="24"/>
        </w:rPr>
        <w:t>）</w:t>
      </w:r>
      <w:r w:rsidRPr="00A50F0E">
        <w:rPr>
          <w:rFonts w:hint="eastAsia"/>
          <w:sz w:val="24"/>
        </w:rPr>
        <w:t>，已发布</w:t>
      </w:r>
      <w:r w:rsidRPr="00A50F0E">
        <w:rPr>
          <w:rFonts w:hint="eastAsia"/>
          <w:sz w:val="24"/>
        </w:rPr>
        <w:t>ISO 14064-1</w:t>
      </w:r>
      <w:r w:rsidR="00A44262">
        <w:rPr>
          <w:rFonts w:hint="eastAsia"/>
          <w:sz w:val="24"/>
        </w:rPr>
        <w:t>《</w:t>
      </w:r>
      <w:r w:rsidRPr="00A50F0E">
        <w:rPr>
          <w:rFonts w:hint="eastAsia"/>
          <w:sz w:val="24"/>
        </w:rPr>
        <w:t>组织层面温室气体排放</w:t>
      </w:r>
      <w:r w:rsidR="00A44262">
        <w:rPr>
          <w:rFonts w:hint="eastAsia"/>
          <w:sz w:val="24"/>
        </w:rPr>
        <w:t>与清除的</w:t>
      </w:r>
      <w:r w:rsidRPr="00A50F0E">
        <w:rPr>
          <w:rFonts w:hint="eastAsia"/>
          <w:sz w:val="24"/>
        </w:rPr>
        <w:t>量化</w:t>
      </w:r>
      <w:r w:rsidR="00A44262">
        <w:rPr>
          <w:rFonts w:hint="eastAsia"/>
          <w:sz w:val="24"/>
        </w:rPr>
        <w:t>与</w:t>
      </w:r>
      <w:r w:rsidRPr="00A50F0E">
        <w:rPr>
          <w:rFonts w:hint="eastAsia"/>
          <w:sz w:val="24"/>
        </w:rPr>
        <w:t>报告</w:t>
      </w:r>
      <w:r w:rsidR="00A44262">
        <w:rPr>
          <w:rFonts w:hint="eastAsia"/>
          <w:sz w:val="24"/>
        </w:rPr>
        <w:t>》</w:t>
      </w:r>
      <w:r w:rsidRPr="00A50F0E">
        <w:rPr>
          <w:rFonts w:hint="eastAsia"/>
          <w:sz w:val="24"/>
        </w:rPr>
        <w:t>（</w:t>
      </w:r>
      <w:r w:rsidRPr="00A50F0E">
        <w:rPr>
          <w:rFonts w:hint="eastAsia"/>
          <w:sz w:val="24"/>
        </w:rPr>
        <w:t>2006</w:t>
      </w:r>
      <w:r w:rsidRPr="00A50F0E">
        <w:rPr>
          <w:rFonts w:hint="eastAsia"/>
          <w:sz w:val="24"/>
        </w:rPr>
        <w:t>）</w:t>
      </w:r>
      <w:r w:rsidR="00A44262">
        <w:rPr>
          <w:rFonts w:hint="eastAsia"/>
          <w:sz w:val="24"/>
        </w:rPr>
        <w:t>；</w:t>
      </w:r>
    </w:p>
    <w:p w:rsidR="00A44262" w:rsidRDefault="00A44262" w:rsidP="00A50F0E">
      <w:pPr>
        <w:pStyle w:val="a7"/>
        <w:numPr>
          <w:ilvl w:val="0"/>
          <w:numId w:val="5"/>
        </w:numPr>
        <w:spacing w:line="360" w:lineRule="auto"/>
        <w:ind w:firstLineChars="0"/>
        <w:rPr>
          <w:rFonts w:hint="eastAsia"/>
          <w:sz w:val="24"/>
        </w:rPr>
      </w:pPr>
      <w:r>
        <w:rPr>
          <w:rFonts w:hint="eastAsia"/>
          <w:sz w:val="24"/>
        </w:rPr>
        <w:t>ISO/TC207/SC7/WG4</w:t>
      </w:r>
      <w:r>
        <w:rPr>
          <w:rFonts w:hint="eastAsia"/>
          <w:sz w:val="24"/>
        </w:rPr>
        <w:t>正在修订</w:t>
      </w:r>
      <w:r>
        <w:rPr>
          <w:rFonts w:hint="eastAsia"/>
          <w:sz w:val="24"/>
        </w:rPr>
        <w:t>ISO 14064-1</w:t>
      </w:r>
      <w:r>
        <w:rPr>
          <w:rFonts w:hint="eastAsia"/>
          <w:sz w:val="24"/>
        </w:rPr>
        <w:t>，</w:t>
      </w:r>
      <w:r w:rsidR="00E06363">
        <w:rPr>
          <w:rFonts w:hint="eastAsia"/>
          <w:sz w:val="24"/>
        </w:rPr>
        <w:t>新修订标准在排放的边界、温室气体种类、数据选取、特殊排放（生物质、产品隐含碳）等方面均提出了修改的动议；</w:t>
      </w:r>
    </w:p>
    <w:p w:rsidR="00E06363" w:rsidRPr="00A50F0E" w:rsidRDefault="00E06363" w:rsidP="004214C2">
      <w:pPr>
        <w:pStyle w:val="a7"/>
        <w:numPr>
          <w:ilvl w:val="0"/>
          <w:numId w:val="5"/>
        </w:numPr>
        <w:spacing w:line="360" w:lineRule="auto"/>
        <w:ind w:firstLineChars="0"/>
        <w:rPr>
          <w:sz w:val="24"/>
        </w:rPr>
      </w:pPr>
      <w:r>
        <w:rPr>
          <w:rFonts w:hint="eastAsia"/>
          <w:sz w:val="24"/>
        </w:rPr>
        <w:t>ISO/TC146/SC1</w:t>
      </w:r>
      <w:r>
        <w:rPr>
          <w:rFonts w:hint="eastAsia"/>
          <w:sz w:val="24"/>
        </w:rPr>
        <w:t>正在制定</w:t>
      </w:r>
      <w:r>
        <w:rPr>
          <w:rFonts w:hint="eastAsia"/>
          <w:sz w:val="24"/>
        </w:rPr>
        <w:t xml:space="preserve"> ISO 19694</w:t>
      </w:r>
      <w:r>
        <w:rPr>
          <w:rFonts w:hint="eastAsia"/>
          <w:sz w:val="24"/>
        </w:rPr>
        <w:t>系列标准，</w:t>
      </w:r>
      <w:r w:rsidR="004214C2">
        <w:rPr>
          <w:rFonts w:hint="eastAsia"/>
          <w:sz w:val="24"/>
        </w:rPr>
        <w:t>包括《</w:t>
      </w:r>
      <w:r w:rsidR="004214C2" w:rsidRPr="004214C2">
        <w:rPr>
          <w:rFonts w:hint="eastAsia"/>
          <w:sz w:val="24"/>
        </w:rPr>
        <w:t>固定源排放——确定能量密集型行业的温室气体排放——第</w:t>
      </w:r>
      <w:r w:rsidR="004214C2" w:rsidRPr="004214C2">
        <w:rPr>
          <w:rFonts w:hint="eastAsia"/>
          <w:sz w:val="24"/>
        </w:rPr>
        <w:t>1</w:t>
      </w:r>
      <w:r w:rsidR="004214C2" w:rsidRPr="004214C2">
        <w:rPr>
          <w:rFonts w:hint="eastAsia"/>
          <w:sz w:val="24"/>
        </w:rPr>
        <w:t>部分：通则</w:t>
      </w:r>
      <w:r w:rsidR="004214C2">
        <w:rPr>
          <w:rFonts w:hint="eastAsia"/>
          <w:sz w:val="24"/>
        </w:rPr>
        <w:t>》及钢铁、水泥、铝、石灰、铁合金等行业的排放量化标准。</w:t>
      </w:r>
    </w:p>
    <w:p w:rsidR="00E63175" w:rsidRDefault="004214C2" w:rsidP="00E63175">
      <w:pPr>
        <w:spacing w:line="360" w:lineRule="auto"/>
        <w:ind w:firstLineChars="200" w:firstLine="480"/>
        <w:rPr>
          <w:sz w:val="24"/>
        </w:rPr>
      </w:pPr>
      <w:r>
        <w:rPr>
          <w:rFonts w:hint="eastAsia"/>
          <w:sz w:val="24"/>
        </w:rPr>
        <w:t>国内企业也应用部分文件</w:t>
      </w:r>
      <w:r w:rsidR="00E63175" w:rsidRPr="00E63175">
        <w:rPr>
          <w:rFonts w:hint="eastAsia"/>
          <w:sz w:val="24"/>
        </w:rPr>
        <w:t>开展了一些温室气体核算工作，但是基于我国国情的企业温室气体排放量化与报告的国家标准还没有，无法满足我国温室气体管理及企业减</w:t>
      </w:r>
      <w:proofErr w:type="gramStart"/>
      <w:r w:rsidR="00E63175" w:rsidRPr="00E63175">
        <w:rPr>
          <w:rFonts w:hint="eastAsia"/>
          <w:sz w:val="24"/>
        </w:rPr>
        <w:t>排工作</w:t>
      </w:r>
      <w:proofErr w:type="gramEnd"/>
      <w:r w:rsidR="00E63175" w:rsidRPr="00E63175">
        <w:rPr>
          <w:rFonts w:hint="eastAsia"/>
          <w:sz w:val="24"/>
        </w:rPr>
        <w:t>的要求。</w:t>
      </w:r>
    </w:p>
    <w:p w:rsidR="00D0673E" w:rsidRDefault="00325DCA" w:rsidP="00E63175">
      <w:pPr>
        <w:spacing w:line="360" w:lineRule="auto"/>
        <w:ind w:firstLineChars="200" w:firstLine="480"/>
        <w:rPr>
          <w:sz w:val="24"/>
        </w:rPr>
      </w:pPr>
      <w:r>
        <w:rPr>
          <w:rFonts w:hint="eastAsia"/>
          <w:sz w:val="24"/>
        </w:rPr>
        <w:t>我国</w:t>
      </w:r>
      <w:r w:rsidRPr="00745D9E">
        <w:rPr>
          <w:rFonts w:hint="eastAsia"/>
          <w:sz w:val="24"/>
        </w:rPr>
        <w:t>“十二五”规划《纲要》</w:t>
      </w:r>
      <w:r>
        <w:rPr>
          <w:rFonts w:hint="eastAsia"/>
          <w:sz w:val="24"/>
        </w:rPr>
        <w:t>中提出“建立完善温室气体统计核算制度，逐</w:t>
      </w:r>
      <w:r>
        <w:rPr>
          <w:rFonts w:hint="eastAsia"/>
          <w:sz w:val="24"/>
        </w:rPr>
        <w:lastRenderedPageBreak/>
        <w:t>步建立碳排放交易市场”的要求；</w:t>
      </w:r>
      <w:r w:rsidRPr="00745D9E">
        <w:rPr>
          <w:rFonts w:hint="eastAsia"/>
          <w:sz w:val="24"/>
        </w:rPr>
        <w:t>《“十二五”控制温室气排放工作方案》（国发</w:t>
      </w:r>
      <w:r w:rsidRPr="00745D9E">
        <w:rPr>
          <w:rFonts w:hint="eastAsia"/>
          <w:sz w:val="24"/>
        </w:rPr>
        <w:t>[2011] 41</w:t>
      </w:r>
      <w:r>
        <w:rPr>
          <w:rFonts w:hint="eastAsia"/>
          <w:sz w:val="24"/>
        </w:rPr>
        <w:t>号）中提出</w:t>
      </w:r>
      <w:r w:rsidRPr="00745D9E">
        <w:rPr>
          <w:rFonts w:hint="eastAsia"/>
          <w:sz w:val="24"/>
        </w:rPr>
        <w:t>“加快构建国家、地方、企业三级温室气体排放核算工作体系，实行重点企业直接报送温室气体排放和能源消费数据制度”的要求，</w:t>
      </w:r>
      <w:r>
        <w:rPr>
          <w:rFonts w:hint="eastAsia"/>
          <w:sz w:val="24"/>
        </w:rPr>
        <w:t>这些都是</w:t>
      </w:r>
      <w:r w:rsidRPr="00745D9E">
        <w:rPr>
          <w:rFonts w:hint="eastAsia"/>
          <w:sz w:val="24"/>
        </w:rPr>
        <w:t>实现</w:t>
      </w:r>
      <w:r w:rsidRPr="00745D9E">
        <w:rPr>
          <w:rFonts w:hint="eastAsia"/>
          <w:sz w:val="24"/>
        </w:rPr>
        <w:t>2020</w:t>
      </w:r>
      <w:r w:rsidRPr="00745D9E">
        <w:rPr>
          <w:rFonts w:hint="eastAsia"/>
          <w:sz w:val="24"/>
        </w:rPr>
        <w:t>年单位国内生产总值二氧化碳排放比</w:t>
      </w:r>
      <w:r w:rsidRPr="00745D9E">
        <w:rPr>
          <w:rFonts w:hint="eastAsia"/>
          <w:sz w:val="24"/>
        </w:rPr>
        <w:t>2005</w:t>
      </w:r>
      <w:r w:rsidRPr="00745D9E">
        <w:rPr>
          <w:rFonts w:hint="eastAsia"/>
          <w:sz w:val="24"/>
        </w:rPr>
        <w:t>年下降</w:t>
      </w:r>
      <w:r w:rsidRPr="00745D9E">
        <w:rPr>
          <w:rFonts w:hint="eastAsia"/>
          <w:sz w:val="24"/>
        </w:rPr>
        <w:t>40</w:t>
      </w:r>
      <w:r w:rsidRPr="00745D9E">
        <w:rPr>
          <w:rFonts w:hint="eastAsia"/>
          <w:sz w:val="24"/>
        </w:rPr>
        <w:t>％</w:t>
      </w:r>
      <w:r w:rsidRPr="00745D9E">
        <w:rPr>
          <w:rFonts w:hint="eastAsia"/>
          <w:sz w:val="24"/>
        </w:rPr>
        <w:t>-45%</w:t>
      </w:r>
      <w:r>
        <w:rPr>
          <w:rFonts w:hint="eastAsia"/>
          <w:sz w:val="24"/>
        </w:rPr>
        <w:t>的目标的具体措施。</w:t>
      </w:r>
    </w:p>
    <w:p w:rsidR="00325DCA" w:rsidRPr="00D0673E" w:rsidRDefault="00325DCA" w:rsidP="00E63175">
      <w:pPr>
        <w:spacing w:line="360" w:lineRule="auto"/>
        <w:ind w:firstLineChars="200" w:firstLine="480"/>
        <w:rPr>
          <w:sz w:val="24"/>
        </w:rPr>
      </w:pPr>
      <w:r>
        <w:rPr>
          <w:rFonts w:hint="eastAsia"/>
          <w:sz w:val="24"/>
        </w:rPr>
        <w:t>本标准正是在这样的大背景下提出</w:t>
      </w:r>
      <w:r w:rsidR="00856F2F">
        <w:rPr>
          <w:rFonts w:hint="eastAsia"/>
          <w:sz w:val="24"/>
        </w:rPr>
        <w:t>并不断修改完善</w:t>
      </w:r>
      <w:r>
        <w:rPr>
          <w:rFonts w:hint="eastAsia"/>
          <w:sz w:val="24"/>
        </w:rPr>
        <w:t>，一方面用于应对国际碳排放相关标准的具体要求，另一方面也体现我国政府对企业碳排放核算与报告的政策要求以及我国的现实基础。</w:t>
      </w:r>
    </w:p>
    <w:p w:rsidR="00F469B7" w:rsidRDefault="00F469B7" w:rsidP="00F469B7">
      <w:pPr>
        <w:pStyle w:val="2"/>
        <w:ind w:firstLine="420"/>
        <w:rPr>
          <w:rFonts w:ascii="Times New Roman" w:eastAsia="宋体" w:hAnsi="宋体"/>
          <w:sz w:val="30"/>
        </w:rPr>
      </w:pPr>
      <w:r w:rsidRPr="0003298F">
        <w:rPr>
          <w:rFonts w:ascii="Times New Roman" w:eastAsia="宋体" w:hAnsi="Times New Roman"/>
          <w:sz w:val="30"/>
        </w:rPr>
        <w:t xml:space="preserve">1.2 </w:t>
      </w:r>
      <w:r w:rsidRPr="0003298F">
        <w:rPr>
          <w:rFonts w:ascii="Times New Roman" w:eastAsia="宋体" w:hAnsi="宋体"/>
          <w:sz w:val="30"/>
        </w:rPr>
        <w:t>标准的作用</w:t>
      </w:r>
    </w:p>
    <w:p w:rsidR="00E63175" w:rsidRDefault="00E63175" w:rsidP="00E63175">
      <w:pPr>
        <w:spacing w:line="360" w:lineRule="auto"/>
        <w:ind w:firstLineChars="200" w:firstLine="480"/>
        <w:rPr>
          <w:sz w:val="24"/>
        </w:rPr>
      </w:pPr>
      <w:r w:rsidRPr="00E63175">
        <w:rPr>
          <w:rFonts w:hint="eastAsia"/>
          <w:sz w:val="24"/>
        </w:rPr>
        <w:t>工业企业是我国温室气体的主要排放源，对工业企业进行温室气体排放核算方法的标准化研究，是我国开展温室气体管理工作的基础。通过这一标准的实施，可以帮助企业加强对企业温室气体排放的了解与管理，掌握可能的减排机会；参与自愿性温室气体行动；应对强制性温室气体控制要求；参与市场化的温室气体减排行动。</w:t>
      </w:r>
    </w:p>
    <w:p w:rsidR="00E63175" w:rsidRPr="00E63175" w:rsidRDefault="00E63175" w:rsidP="00E63175">
      <w:pPr>
        <w:spacing w:line="360" w:lineRule="auto"/>
        <w:ind w:firstLineChars="200" w:firstLine="480"/>
        <w:rPr>
          <w:sz w:val="24"/>
        </w:rPr>
      </w:pPr>
      <w:r w:rsidRPr="00E63175">
        <w:rPr>
          <w:rFonts w:hint="eastAsia"/>
          <w:sz w:val="24"/>
        </w:rPr>
        <w:t>本标准规定了工业企业温室气体排放核算与报告的术语和定义、基本原则、工作流程、核算边界确定、核算步骤与方法、质量保证、报告要求等内容。</w:t>
      </w:r>
    </w:p>
    <w:p w:rsidR="00E63175" w:rsidRPr="00E63175" w:rsidRDefault="00E63175" w:rsidP="00E63175">
      <w:pPr>
        <w:spacing w:line="360" w:lineRule="auto"/>
        <w:ind w:firstLineChars="200" w:firstLine="480"/>
        <w:rPr>
          <w:sz w:val="24"/>
        </w:rPr>
      </w:pPr>
      <w:r w:rsidRPr="00E63175">
        <w:rPr>
          <w:rFonts w:hint="eastAsia"/>
          <w:sz w:val="24"/>
        </w:rPr>
        <w:t>本标准用于指导行业温室气体排放核算方法与报告指南的编制，也可为工业企业开展温室气体排放核算与报告活动提供方法参考。</w:t>
      </w:r>
    </w:p>
    <w:p w:rsidR="00F469B7" w:rsidRDefault="00F469B7" w:rsidP="00F469B7">
      <w:pPr>
        <w:pStyle w:val="2"/>
        <w:ind w:firstLine="420"/>
        <w:rPr>
          <w:rFonts w:ascii="Times New Roman" w:eastAsia="宋体" w:hAnsi="宋体"/>
          <w:sz w:val="30"/>
        </w:rPr>
      </w:pPr>
      <w:r w:rsidRPr="0003298F">
        <w:rPr>
          <w:rFonts w:ascii="Times New Roman" w:eastAsia="宋体" w:hAnsi="Times New Roman"/>
          <w:sz w:val="30"/>
        </w:rPr>
        <w:t xml:space="preserve">1.3 </w:t>
      </w:r>
      <w:r w:rsidRPr="0003298F">
        <w:rPr>
          <w:rFonts w:ascii="Times New Roman" w:eastAsia="宋体" w:hAnsi="宋体"/>
          <w:sz w:val="30"/>
        </w:rPr>
        <w:t>任务来源</w:t>
      </w:r>
    </w:p>
    <w:p w:rsidR="00F469B7" w:rsidRDefault="00F469B7" w:rsidP="00F469B7">
      <w:pPr>
        <w:spacing w:line="360" w:lineRule="auto"/>
        <w:ind w:firstLineChars="200" w:firstLine="480"/>
        <w:rPr>
          <w:sz w:val="24"/>
        </w:rPr>
      </w:pPr>
      <w:r w:rsidRPr="0003298F">
        <w:rPr>
          <w:sz w:val="24"/>
        </w:rPr>
        <w:t>为了配合我国</w:t>
      </w:r>
      <w:r>
        <w:rPr>
          <w:sz w:val="24"/>
        </w:rPr>
        <w:t>碳排放管理标准化工作的发展需求</w:t>
      </w:r>
      <w:r>
        <w:rPr>
          <w:rFonts w:hint="eastAsia"/>
          <w:sz w:val="24"/>
        </w:rPr>
        <w:t>，</w:t>
      </w:r>
      <w:r>
        <w:rPr>
          <w:sz w:val="24"/>
        </w:rPr>
        <w:t>以及应对国际碳排放管理相关标准的具体要求</w:t>
      </w:r>
      <w:r>
        <w:rPr>
          <w:rFonts w:hint="eastAsia"/>
          <w:sz w:val="24"/>
        </w:rPr>
        <w:t>，</w:t>
      </w:r>
      <w:r w:rsidRPr="0003298F">
        <w:rPr>
          <w:sz w:val="24"/>
        </w:rPr>
        <w:t>在国家发展与改革委员会和国家标准化管理委员会的支持下，本标准于</w:t>
      </w:r>
      <w:r>
        <w:rPr>
          <w:rFonts w:hint="eastAsia"/>
          <w:sz w:val="24"/>
        </w:rPr>
        <w:t>2011</w:t>
      </w:r>
      <w:r w:rsidRPr="0003298F">
        <w:rPr>
          <w:sz w:val="24"/>
        </w:rPr>
        <w:t>年作为</w:t>
      </w:r>
      <w:r w:rsidRPr="0003298F">
        <w:rPr>
          <w:rFonts w:hint="eastAsia"/>
          <w:sz w:val="24"/>
        </w:rPr>
        <w:t>推荐性</w:t>
      </w:r>
      <w:r w:rsidRPr="0003298F">
        <w:rPr>
          <w:sz w:val="24"/>
        </w:rPr>
        <w:t>标准项目正式立项，（立项编号</w:t>
      </w:r>
      <w:r w:rsidRPr="00F469B7">
        <w:rPr>
          <w:iCs/>
          <w:sz w:val="24"/>
        </w:rPr>
        <w:t>20111538-T-469</w:t>
      </w:r>
      <w:r>
        <w:rPr>
          <w:sz w:val="24"/>
        </w:rPr>
        <w:t>），由中国标准化研究院牵头起草</w:t>
      </w:r>
      <w:r w:rsidRPr="0003298F">
        <w:rPr>
          <w:rFonts w:hint="eastAsia"/>
          <w:sz w:val="24"/>
        </w:rPr>
        <w:t>。</w:t>
      </w:r>
      <w:r>
        <w:rPr>
          <w:rFonts w:hint="eastAsia"/>
          <w:sz w:val="24"/>
        </w:rPr>
        <w:t>原归口单位是</w:t>
      </w:r>
      <w:r w:rsidRPr="00F469B7">
        <w:rPr>
          <w:rFonts w:hint="eastAsia"/>
          <w:sz w:val="24"/>
        </w:rPr>
        <w:t>全国环境管理标准化技术委员会</w:t>
      </w:r>
      <w:r>
        <w:rPr>
          <w:rFonts w:hint="eastAsia"/>
          <w:sz w:val="24"/>
        </w:rPr>
        <w:t>（</w:t>
      </w:r>
      <w:r>
        <w:rPr>
          <w:rFonts w:hint="eastAsia"/>
          <w:sz w:val="24"/>
        </w:rPr>
        <w:t>SAC/TC207</w:t>
      </w:r>
      <w:r>
        <w:rPr>
          <w:rFonts w:hint="eastAsia"/>
          <w:sz w:val="24"/>
        </w:rPr>
        <w:t>），</w:t>
      </w:r>
      <w:r w:rsidR="00E63175">
        <w:rPr>
          <w:rFonts w:hint="eastAsia"/>
          <w:sz w:val="24"/>
        </w:rPr>
        <w:t>由于</w:t>
      </w:r>
      <w:r>
        <w:rPr>
          <w:rFonts w:hint="eastAsia"/>
          <w:sz w:val="24"/>
        </w:rPr>
        <w:t>全国碳排放管理标准化技术委员会（</w:t>
      </w:r>
      <w:r>
        <w:rPr>
          <w:rFonts w:hint="eastAsia"/>
          <w:sz w:val="24"/>
        </w:rPr>
        <w:t>SAC/TC548</w:t>
      </w:r>
      <w:r>
        <w:rPr>
          <w:rFonts w:hint="eastAsia"/>
          <w:sz w:val="24"/>
        </w:rPr>
        <w:t>）于</w:t>
      </w:r>
      <w:r>
        <w:rPr>
          <w:rFonts w:hint="eastAsia"/>
          <w:sz w:val="24"/>
        </w:rPr>
        <w:t>2014</w:t>
      </w:r>
      <w:r>
        <w:rPr>
          <w:rFonts w:hint="eastAsia"/>
          <w:sz w:val="24"/>
        </w:rPr>
        <w:t>年成立，归口于</w:t>
      </w:r>
      <w:r>
        <w:rPr>
          <w:rFonts w:hint="eastAsia"/>
          <w:sz w:val="24"/>
        </w:rPr>
        <w:t>SAC/TC207</w:t>
      </w:r>
      <w:r>
        <w:rPr>
          <w:rFonts w:hint="eastAsia"/>
          <w:sz w:val="24"/>
        </w:rPr>
        <w:t>的与碳排放管理相关的标准均变更归口至</w:t>
      </w:r>
      <w:r>
        <w:rPr>
          <w:rFonts w:hint="eastAsia"/>
          <w:sz w:val="24"/>
        </w:rPr>
        <w:t>SAC/TC548</w:t>
      </w:r>
      <w:r>
        <w:rPr>
          <w:rFonts w:hint="eastAsia"/>
          <w:sz w:val="24"/>
        </w:rPr>
        <w:t>，因此</w:t>
      </w:r>
      <w:r w:rsidR="00E63175">
        <w:rPr>
          <w:rFonts w:hint="eastAsia"/>
          <w:sz w:val="24"/>
        </w:rPr>
        <w:t>本标准现归口单位为</w:t>
      </w:r>
      <w:r w:rsidR="00E63175">
        <w:rPr>
          <w:rFonts w:hint="eastAsia"/>
          <w:sz w:val="24"/>
        </w:rPr>
        <w:t>SAC/TC548</w:t>
      </w:r>
      <w:r w:rsidR="00E63175">
        <w:rPr>
          <w:rFonts w:hint="eastAsia"/>
          <w:sz w:val="24"/>
        </w:rPr>
        <w:t>。</w:t>
      </w:r>
    </w:p>
    <w:p w:rsidR="00E63175" w:rsidRDefault="00E63175" w:rsidP="00F469B7">
      <w:pPr>
        <w:spacing w:line="360" w:lineRule="auto"/>
        <w:ind w:firstLineChars="200" w:firstLine="480"/>
        <w:rPr>
          <w:sz w:val="24"/>
        </w:rPr>
      </w:pPr>
      <w:r>
        <w:rPr>
          <w:rFonts w:hint="eastAsia"/>
          <w:sz w:val="24"/>
        </w:rPr>
        <w:t>同时，为了配合国家发展与改革委员会发布的</w:t>
      </w:r>
      <w:r>
        <w:rPr>
          <w:rFonts w:hint="eastAsia"/>
          <w:sz w:val="24"/>
        </w:rPr>
        <w:t>10</w:t>
      </w:r>
      <w:r>
        <w:rPr>
          <w:rFonts w:hint="eastAsia"/>
          <w:sz w:val="24"/>
        </w:rPr>
        <w:t>个行业企业温室气体排放</w:t>
      </w:r>
      <w:r>
        <w:rPr>
          <w:rFonts w:hint="eastAsia"/>
          <w:sz w:val="24"/>
        </w:rPr>
        <w:lastRenderedPageBreak/>
        <w:t>核算方法与报告指南（发改办气候【</w:t>
      </w:r>
      <w:r>
        <w:rPr>
          <w:rFonts w:hint="eastAsia"/>
          <w:sz w:val="24"/>
        </w:rPr>
        <w:t>2013</w:t>
      </w:r>
      <w:r>
        <w:rPr>
          <w:rFonts w:hint="eastAsia"/>
          <w:sz w:val="24"/>
        </w:rPr>
        <w:t>】</w:t>
      </w:r>
      <w:r>
        <w:rPr>
          <w:rFonts w:hint="eastAsia"/>
          <w:sz w:val="24"/>
        </w:rPr>
        <w:t>2526</w:t>
      </w:r>
      <w:r>
        <w:rPr>
          <w:rFonts w:hint="eastAsia"/>
          <w:sz w:val="24"/>
        </w:rPr>
        <w:t>号），本标准名称由“</w:t>
      </w:r>
      <w:r w:rsidRPr="00E63175">
        <w:rPr>
          <w:rFonts w:hint="eastAsia"/>
          <w:sz w:val="24"/>
        </w:rPr>
        <w:t>工业企业温室气体排放量化方法和报告指南</w:t>
      </w:r>
      <w:r>
        <w:rPr>
          <w:rFonts w:hint="eastAsia"/>
          <w:sz w:val="24"/>
        </w:rPr>
        <w:t>”修改为“</w:t>
      </w:r>
      <w:r w:rsidRPr="00E63175">
        <w:rPr>
          <w:rFonts w:hint="eastAsia"/>
          <w:sz w:val="24"/>
        </w:rPr>
        <w:t>工业企业温室气体排放核算和报告通则</w:t>
      </w:r>
      <w:r>
        <w:rPr>
          <w:rFonts w:hint="eastAsia"/>
          <w:sz w:val="24"/>
        </w:rPr>
        <w:t>”。</w:t>
      </w:r>
    </w:p>
    <w:p w:rsidR="00F469B7" w:rsidRDefault="00F469B7" w:rsidP="00F469B7">
      <w:pPr>
        <w:pStyle w:val="1"/>
        <w:rPr>
          <w:rFonts w:hAnsi="宋体"/>
          <w:sz w:val="34"/>
          <w:szCs w:val="36"/>
        </w:rPr>
      </w:pPr>
      <w:r w:rsidRPr="0003298F">
        <w:rPr>
          <w:rFonts w:hAnsi="宋体"/>
          <w:sz w:val="34"/>
          <w:szCs w:val="36"/>
        </w:rPr>
        <w:t>二、标准制定的依据与指导思想</w:t>
      </w:r>
    </w:p>
    <w:p w:rsidR="00745D9E" w:rsidRDefault="00745D9E" w:rsidP="00745D9E">
      <w:pPr>
        <w:spacing w:line="360" w:lineRule="auto"/>
        <w:rPr>
          <w:sz w:val="24"/>
        </w:rPr>
      </w:pPr>
      <w:r w:rsidRPr="0003298F">
        <w:rPr>
          <w:rFonts w:hint="eastAsia"/>
          <w:sz w:val="24"/>
        </w:rPr>
        <w:t>2.1</w:t>
      </w:r>
      <w:r w:rsidRPr="00745D9E">
        <w:rPr>
          <w:rFonts w:hint="eastAsia"/>
          <w:sz w:val="24"/>
        </w:rPr>
        <w:t>根据“十二五”规划《纲要》提出的“建立完善温室气体统计核算制度，逐步建立碳排放交易市场”和《“十二五”控制温室气排放工作方案》（国发</w:t>
      </w:r>
      <w:r w:rsidRPr="00745D9E">
        <w:rPr>
          <w:rFonts w:hint="eastAsia"/>
          <w:sz w:val="24"/>
        </w:rPr>
        <w:t>[2011] 41</w:t>
      </w:r>
      <w:r w:rsidRPr="00745D9E">
        <w:rPr>
          <w:rFonts w:hint="eastAsia"/>
          <w:sz w:val="24"/>
        </w:rPr>
        <w:t>号）提出的“加快构建国家、地方、企业三级温室气体排放核算工作体系，实行重点企业直接报送温室气体排放和能源消费数据制度”的要求，为保证实现</w:t>
      </w:r>
      <w:r w:rsidRPr="00745D9E">
        <w:rPr>
          <w:rFonts w:hint="eastAsia"/>
          <w:sz w:val="24"/>
        </w:rPr>
        <w:t>2020</w:t>
      </w:r>
      <w:r w:rsidRPr="00745D9E">
        <w:rPr>
          <w:rFonts w:hint="eastAsia"/>
          <w:sz w:val="24"/>
        </w:rPr>
        <w:t>年单位国内生产总值二氧化碳排放比</w:t>
      </w:r>
      <w:r w:rsidRPr="00745D9E">
        <w:rPr>
          <w:rFonts w:hint="eastAsia"/>
          <w:sz w:val="24"/>
        </w:rPr>
        <w:t>2005</w:t>
      </w:r>
      <w:r w:rsidRPr="00745D9E">
        <w:rPr>
          <w:rFonts w:hint="eastAsia"/>
          <w:sz w:val="24"/>
        </w:rPr>
        <w:t>年下降</w:t>
      </w:r>
      <w:r w:rsidRPr="00745D9E">
        <w:rPr>
          <w:rFonts w:hint="eastAsia"/>
          <w:sz w:val="24"/>
        </w:rPr>
        <w:t>40</w:t>
      </w:r>
      <w:r w:rsidRPr="00745D9E">
        <w:rPr>
          <w:rFonts w:hint="eastAsia"/>
          <w:sz w:val="24"/>
        </w:rPr>
        <w:t>％</w:t>
      </w:r>
      <w:r w:rsidRPr="00745D9E">
        <w:rPr>
          <w:rFonts w:hint="eastAsia"/>
          <w:sz w:val="24"/>
        </w:rPr>
        <w:t>-45%</w:t>
      </w:r>
      <w:r w:rsidRPr="00745D9E">
        <w:rPr>
          <w:rFonts w:hint="eastAsia"/>
          <w:sz w:val="24"/>
        </w:rPr>
        <w:t>的目标，</w:t>
      </w:r>
      <w:r>
        <w:rPr>
          <w:rFonts w:hint="eastAsia"/>
          <w:sz w:val="24"/>
        </w:rPr>
        <w:t>制定本标准。</w:t>
      </w:r>
    </w:p>
    <w:p w:rsidR="00E67C9B" w:rsidRPr="0003298F" w:rsidRDefault="00745D9E" w:rsidP="00E67C9B">
      <w:pPr>
        <w:spacing w:line="360" w:lineRule="auto"/>
        <w:rPr>
          <w:sz w:val="24"/>
        </w:rPr>
      </w:pPr>
      <w:r w:rsidRPr="0003298F">
        <w:rPr>
          <w:rFonts w:hint="eastAsia"/>
          <w:sz w:val="24"/>
        </w:rPr>
        <w:t xml:space="preserve">2.2 </w:t>
      </w:r>
      <w:r w:rsidRPr="0003298F">
        <w:rPr>
          <w:rFonts w:hint="eastAsia"/>
          <w:sz w:val="24"/>
        </w:rPr>
        <w:t>标准要与</w:t>
      </w:r>
      <w:r>
        <w:rPr>
          <w:rFonts w:hint="eastAsia"/>
          <w:sz w:val="24"/>
        </w:rPr>
        <w:t>国家发展改革委</w:t>
      </w:r>
      <w:r w:rsidRPr="0003298F">
        <w:rPr>
          <w:rFonts w:hint="eastAsia"/>
          <w:sz w:val="24"/>
        </w:rPr>
        <w:t>已颁布实施的</w:t>
      </w:r>
      <w:r w:rsidR="00E67C9B">
        <w:rPr>
          <w:rFonts w:hint="eastAsia"/>
          <w:sz w:val="24"/>
        </w:rPr>
        <w:t>10</w:t>
      </w:r>
      <w:r w:rsidR="00E67C9B">
        <w:rPr>
          <w:rFonts w:hint="eastAsia"/>
          <w:sz w:val="24"/>
        </w:rPr>
        <w:t>个行业企业温室气体排放核算方法与报告指南进行了协调。</w:t>
      </w:r>
    </w:p>
    <w:p w:rsidR="00745D9E" w:rsidRPr="0003298F" w:rsidRDefault="00745D9E" w:rsidP="00745D9E">
      <w:pPr>
        <w:spacing w:line="360" w:lineRule="auto"/>
        <w:rPr>
          <w:sz w:val="24"/>
        </w:rPr>
      </w:pPr>
      <w:r w:rsidRPr="0003298F">
        <w:rPr>
          <w:rFonts w:hint="eastAsia"/>
          <w:sz w:val="24"/>
        </w:rPr>
        <w:t xml:space="preserve">2.3 </w:t>
      </w:r>
      <w:r w:rsidRPr="0003298F">
        <w:rPr>
          <w:rFonts w:hint="eastAsia"/>
          <w:sz w:val="24"/>
        </w:rPr>
        <w:t>按照</w:t>
      </w:r>
      <w:r w:rsidRPr="0003298F">
        <w:rPr>
          <w:rFonts w:hint="eastAsia"/>
          <w:sz w:val="24"/>
        </w:rPr>
        <w:t>GB/T 1.1-2000</w:t>
      </w:r>
      <w:r w:rsidRPr="0003298F">
        <w:rPr>
          <w:rFonts w:hint="eastAsia"/>
          <w:sz w:val="24"/>
        </w:rPr>
        <w:t>《标准化工作导则</w:t>
      </w:r>
      <w:r w:rsidRPr="0003298F">
        <w:rPr>
          <w:rFonts w:hint="eastAsia"/>
          <w:sz w:val="24"/>
        </w:rPr>
        <w:t xml:space="preserve"> </w:t>
      </w:r>
      <w:r w:rsidRPr="0003298F">
        <w:rPr>
          <w:rFonts w:hint="eastAsia"/>
          <w:sz w:val="24"/>
        </w:rPr>
        <w:t>第一部分：标准的结构和编写规则》的要求和规定编写本标准的内容。</w:t>
      </w:r>
    </w:p>
    <w:p w:rsidR="00745D9E" w:rsidRPr="0003298F" w:rsidRDefault="00745D9E" w:rsidP="00745D9E">
      <w:pPr>
        <w:spacing w:line="360" w:lineRule="auto"/>
        <w:rPr>
          <w:sz w:val="24"/>
        </w:rPr>
      </w:pPr>
      <w:r w:rsidRPr="0003298F">
        <w:rPr>
          <w:rFonts w:hint="eastAsia"/>
          <w:sz w:val="24"/>
        </w:rPr>
        <w:t xml:space="preserve">2.4 </w:t>
      </w:r>
      <w:r w:rsidR="00E67C9B">
        <w:rPr>
          <w:rFonts w:hint="eastAsia"/>
          <w:sz w:val="24"/>
        </w:rPr>
        <w:t>本标准应具有科学性、先进性。</w:t>
      </w:r>
      <w:r w:rsidRPr="0003298F">
        <w:rPr>
          <w:rFonts w:hint="eastAsia"/>
          <w:sz w:val="24"/>
        </w:rPr>
        <w:t>充分考虑到现阶段我国</w:t>
      </w:r>
      <w:r w:rsidR="00E67C9B">
        <w:rPr>
          <w:rFonts w:hint="eastAsia"/>
          <w:sz w:val="24"/>
        </w:rPr>
        <w:t>工业行业企业温室气体排放核算与报告的基础条件</w:t>
      </w:r>
      <w:r w:rsidRPr="0003298F">
        <w:rPr>
          <w:rFonts w:hint="eastAsia"/>
          <w:sz w:val="24"/>
        </w:rPr>
        <w:t>，</w:t>
      </w:r>
      <w:r w:rsidR="00E67C9B">
        <w:rPr>
          <w:rFonts w:hint="eastAsia"/>
          <w:sz w:val="24"/>
        </w:rPr>
        <w:t>同时</w:t>
      </w:r>
      <w:r w:rsidRPr="0003298F">
        <w:rPr>
          <w:rFonts w:hint="eastAsia"/>
          <w:sz w:val="24"/>
        </w:rPr>
        <w:t>兼顾可操作性和导向性。</w:t>
      </w:r>
    </w:p>
    <w:p w:rsidR="00F469B7" w:rsidRPr="0003298F" w:rsidRDefault="00F469B7" w:rsidP="00F469B7">
      <w:pPr>
        <w:pStyle w:val="1"/>
        <w:rPr>
          <w:sz w:val="34"/>
          <w:szCs w:val="36"/>
        </w:rPr>
      </w:pPr>
      <w:r w:rsidRPr="0003298F">
        <w:rPr>
          <w:rFonts w:hAnsi="宋体"/>
          <w:sz w:val="34"/>
          <w:szCs w:val="36"/>
        </w:rPr>
        <w:t>三、主要技术内容介绍及分析</w:t>
      </w:r>
    </w:p>
    <w:p w:rsidR="00F469B7" w:rsidRDefault="00F469B7" w:rsidP="00F469B7">
      <w:pPr>
        <w:pStyle w:val="2"/>
        <w:ind w:firstLine="420"/>
        <w:rPr>
          <w:rFonts w:ascii="Times New Roman" w:eastAsia="宋体" w:hAnsi="宋体"/>
          <w:sz w:val="30"/>
        </w:rPr>
      </w:pPr>
      <w:r w:rsidRPr="0003298F">
        <w:rPr>
          <w:rFonts w:ascii="Times New Roman" w:eastAsia="宋体" w:hAnsi="Times New Roman"/>
          <w:sz w:val="30"/>
        </w:rPr>
        <w:t xml:space="preserve">3.1 </w:t>
      </w:r>
      <w:r w:rsidRPr="0003298F">
        <w:rPr>
          <w:rFonts w:ascii="Times New Roman" w:eastAsia="宋体" w:hAnsi="宋体"/>
          <w:sz w:val="30"/>
        </w:rPr>
        <w:t>标准主要内容及适用范围</w:t>
      </w:r>
    </w:p>
    <w:p w:rsidR="00DF608A" w:rsidRPr="00DF608A" w:rsidRDefault="00C4739C" w:rsidP="00DF608A">
      <w:pPr>
        <w:spacing w:line="360" w:lineRule="auto"/>
        <w:ind w:firstLineChars="200" w:firstLine="480"/>
        <w:rPr>
          <w:sz w:val="24"/>
        </w:rPr>
      </w:pPr>
      <w:r>
        <w:rPr>
          <w:rFonts w:hint="eastAsia"/>
          <w:sz w:val="24"/>
        </w:rPr>
        <w:t>考虑到本标准定位为通则标准，因此</w:t>
      </w:r>
      <w:r w:rsidR="00DF608A" w:rsidRPr="00DF608A">
        <w:rPr>
          <w:rFonts w:hint="eastAsia"/>
          <w:sz w:val="24"/>
        </w:rPr>
        <w:t>本标准</w:t>
      </w:r>
      <w:r>
        <w:rPr>
          <w:rFonts w:hint="eastAsia"/>
          <w:sz w:val="24"/>
        </w:rPr>
        <w:t>的适用范围即包括</w:t>
      </w:r>
      <w:r w:rsidRPr="00DF608A">
        <w:rPr>
          <w:rFonts w:hint="eastAsia"/>
          <w:sz w:val="24"/>
        </w:rPr>
        <w:t>用于指导行业温室气体排放核算方法与报告指南的编制，</w:t>
      </w:r>
      <w:r>
        <w:rPr>
          <w:rFonts w:hint="eastAsia"/>
          <w:sz w:val="24"/>
        </w:rPr>
        <w:t>也兼顾没有发布行业指南的行业使用本标准开展基本的</w:t>
      </w:r>
      <w:r w:rsidR="00551DE0" w:rsidRPr="00DF608A">
        <w:rPr>
          <w:rFonts w:hint="eastAsia"/>
          <w:sz w:val="24"/>
        </w:rPr>
        <w:t>温室气体排放核算与报告活动</w:t>
      </w:r>
      <w:r w:rsidR="00551DE0">
        <w:rPr>
          <w:rFonts w:hint="eastAsia"/>
          <w:sz w:val="24"/>
        </w:rPr>
        <w:t>。因此，本标准的主要内容按如下顺序梳理：</w:t>
      </w:r>
      <w:r w:rsidR="00DF608A" w:rsidRPr="00DF608A">
        <w:rPr>
          <w:rFonts w:hint="eastAsia"/>
          <w:sz w:val="24"/>
        </w:rPr>
        <w:t>术语和定义、基本原则、工作流程、核算边界确定、核算步骤与方法、质量保证、报告要求等内容。</w:t>
      </w:r>
    </w:p>
    <w:p w:rsidR="00F469B7" w:rsidRPr="0003298F" w:rsidRDefault="00F469B7" w:rsidP="00F469B7">
      <w:pPr>
        <w:pStyle w:val="2"/>
        <w:ind w:firstLine="420"/>
        <w:rPr>
          <w:rFonts w:ascii="Times New Roman" w:eastAsia="宋体" w:hAnsi="宋体"/>
          <w:sz w:val="30"/>
        </w:rPr>
      </w:pPr>
      <w:r w:rsidRPr="0003298F">
        <w:rPr>
          <w:rFonts w:ascii="Times New Roman" w:eastAsia="宋体" w:hAnsi="Times New Roman"/>
          <w:sz w:val="30"/>
        </w:rPr>
        <w:lastRenderedPageBreak/>
        <w:t>3.</w:t>
      </w:r>
      <w:r w:rsidRPr="0003298F">
        <w:rPr>
          <w:rFonts w:ascii="Times New Roman" w:eastAsia="宋体" w:hAnsi="Times New Roman" w:hint="eastAsia"/>
          <w:sz w:val="30"/>
        </w:rPr>
        <w:t>2</w:t>
      </w:r>
      <w:r w:rsidRPr="0003298F">
        <w:rPr>
          <w:rFonts w:ascii="Times New Roman" w:eastAsia="宋体" w:hAnsi="Times New Roman"/>
          <w:sz w:val="30"/>
        </w:rPr>
        <w:t xml:space="preserve"> </w:t>
      </w:r>
      <w:r w:rsidRPr="0003298F">
        <w:rPr>
          <w:rFonts w:ascii="Times New Roman" w:eastAsia="宋体" w:hAnsi="宋体"/>
          <w:sz w:val="30"/>
        </w:rPr>
        <w:t>主要内容的说明</w:t>
      </w:r>
    </w:p>
    <w:p w:rsidR="00F469B7" w:rsidRDefault="00551DE0" w:rsidP="00F17980">
      <w:pPr>
        <w:spacing w:line="360" w:lineRule="auto"/>
        <w:ind w:firstLineChars="200" w:firstLine="480"/>
        <w:rPr>
          <w:rFonts w:hint="eastAsia"/>
          <w:sz w:val="24"/>
        </w:rPr>
      </w:pPr>
      <w:r w:rsidRPr="00F17980">
        <w:rPr>
          <w:rFonts w:hint="eastAsia"/>
          <w:sz w:val="24"/>
        </w:rPr>
        <w:t>（</w:t>
      </w:r>
      <w:r w:rsidRPr="00F17980">
        <w:rPr>
          <w:rFonts w:hint="eastAsia"/>
          <w:sz w:val="24"/>
        </w:rPr>
        <w:t>1</w:t>
      </w:r>
      <w:r w:rsidRPr="00F17980">
        <w:rPr>
          <w:rFonts w:hint="eastAsia"/>
          <w:sz w:val="24"/>
        </w:rPr>
        <w:t>）术语</w:t>
      </w:r>
      <w:r w:rsidR="00674729">
        <w:rPr>
          <w:rFonts w:hint="eastAsia"/>
          <w:sz w:val="24"/>
        </w:rPr>
        <w:t>与</w:t>
      </w:r>
      <w:r w:rsidRPr="00F17980">
        <w:rPr>
          <w:rFonts w:hint="eastAsia"/>
          <w:sz w:val="24"/>
        </w:rPr>
        <w:t>定义</w:t>
      </w:r>
      <w:r w:rsidR="00674729">
        <w:rPr>
          <w:rFonts w:hint="eastAsia"/>
          <w:sz w:val="24"/>
        </w:rPr>
        <w:t>（第</w:t>
      </w:r>
      <w:r w:rsidR="00674729">
        <w:rPr>
          <w:rFonts w:hint="eastAsia"/>
          <w:sz w:val="24"/>
        </w:rPr>
        <w:t>3</w:t>
      </w:r>
      <w:r w:rsidR="00674729">
        <w:rPr>
          <w:rFonts w:hint="eastAsia"/>
          <w:sz w:val="24"/>
        </w:rPr>
        <w:t>章）</w:t>
      </w:r>
      <w:r w:rsidRPr="00F17980">
        <w:rPr>
          <w:rFonts w:hint="eastAsia"/>
          <w:sz w:val="24"/>
        </w:rPr>
        <w:t>主要参考了</w:t>
      </w:r>
      <w:r w:rsidRPr="00F17980">
        <w:rPr>
          <w:rFonts w:hint="eastAsia"/>
          <w:sz w:val="24"/>
        </w:rPr>
        <w:t>ISO14064-1</w:t>
      </w:r>
      <w:r w:rsidRPr="00F17980">
        <w:rPr>
          <w:rFonts w:hint="eastAsia"/>
          <w:sz w:val="24"/>
        </w:rPr>
        <w:t>、</w:t>
      </w:r>
      <w:proofErr w:type="gramStart"/>
      <w:r w:rsidRPr="00F17980">
        <w:rPr>
          <w:rFonts w:hint="eastAsia"/>
          <w:sz w:val="24"/>
        </w:rPr>
        <w:t>发改委</w:t>
      </w:r>
      <w:proofErr w:type="gramEnd"/>
      <w:r w:rsidRPr="00F17980">
        <w:rPr>
          <w:rFonts w:hint="eastAsia"/>
          <w:sz w:val="24"/>
        </w:rPr>
        <w:t>发布的</w:t>
      </w:r>
      <w:r w:rsidRPr="00F17980">
        <w:rPr>
          <w:rFonts w:hint="eastAsia"/>
          <w:sz w:val="24"/>
        </w:rPr>
        <w:t>10</w:t>
      </w:r>
      <w:r w:rsidRPr="00F17980">
        <w:rPr>
          <w:rFonts w:hint="eastAsia"/>
          <w:sz w:val="24"/>
        </w:rPr>
        <w:t>个行业碳排放核算方法学及</w:t>
      </w:r>
      <w:r w:rsidRPr="00F17980">
        <w:rPr>
          <w:rFonts w:hint="eastAsia"/>
          <w:sz w:val="24"/>
        </w:rPr>
        <w:t>IPCC</w:t>
      </w:r>
      <w:r w:rsidR="00F17980" w:rsidRPr="00F17980">
        <w:rPr>
          <w:rFonts w:hint="eastAsia"/>
          <w:sz w:val="24"/>
        </w:rPr>
        <w:t>清单编制指南的内容。</w:t>
      </w:r>
      <w:r w:rsidR="00F17980">
        <w:rPr>
          <w:rFonts w:hint="eastAsia"/>
          <w:sz w:val="24"/>
        </w:rPr>
        <w:t>其中，</w:t>
      </w:r>
      <w:r w:rsidR="00F17980">
        <w:rPr>
          <w:rFonts w:hint="eastAsia"/>
          <w:sz w:val="24"/>
        </w:rPr>
        <w:t>3.4</w:t>
      </w:r>
      <w:r w:rsidR="00F17980">
        <w:rPr>
          <w:rFonts w:hint="eastAsia"/>
          <w:sz w:val="24"/>
        </w:rPr>
        <w:t>报告主体、</w:t>
      </w:r>
      <w:r w:rsidR="00F17980">
        <w:rPr>
          <w:rFonts w:hint="eastAsia"/>
          <w:sz w:val="24"/>
        </w:rPr>
        <w:t>3.10</w:t>
      </w:r>
      <w:r w:rsidR="00F17980">
        <w:rPr>
          <w:rFonts w:hint="eastAsia"/>
          <w:sz w:val="24"/>
        </w:rPr>
        <w:t>燃料燃烧排放、</w:t>
      </w:r>
      <w:r w:rsidR="00F17980">
        <w:rPr>
          <w:rFonts w:hint="eastAsia"/>
          <w:sz w:val="24"/>
        </w:rPr>
        <w:t>3.11</w:t>
      </w:r>
      <w:r w:rsidR="00F17980">
        <w:rPr>
          <w:rFonts w:hint="eastAsia"/>
          <w:sz w:val="24"/>
        </w:rPr>
        <w:t>过程排放、</w:t>
      </w:r>
      <w:r w:rsidR="00F17980">
        <w:rPr>
          <w:rFonts w:hint="eastAsia"/>
          <w:sz w:val="24"/>
        </w:rPr>
        <w:t>3.12</w:t>
      </w:r>
      <w:r w:rsidR="00F17980">
        <w:rPr>
          <w:rFonts w:hint="eastAsia"/>
          <w:sz w:val="24"/>
        </w:rPr>
        <w:t>净购入的电力、热力产生的排放、</w:t>
      </w:r>
      <w:r w:rsidR="00F17980">
        <w:rPr>
          <w:rFonts w:hint="eastAsia"/>
          <w:sz w:val="24"/>
        </w:rPr>
        <w:t>3.13</w:t>
      </w:r>
      <w:proofErr w:type="gramStart"/>
      <w:r w:rsidR="00F17980">
        <w:rPr>
          <w:rFonts w:hint="eastAsia"/>
          <w:sz w:val="24"/>
        </w:rPr>
        <w:t>固碳产品</w:t>
      </w:r>
      <w:proofErr w:type="gramEnd"/>
      <w:r w:rsidR="00F17980">
        <w:rPr>
          <w:rFonts w:hint="eastAsia"/>
          <w:sz w:val="24"/>
        </w:rPr>
        <w:t>隐含的排放、</w:t>
      </w:r>
      <w:r w:rsidR="00F17980">
        <w:rPr>
          <w:rFonts w:hint="eastAsia"/>
          <w:sz w:val="24"/>
        </w:rPr>
        <w:t xml:space="preserve">3.17 </w:t>
      </w:r>
      <w:r w:rsidR="00F17980">
        <w:rPr>
          <w:rFonts w:hint="eastAsia"/>
          <w:sz w:val="24"/>
        </w:rPr>
        <w:t>碳氧化率等术语是</w:t>
      </w:r>
      <w:proofErr w:type="gramStart"/>
      <w:r w:rsidR="00F17980">
        <w:rPr>
          <w:rFonts w:hint="eastAsia"/>
          <w:sz w:val="24"/>
        </w:rPr>
        <w:t>参照发改委</w:t>
      </w:r>
      <w:proofErr w:type="gramEnd"/>
      <w:r w:rsidR="00F17980">
        <w:rPr>
          <w:rFonts w:hint="eastAsia"/>
          <w:sz w:val="24"/>
        </w:rPr>
        <w:t>10</w:t>
      </w:r>
      <w:r w:rsidR="00F17980">
        <w:rPr>
          <w:rFonts w:hint="eastAsia"/>
          <w:sz w:val="24"/>
        </w:rPr>
        <w:t>个行业方法学的内容经过比较后规范形成的。</w:t>
      </w:r>
    </w:p>
    <w:p w:rsidR="00F17980" w:rsidRDefault="00F17980" w:rsidP="00F17980">
      <w:pPr>
        <w:spacing w:line="360" w:lineRule="auto"/>
        <w:ind w:firstLineChars="200" w:firstLine="480"/>
        <w:rPr>
          <w:rFonts w:hint="eastAsia"/>
          <w:sz w:val="24"/>
        </w:rPr>
      </w:pPr>
      <w:r>
        <w:rPr>
          <w:rFonts w:hint="eastAsia"/>
          <w:sz w:val="24"/>
        </w:rPr>
        <w:t>（</w:t>
      </w:r>
      <w:r>
        <w:rPr>
          <w:rFonts w:hint="eastAsia"/>
          <w:sz w:val="24"/>
        </w:rPr>
        <w:t>2</w:t>
      </w:r>
      <w:r>
        <w:rPr>
          <w:rFonts w:hint="eastAsia"/>
          <w:sz w:val="24"/>
        </w:rPr>
        <w:t>）</w:t>
      </w:r>
      <w:r w:rsidR="00674729">
        <w:rPr>
          <w:rFonts w:hint="eastAsia"/>
          <w:sz w:val="24"/>
        </w:rPr>
        <w:t>基本原则（第</w:t>
      </w:r>
      <w:r w:rsidR="00674729">
        <w:rPr>
          <w:rFonts w:hint="eastAsia"/>
          <w:sz w:val="24"/>
        </w:rPr>
        <w:t>4</w:t>
      </w:r>
      <w:r w:rsidR="00674729">
        <w:rPr>
          <w:rFonts w:hint="eastAsia"/>
          <w:sz w:val="24"/>
        </w:rPr>
        <w:t>章）参照</w:t>
      </w:r>
      <w:r w:rsidR="00674729">
        <w:rPr>
          <w:rFonts w:hint="eastAsia"/>
          <w:sz w:val="24"/>
        </w:rPr>
        <w:t>ISO14064-1</w:t>
      </w:r>
      <w:r w:rsidR="00674729">
        <w:rPr>
          <w:rFonts w:hint="eastAsia"/>
          <w:sz w:val="24"/>
        </w:rPr>
        <w:t>中的基本原则给出，并根据国内企业实际情况进行了诠释与简化。</w:t>
      </w:r>
    </w:p>
    <w:p w:rsidR="00674729" w:rsidRDefault="00674729" w:rsidP="00F17980">
      <w:pPr>
        <w:spacing w:line="360" w:lineRule="auto"/>
        <w:ind w:firstLineChars="200" w:firstLine="480"/>
        <w:rPr>
          <w:rFonts w:hint="eastAsia"/>
          <w:sz w:val="24"/>
        </w:rPr>
      </w:pPr>
      <w:r>
        <w:rPr>
          <w:rFonts w:hint="eastAsia"/>
          <w:sz w:val="24"/>
        </w:rPr>
        <w:t>（</w:t>
      </w:r>
      <w:r>
        <w:rPr>
          <w:rFonts w:hint="eastAsia"/>
          <w:sz w:val="24"/>
        </w:rPr>
        <w:t>3</w:t>
      </w:r>
      <w:r>
        <w:rPr>
          <w:rFonts w:hint="eastAsia"/>
          <w:sz w:val="24"/>
        </w:rPr>
        <w:t>）</w:t>
      </w:r>
      <w:r w:rsidRPr="00674729">
        <w:rPr>
          <w:rFonts w:hint="eastAsia"/>
          <w:sz w:val="24"/>
        </w:rPr>
        <w:t>温室气体排放核算和报告的工作流程</w:t>
      </w:r>
      <w:r>
        <w:rPr>
          <w:rFonts w:hint="eastAsia"/>
          <w:sz w:val="24"/>
        </w:rPr>
        <w:t>（第</w:t>
      </w:r>
      <w:r>
        <w:rPr>
          <w:rFonts w:hint="eastAsia"/>
          <w:sz w:val="24"/>
        </w:rPr>
        <w:t>5</w:t>
      </w:r>
      <w:r>
        <w:rPr>
          <w:rFonts w:hint="eastAsia"/>
          <w:sz w:val="24"/>
        </w:rPr>
        <w:t>章）</w:t>
      </w:r>
      <w:r w:rsidR="0018762B">
        <w:rPr>
          <w:rFonts w:hint="eastAsia"/>
          <w:sz w:val="24"/>
        </w:rPr>
        <w:t>主要为了方便读者提纲携领地总</w:t>
      </w:r>
      <w:proofErr w:type="gramStart"/>
      <w:r w:rsidR="0018762B">
        <w:rPr>
          <w:rFonts w:hint="eastAsia"/>
          <w:sz w:val="24"/>
        </w:rPr>
        <w:t>览</w:t>
      </w:r>
      <w:proofErr w:type="gramEnd"/>
      <w:r w:rsidR="0018762B">
        <w:rPr>
          <w:rFonts w:hint="eastAsia"/>
          <w:sz w:val="24"/>
        </w:rPr>
        <w:t>核算的步骤，具体内容是对第</w:t>
      </w:r>
      <w:r w:rsidR="0018762B">
        <w:rPr>
          <w:rFonts w:hint="eastAsia"/>
          <w:sz w:val="24"/>
        </w:rPr>
        <w:t>6</w:t>
      </w:r>
      <w:r w:rsidR="0018762B">
        <w:rPr>
          <w:rFonts w:hint="eastAsia"/>
          <w:sz w:val="24"/>
        </w:rPr>
        <w:t>章至第</w:t>
      </w:r>
      <w:r w:rsidR="0018762B">
        <w:rPr>
          <w:rFonts w:hint="eastAsia"/>
          <w:sz w:val="24"/>
        </w:rPr>
        <w:t>9</w:t>
      </w:r>
      <w:r w:rsidR="0018762B">
        <w:rPr>
          <w:rFonts w:hint="eastAsia"/>
          <w:sz w:val="24"/>
        </w:rPr>
        <w:t>章的归纳与梳理</w:t>
      </w:r>
      <w:r w:rsidR="00981470">
        <w:rPr>
          <w:rFonts w:hint="eastAsia"/>
          <w:sz w:val="24"/>
        </w:rPr>
        <w:t>，并通过流程图的形式对</w:t>
      </w:r>
      <w:r w:rsidR="00981470">
        <w:rPr>
          <w:rFonts w:hint="eastAsia"/>
          <w:sz w:val="24"/>
        </w:rPr>
        <w:t>第</w:t>
      </w:r>
      <w:r w:rsidR="00981470">
        <w:rPr>
          <w:rFonts w:hint="eastAsia"/>
          <w:sz w:val="24"/>
        </w:rPr>
        <w:t>6</w:t>
      </w:r>
      <w:r w:rsidR="00981470">
        <w:rPr>
          <w:rFonts w:hint="eastAsia"/>
          <w:sz w:val="24"/>
        </w:rPr>
        <w:t>章至第</w:t>
      </w:r>
      <w:r w:rsidR="00981470">
        <w:rPr>
          <w:rFonts w:hint="eastAsia"/>
          <w:sz w:val="24"/>
        </w:rPr>
        <w:t>9</w:t>
      </w:r>
      <w:r w:rsidR="00981470">
        <w:rPr>
          <w:rFonts w:hint="eastAsia"/>
          <w:sz w:val="24"/>
        </w:rPr>
        <w:t>章</w:t>
      </w:r>
      <w:proofErr w:type="gramStart"/>
      <w:r w:rsidR="00981470">
        <w:rPr>
          <w:rFonts w:hint="eastAsia"/>
          <w:sz w:val="24"/>
        </w:rPr>
        <w:t>具体条</w:t>
      </w:r>
      <w:proofErr w:type="gramEnd"/>
      <w:r w:rsidR="00981470">
        <w:rPr>
          <w:rFonts w:hint="eastAsia"/>
          <w:sz w:val="24"/>
        </w:rPr>
        <w:t>目见的关系进行体现。</w:t>
      </w:r>
    </w:p>
    <w:p w:rsidR="00981470" w:rsidRDefault="00981470" w:rsidP="00F17980">
      <w:pPr>
        <w:spacing w:line="360" w:lineRule="auto"/>
        <w:ind w:firstLineChars="200" w:firstLine="480"/>
        <w:rPr>
          <w:rFonts w:hint="eastAsia"/>
          <w:sz w:val="24"/>
        </w:rPr>
      </w:pPr>
      <w:r>
        <w:rPr>
          <w:rFonts w:hint="eastAsia"/>
          <w:sz w:val="24"/>
        </w:rPr>
        <w:t>（</w:t>
      </w:r>
      <w:r>
        <w:rPr>
          <w:rFonts w:hint="eastAsia"/>
          <w:sz w:val="24"/>
        </w:rPr>
        <w:t>4</w:t>
      </w:r>
      <w:r>
        <w:rPr>
          <w:rFonts w:hint="eastAsia"/>
          <w:sz w:val="24"/>
        </w:rPr>
        <w:t>）温室气体排放核算边界（第</w:t>
      </w:r>
      <w:r>
        <w:rPr>
          <w:rFonts w:hint="eastAsia"/>
          <w:sz w:val="24"/>
        </w:rPr>
        <w:t>6</w:t>
      </w:r>
      <w:r>
        <w:rPr>
          <w:rFonts w:hint="eastAsia"/>
          <w:sz w:val="24"/>
        </w:rPr>
        <w:t>章）</w:t>
      </w:r>
    </w:p>
    <w:p w:rsidR="00981470" w:rsidRDefault="00981470" w:rsidP="00F17980">
      <w:pPr>
        <w:spacing w:line="360" w:lineRule="auto"/>
        <w:ind w:firstLineChars="200" w:firstLine="480"/>
        <w:rPr>
          <w:rFonts w:hint="eastAsia"/>
          <w:sz w:val="24"/>
        </w:rPr>
      </w:pPr>
      <w:r>
        <w:rPr>
          <w:sz w:val="24"/>
        </w:rPr>
        <w:t xml:space="preserve">a. </w:t>
      </w:r>
      <w:r w:rsidR="004B744C">
        <w:rPr>
          <w:rFonts w:hint="eastAsia"/>
          <w:sz w:val="24"/>
        </w:rPr>
        <w:t>为了适应我国企业现有的管理与数据统计习惯，核算边界进行了简化描述，以“报告主体”为基本的边界划分依据，同时提出更加具体的要求，即包括：</w:t>
      </w:r>
      <w:r w:rsidR="00C13475">
        <w:rPr>
          <w:rFonts w:hint="eastAsia"/>
          <w:sz w:val="24"/>
        </w:rPr>
        <w:t>“</w:t>
      </w:r>
      <w:r w:rsidR="004B744C" w:rsidRPr="004B744C">
        <w:rPr>
          <w:rFonts w:hint="eastAsia"/>
          <w:sz w:val="24"/>
        </w:rPr>
        <w:t>燃料燃烧排放、过程排放、净购入电力、热力产生的排放等。报告主体内生活耗能导致的排放原则上不在核算范围内。</w:t>
      </w:r>
      <w:r w:rsidR="00C13475">
        <w:rPr>
          <w:rFonts w:hint="eastAsia"/>
          <w:sz w:val="24"/>
        </w:rPr>
        <w:t>”</w:t>
      </w:r>
    </w:p>
    <w:p w:rsidR="00C13475" w:rsidRDefault="00C13475" w:rsidP="00F17980">
      <w:pPr>
        <w:spacing w:line="360" w:lineRule="auto"/>
        <w:ind w:firstLineChars="200" w:firstLine="480"/>
        <w:rPr>
          <w:rFonts w:hint="eastAsia"/>
          <w:sz w:val="24"/>
        </w:rPr>
      </w:pPr>
      <w:r>
        <w:rPr>
          <w:rFonts w:hint="eastAsia"/>
          <w:sz w:val="24"/>
        </w:rPr>
        <w:t xml:space="preserve">b. </w:t>
      </w:r>
      <w:r>
        <w:rPr>
          <w:rFonts w:hint="eastAsia"/>
          <w:sz w:val="24"/>
        </w:rPr>
        <w:t>为了适应不同行业所排放温室气体的多种可能，提出温室气体的范围包括：“</w:t>
      </w:r>
      <w:r w:rsidRPr="00C13475">
        <w:rPr>
          <w:rFonts w:hint="eastAsia"/>
          <w:sz w:val="24"/>
        </w:rPr>
        <w:t>二氧化碳（</w:t>
      </w:r>
      <w:r w:rsidRPr="00C13475">
        <w:rPr>
          <w:rFonts w:hint="eastAsia"/>
          <w:sz w:val="24"/>
        </w:rPr>
        <w:t>CO2</w:t>
      </w:r>
      <w:r w:rsidRPr="00C13475">
        <w:rPr>
          <w:rFonts w:hint="eastAsia"/>
          <w:sz w:val="24"/>
        </w:rPr>
        <w:t>）、甲烷（</w:t>
      </w:r>
      <w:r w:rsidRPr="00C13475">
        <w:rPr>
          <w:rFonts w:hint="eastAsia"/>
          <w:sz w:val="24"/>
        </w:rPr>
        <w:t>CH4</w:t>
      </w:r>
      <w:r w:rsidRPr="00C13475">
        <w:rPr>
          <w:rFonts w:hint="eastAsia"/>
          <w:sz w:val="24"/>
        </w:rPr>
        <w:t>）、氧化亚氮（</w:t>
      </w:r>
      <w:r w:rsidRPr="00C13475">
        <w:rPr>
          <w:rFonts w:hint="eastAsia"/>
          <w:sz w:val="24"/>
        </w:rPr>
        <w:t>N2O</w:t>
      </w:r>
      <w:r w:rsidRPr="00C13475">
        <w:rPr>
          <w:rFonts w:hint="eastAsia"/>
          <w:sz w:val="24"/>
        </w:rPr>
        <w:t>）、氢氟碳化物（</w:t>
      </w:r>
      <w:r w:rsidRPr="00C13475">
        <w:rPr>
          <w:rFonts w:hint="eastAsia"/>
          <w:sz w:val="24"/>
        </w:rPr>
        <w:t>HFCs</w:t>
      </w:r>
      <w:r w:rsidRPr="00C13475">
        <w:rPr>
          <w:rFonts w:hint="eastAsia"/>
          <w:sz w:val="24"/>
        </w:rPr>
        <w:t>）、全氟碳化物（</w:t>
      </w:r>
      <w:r w:rsidRPr="00C13475">
        <w:rPr>
          <w:rFonts w:hint="eastAsia"/>
          <w:sz w:val="24"/>
        </w:rPr>
        <w:t>PFCs</w:t>
      </w:r>
      <w:r w:rsidRPr="00C13475">
        <w:rPr>
          <w:rFonts w:hint="eastAsia"/>
          <w:sz w:val="24"/>
        </w:rPr>
        <w:t>）和六氟化硫（</w:t>
      </w:r>
      <w:r w:rsidRPr="00C13475">
        <w:rPr>
          <w:rFonts w:hint="eastAsia"/>
          <w:sz w:val="24"/>
        </w:rPr>
        <w:t>SF6</w:t>
      </w:r>
      <w:r w:rsidRPr="00C13475">
        <w:rPr>
          <w:rFonts w:hint="eastAsia"/>
          <w:sz w:val="24"/>
        </w:rPr>
        <w:t>）。</w:t>
      </w:r>
      <w:r>
        <w:rPr>
          <w:rFonts w:hint="eastAsia"/>
          <w:sz w:val="24"/>
        </w:rPr>
        <w:t>”</w:t>
      </w:r>
    </w:p>
    <w:p w:rsidR="00C13475" w:rsidRDefault="00C13475" w:rsidP="00F17980">
      <w:pPr>
        <w:spacing w:line="360" w:lineRule="auto"/>
        <w:ind w:firstLineChars="200" w:firstLine="480"/>
        <w:rPr>
          <w:rFonts w:hint="eastAsia"/>
          <w:sz w:val="24"/>
        </w:rPr>
      </w:pPr>
      <w:r>
        <w:rPr>
          <w:rFonts w:hint="eastAsia"/>
          <w:sz w:val="24"/>
        </w:rPr>
        <w:t xml:space="preserve">c. </w:t>
      </w:r>
      <w:r>
        <w:rPr>
          <w:rFonts w:hint="eastAsia"/>
          <w:sz w:val="24"/>
        </w:rPr>
        <w:t>为了方便后续编制具体的行业指南，上述全面要求的基础上，提供了可由各行业根据实际情况提出具体要求的灵活性。</w:t>
      </w:r>
    </w:p>
    <w:p w:rsidR="00C13475" w:rsidRDefault="00C13475" w:rsidP="00F17980">
      <w:pPr>
        <w:spacing w:line="360" w:lineRule="auto"/>
        <w:ind w:firstLineChars="200" w:firstLine="480"/>
        <w:rPr>
          <w:rFonts w:hint="eastAsia"/>
          <w:sz w:val="24"/>
        </w:rPr>
      </w:pPr>
      <w:r>
        <w:rPr>
          <w:rFonts w:hint="eastAsia"/>
          <w:sz w:val="24"/>
        </w:rPr>
        <w:t>（</w:t>
      </w:r>
      <w:r>
        <w:rPr>
          <w:rFonts w:hint="eastAsia"/>
          <w:sz w:val="24"/>
        </w:rPr>
        <w:t>5</w:t>
      </w:r>
      <w:r>
        <w:rPr>
          <w:rFonts w:hint="eastAsia"/>
          <w:sz w:val="24"/>
        </w:rPr>
        <w:t>）</w:t>
      </w:r>
      <w:r w:rsidRPr="00C13475">
        <w:rPr>
          <w:rFonts w:hint="eastAsia"/>
          <w:sz w:val="24"/>
        </w:rPr>
        <w:t>温室气体排放核算步骤与方法</w:t>
      </w:r>
      <w:r>
        <w:rPr>
          <w:rFonts w:hint="eastAsia"/>
          <w:sz w:val="24"/>
        </w:rPr>
        <w:t>（第</w:t>
      </w:r>
      <w:r>
        <w:rPr>
          <w:rFonts w:hint="eastAsia"/>
          <w:sz w:val="24"/>
        </w:rPr>
        <w:t>7</w:t>
      </w:r>
      <w:r>
        <w:rPr>
          <w:rFonts w:hint="eastAsia"/>
          <w:sz w:val="24"/>
        </w:rPr>
        <w:t>章）</w:t>
      </w:r>
    </w:p>
    <w:p w:rsidR="003B3AA5" w:rsidRDefault="003B3AA5" w:rsidP="00F17980">
      <w:pPr>
        <w:spacing w:line="360" w:lineRule="auto"/>
        <w:ind w:firstLineChars="200" w:firstLine="480"/>
        <w:rPr>
          <w:rFonts w:hint="eastAsia"/>
          <w:sz w:val="24"/>
        </w:rPr>
      </w:pPr>
      <w:r>
        <w:rPr>
          <w:rFonts w:hint="eastAsia"/>
          <w:sz w:val="24"/>
        </w:rPr>
        <w:t xml:space="preserve">a. </w:t>
      </w:r>
      <w:r>
        <w:rPr>
          <w:rFonts w:hint="eastAsia"/>
          <w:sz w:val="24"/>
        </w:rPr>
        <w:t>为了方便企业理解温室气体源的概念，在</w:t>
      </w:r>
      <w:r>
        <w:rPr>
          <w:rFonts w:hint="eastAsia"/>
          <w:sz w:val="24"/>
        </w:rPr>
        <w:t>7.1</w:t>
      </w:r>
      <w:r>
        <w:rPr>
          <w:rFonts w:hint="eastAsia"/>
          <w:sz w:val="24"/>
        </w:rPr>
        <w:t>中给出了温室气体源与温室气体种类对应关系的示意表（表</w:t>
      </w:r>
      <w:r>
        <w:rPr>
          <w:rFonts w:hint="eastAsia"/>
          <w:sz w:val="24"/>
        </w:rPr>
        <w:t>1</w:t>
      </w:r>
      <w:r>
        <w:rPr>
          <w:rFonts w:hint="eastAsia"/>
          <w:sz w:val="24"/>
        </w:rPr>
        <w:t>）；</w:t>
      </w:r>
    </w:p>
    <w:p w:rsidR="003B3AA5" w:rsidRDefault="003B3AA5" w:rsidP="00F17980">
      <w:pPr>
        <w:spacing w:line="360" w:lineRule="auto"/>
        <w:ind w:firstLineChars="200" w:firstLine="480"/>
        <w:rPr>
          <w:rFonts w:hint="eastAsia"/>
          <w:sz w:val="24"/>
        </w:rPr>
      </w:pPr>
      <w:r>
        <w:rPr>
          <w:rFonts w:hint="eastAsia"/>
          <w:sz w:val="24"/>
        </w:rPr>
        <w:t xml:space="preserve">b. </w:t>
      </w:r>
      <w:r w:rsidR="00146C0A">
        <w:rPr>
          <w:rFonts w:hint="eastAsia"/>
          <w:sz w:val="24"/>
        </w:rPr>
        <w:t>考虑到企业开展温室气体核算可能使用到的多种方法，如美国</w:t>
      </w:r>
      <w:r w:rsidR="00146C0A">
        <w:rPr>
          <w:rFonts w:hint="eastAsia"/>
          <w:sz w:val="24"/>
        </w:rPr>
        <w:t>RGGI</w:t>
      </w:r>
      <w:r w:rsidR="00146C0A">
        <w:rPr>
          <w:rFonts w:hint="eastAsia"/>
          <w:sz w:val="24"/>
        </w:rPr>
        <w:t>、</w:t>
      </w:r>
      <w:r w:rsidR="00146C0A">
        <w:rPr>
          <w:rFonts w:hint="eastAsia"/>
          <w:sz w:val="24"/>
        </w:rPr>
        <w:t>EPA</w:t>
      </w:r>
      <w:r w:rsidR="00146C0A">
        <w:rPr>
          <w:rFonts w:hint="eastAsia"/>
          <w:sz w:val="24"/>
        </w:rPr>
        <w:t>报告体系以及</w:t>
      </w:r>
      <w:r w:rsidR="00146C0A">
        <w:rPr>
          <w:rFonts w:hint="eastAsia"/>
          <w:sz w:val="24"/>
        </w:rPr>
        <w:t>ISO19694</w:t>
      </w:r>
      <w:r w:rsidR="00146C0A">
        <w:rPr>
          <w:rFonts w:hint="eastAsia"/>
          <w:sz w:val="24"/>
        </w:rPr>
        <w:t>系列标准以</w:t>
      </w:r>
      <w:r w:rsidR="00FB78B0">
        <w:rPr>
          <w:rFonts w:hint="eastAsia"/>
          <w:sz w:val="24"/>
        </w:rPr>
        <w:t>测量与</w:t>
      </w:r>
      <w:r w:rsidR="00FB78B0">
        <w:rPr>
          <w:rFonts w:hint="eastAsia"/>
          <w:sz w:val="24"/>
        </w:rPr>
        <w:t>/</w:t>
      </w:r>
      <w:r w:rsidR="00FB78B0">
        <w:rPr>
          <w:rFonts w:hint="eastAsia"/>
          <w:sz w:val="24"/>
        </w:rPr>
        <w:t>或物料平衡为基础的核算方法，以及</w:t>
      </w:r>
      <w:r w:rsidR="00FB78B0">
        <w:rPr>
          <w:rFonts w:hint="eastAsia"/>
          <w:sz w:val="24"/>
        </w:rPr>
        <w:t>EU-ETS</w:t>
      </w:r>
      <w:r w:rsidR="00FB78B0">
        <w:rPr>
          <w:rFonts w:hint="eastAsia"/>
          <w:sz w:val="24"/>
        </w:rPr>
        <w:t>、</w:t>
      </w:r>
      <w:r w:rsidR="00FB78B0">
        <w:rPr>
          <w:rFonts w:hint="eastAsia"/>
          <w:sz w:val="24"/>
        </w:rPr>
        <w:t>ISO14064-1</w:t>
      </w:r>
      <w:r w:rsidR="00FB78B0">
        <w:rPr>
          <w:rFonts w:hint="eastAsia"/>
          <w:sz w:val="24"/>
        </w:rPr>
        <w:t>提及的以排放因子为基础的核算方法，本标准将核算方法分为“计算”与“实测”两类</w:t>
      </w:r>
      <w:r w:rsidR="00C10F4A">
        <w:rPr>
          <w:rFonts w:hint="eastAsia"/>
          <w:sz w:val="24"/>
        </w:rPr>
        <w:t>（</w:t>
      </w:r>
      <w:r w:rsidR="00C10F4A">
        <w:rPr>
          <w:rFonts w:hint="eastAsia"/>
          <w:sz w:val="24"/>
        </w:rPr>
        <w:t>7.2.1</w:t>
      </w:r>
      <w:r w:rsidR="00C10F4A">
        <w:rPr>
          <w:rFonts w:hint="eastAsia"/>
          <w:sz w:val="24"/>
        </w:rPr>
        <w:t>）</w:t>
      </w:r>
      <w:r w:rsidR="00FB78B0">
        <w:rPr>
          <w:rFonts w:hint="eastAsia"/>
          <w:sz w:val="24"/>
        </w:rPr>
        <w:t>，并对每一种核算方法给出解释说明</w:t>
      </w:r>
      <w:r w:rsidR="00C10F4A">
        <w:rPr>
          <w:rFonts w:hint="eastAsia"/>
          <w:sz w:val="24"/>
        </w:rPr>
        <w:t>（</w:t>
      </w:r>
      <w:r w:rsidR="00C10F4A">
        <w:rPr>
          <w:rFonts w:hint="eastAsia"/>
          <w:sz w:val="24"/>
        </w:rPr>
        <w:t>7.2.2-7.2.4</w:t>
      </w:r>
      <w:r w:rsidR="00C10F4A">
        <w:rPr>
          <w:rFonts w:hint="eastAsia"/>
          <w:sz w:val="24"/>
        </w:rPr>
        <w:t>）</w:t>
      </w:r>
      <w:r w:rsidR="00FB78B0">
        <w:rPr>
          <w:rFonts w:hint="eastAsia"/>
          <w:sz w:val="24"/>
        </w:rPr>
        <w:t>；同时，为了方便行业标准编制者以及企业使用，也给出了</w:t>
      </w:r>
      <w:r w:rsidR="00C10F4A">
        <w:rPr>
          <w:rFonts w:hint="eastAsia"/>
          <w:sz w:val="24"/>
        </w:rPr>
        <w:t>选择核算方法的参考因</w:t>
      </w:r>
      <w:r w:rsidR="00C10F4A">
        <w:rPr>
          <w:rFonts w:hint="eastAsia"/>
          <w:sz w:val="24"/>
        </w:rPr>
        <w:lastRenderedPageBreak/>
        <w:t>素（</w:t>
      </w:r>
      <w:r w:rsidR="00C10F4A">
        <w:rPr>
          <w:rFonts w:hint="eastAsia"/>
          <w:sz w:val="24"/>
        </w:rPr>
        <w:t>7.2.5</w:t>
      </w:r>
      <w:r w:rsidR="00C10F4A">
        <w:rPr>
          <w:rFonts w:hint="eastAsia"/>
          <w:sz w:val="24"/>
        </w:rPr>
        <w:t>）。</w:t>
      </w:r>
    </w:p>
    <w:p w:rsidR="00C10F4A" w:rsidRDefault="00C10F4A" w:rsidP="00F17980">
      <w:pPr>
        <w:spacing w:line="360" w:lineRule="auto"/>
        <w:ind w:firstLineChars="200" w:firstLine="480"/>
        <w:rPr>
          <w:rFonts w:hint="eastAsia"/>
          <w:sz w:val="24"/>
        </w:rPr>
      </w:pPr>
      <w:r>
        <w:rPr>
          <w:rFonts w:hint="eastAsia"/>
          <w:sz w:val="24"/>
        </w:rPr>
        <w:t xml:space="preserve">c. </w:t>
      </w:r>
      <w:r>
        <w:rPr>
          <w:rFonts w:hint="eastAsia"/>
          <w:sz w:val="24"/>
        </w:rPr>
        <w:t>为了方便行业标准编制者以及企业使用</w:t>
      </w:r>
      <w:r>
        <w:rPr>
          <w:rFonts w:hint="eastAsia"/>
          <w:sz w:val="24"/>
        </w:rPr>
        <w:t>，本标准对活动水平数据与排放因子按照选用优先级进行了分类</w:t>
      </w:r>
      <w:r w:rsidR="005435AA">
        <w:rPr>
          <w:rFonts w:hint="eastAsia"/>
          <w:sz w:val="24"/>
        </w:rPr>
        <w:t>（</w:t>
      </w:r>
      <w:r w:rsidR="005435AA">
        <w:rPr>
          <w:rFonts w:hint="eastAsia"/>
          <w:sz w:val="24"/>
        </w:rPr>
        <w:t>7.3</w:t>
      </w:r>
      <w:r w:rsidR="005435AA">
        <w:rPr>
          <w:rFonts w:hint="eastAsia"/>
          <w:sz w:val="24"/>
        </w:rPr>
        <w:t>与</w:t>
      </w:r>
      <w:r w:rsidR="005435AA">
        <w:rPr>
          <w:rFonts w:hint="eastAsia"/>
          <w:sz w:val="24"/>
        </w:rPr>
        <w:t>7.4</w:t>
      </w:r>
      <w:r w:rsidR="005435AA">
        <w:rPr>
          <w:rFonts w:hint="eastAsia"/>
          <w:sz w:val="24"/>
        </w:rPr>
        <w:t>），并给出了企业常用的数据来源（</w:t>
      </w:r>
      <w:r w:rsidR="005435AA">
        <w:rPr>
          <w:rFonts w:hint="eastAsia"/>
          <w:sz w:val="24"/>
        </w:rPr>
        <w:t>7.3</w:t>
      </w:r>
      <w:r w:rsidR="005435AA">
        <w:rPr>
          <w:rFonts w:hint="eastAsia"/>
          <w:sz w:val="24"/>
        </w:rPr>
        <w:t>）；</w:t>
      </w:r>
    </w:p>
    <w:p w:rsidR="005435AA" w:rsidRDefault="005435AA" w:rsidP="00F17980">
      <w:pPr>
        <w:spacing w:line="360" w:lineRule="auto"/>
        <w:ind w:firstLineChars="200" w:firstLine="480"/>
        <w:rPr>
          <w:rFonts w:hint="eastAsia"/>
          <w:sz w:val="24"/>
        </w:rPr>
      </w:pPr>
      <w:r>
        <w:rPr>
          <w:rFonts w:hint="eastAsia"/>
          <w:sz w:val="24"/>
        </w:rPr>
        <w:t xml:space="preserve">d. </w:t>
      </w:r>
      <w:r>
        <w:rPr>
          <w:rFonts w:hint="eastAsia"/>
          <w:sz w:val="24"/>
        </w:rPr>
        <w:t>为了体现各排放源与企业整体排放核算间的累积关系，在</w:t>
      </w:r>
      <w:r>
        <w:rPr>
          <w:rFonts w:hint="eastAsia"/>
          <w:sz w:val="24"/>
        </w:rPr>
        <w:t>7.5</w:t>
      </w:r>
      <w:r>
        <w:rPr>
          <w:rFonts w:hint="eastAsia"/>
          <w:sz w:val="24"/>
        </w:rPr>
        <w:t>种按照排放源类别给出了概念计算公式，以明确标准中各类排放源与总排放见的关系。</w:t>
      </w:r>
    </w:p>
    <w:p w:rsidR="002B1B42" w:rsidRPr="00F17980" w:rsidRDefault="002B1B42" w:rsidP="00F17980">
      <w:pPr>
        <w:spacing w:line="360" w:lineRule="auto"/>
        <w:ind w:firstLineChars="200" w:firstLine="480"/>
        <w:rPr>
          <w:sz w:val="24"/>
        </w:rPr>
      </w:pPr>
      <w:r>
        <w:rPr>
          <w:rFonts w:hint="eastAsia"/>
          <w:sz w:val="24"/>
        </w:rPr>
        <w:t>（</w:t>
      </w:r>
      <w:r>
        <w:rPr>
          <w:rFonts w:hint="eastAsia"/>
          <w:sz w:val="24"/>
        </w:rPr>
        <w:t>6</w:t>
      </w:r>
      <w:r>
        <w:rPr>
          <w:rFonts w:hint="eastAsia"/>
          <w:sz w:val="24"/>
        </w:rPr>
        <w:t>）质量保证与排放报告两章的内容与行业指南进行了统一。</w:t>
      </w:r>
      <w:bookmarkStart w:id="0" w:name="_GoBack"/>
      <w:bookmarkEnd w:id="0"/>
    </w:p>
    <w:sectPr w:rsidR="002B1B42" w:rsidRPr="00F17980" w:rsidSect="002608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852" w:rsidRDefault="00430852" w:rsidP="00F469B7">
      <w:r>
        <w:separator/>
      </w:r>
    </w:p>
  </w:endnote>
  <w:endnote w:type="continuationSeparator" w:id="0">
    <w:p w:rsidR="00430852" w:rsidRDefault="00430852" w:rsidP="00F4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B7" w:rsidRDefault="00545F84" w:rsidP="000F5D8E">
    <w:pPr>
      <w:pStyle w:val="a4"/>
      <w:framePr w:wrap="around" w:vAnchor="text" w:hAnchor="margin" w:xAlign="center" w:y="1"/>
      <w:rPr>
        <w:rStyle w:val="a5"/>
      </w:rPr>
    </w:pPr>
    <w:r>
      <w:rPr>
        <w:rStyle w:val="a5"/>
      </w:rPr>
      <w:fldChar w:fldCharType="begin"/>
    </w:r>
    <w:r w:rsidR="00F469B7">
      <w:rPr>
        <w:rStyle w:val="a5"/>
      </w:rPr>
      <w:instrText xml:space="preserve">PAGE  </w:instrText>
    </w:r>
    <w:r>
      <w:rPr>
        <w:rStyle w:val="a5"/>
      </w:rPr>
      <w:fldChar w:fldCharType="end"/>
    </w:r>
  </w:p>
  <w:p w:rsidR="00F469B7" w:rsidRDefault="00F469B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B7" w:rsidRDefault="00545F84" w:rsidP="000F5D8E">
    <w:pPr>
      <w:pStyle w:val="a4"/>
      <w:framePr w:wrap="around" w:vAnchor="text" w:hAnchor="margin" w:xAlign="center" w:y="1"/>
      <w:rPr>
        <w:rStyle w:val="a5"/>
      </w:rPr>
    </w:pPr>
    <w:r>
      <w:rPr>
        <w:rStyle w:val="a5"/>
      </w:rPr>
      <w:fldChar w:fldCharType="begin"/>
    </w:r>
    <w:r w:rsidR="00F469B7">
      <w:rPr>
        <w:rStyle w:val="a5"/>
      </w:rPr>
      <w:instrText xml:space="preserve">PAGE  </w:instrText>
    </w:r>
    <w:r>
      <w:rPr>
        <w:rStyle w:val="a5"/>
      </w:rPr>
      <w:fldChar w:fldCharType="separate"/>
    </w:r>
    <w:r w:rsidR="002B1B42">
      <w:rPr>
        <w:rStyle w:val="a5"/>
        <w:noProof/>
      </w:rPr>
      <w:t>2</w:t>
    </w:r>
    <w:r>
      <w:rPr>
        <w:rStyle w:val="a5"/>
      </w:rPr>
      <w:fldChar w:fldCharType="end"/>
    </w:r>
  </w:p>
  <w:p w:rsidR="00F469B7" w:rsidRDefault="00F469B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B7" w:rsidRDefault="00F469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852" w:rsidRDefault="00430852" w:rsidP="00F469B7">
      <w:r>
        <w:separator/>
      </w:r>
    </w:p>
  </w:footnote>
  <w:footnote w:type="continuationSeparator" w:id="0">
    <w:p w:rsidR="00430852" w:rsidRDefault="00430852" w:rsidP="00F46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B7" w:rsidRDefault="00F469B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B7" w:rsidRDefault="00F469B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B7" w:rsidRDefault="00F469B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6662E"/>
    <w:multiLevelType w:val="hybridMultilevel"/>
    <w:tmpl w:val="8DEAE76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48407398"/>
    <w:multiLevelType w:val="hybridMultilevel"/>
    <w:tmpl w:val="B5760B12"/>
    <w:lvl w:ilvl="0" w:tplc="F3F82BEA">
      <w:start w:val="1"/>
      <w:numFmt w:val="bullet"/>
      <w:lvlText w:val=""/>
      <w:lvlJc w:val="left"/>
      <w:pPr>
        <w:tabs>
          <w:tab w:val="num" w:pos="720"/>
        </w:tabs>
        <w:ind w:left="720" w:hanging="360"/>
      </w:pPr>
      <w:rPr>
        <w:rFonts w:ascii="Wingdings" w:hAnsi="Wingdings" w:hint="default"/>
      </w:rPr>
    </w:lvl>
    <w:lvl w:ilvl="1" w:tplc="3CEC95AC" w:tentative="1">
      <w:start w:val="1"/>
      <w:numFmt w:val="bullet"/>
      <w:lvlText w:val=""/>
      <w:lvlJc w:val="left"/>
      <w:pPr>
        <w:tabs>
          <w:tab w:val="num" w:pos="1440"/>
        </w:tabs>
        <w:ind w:left="1440" w:hanging="360"/>
      </w:pPr>
      <w:rPr>
        <w:rFonts w:ascii="Wingdings" w:hAnsi="Wingdings" w:hint="default"/>
      </w:rPr>
    </w:lvl>
    <w:lvl w:ilvl="2" w:tplc="6200FF48" w:tentative="1">
      <w:start w:val="1"/>
      <w:numFmt w:val="bullet"/>
      <w:lvlText w:val=""/>
      <w:lvlJc w:val="left"/>
      <w:pPr>
        <w:tabs>
          <w:tab w:val="num" w:pos="2160"/>
        </w:tabs>
        <w:ind w:left="2160" w:hanging="360"/>
      </w:pPr>
      <w:rPr>
        <w:rFonts w:ascii="Wingdings" w:hAnsi="Wingdings" w:hint="default"/>
      </w:rPr>
    </w:lvl>
    <w:lvl w:ilvl="3" w:tplc="1722EA4E" w:tentative="1">
      <w:start w:val="1"/>
      <w:numFmt w:val="bullet"/>
      <w:lvlText w:val=""/>
      <w:lvlJc w:val="left"/>
      <w:pPr>
        <w:tabs>
          <w:tab w:val="num" w:pos="2880"/>
        </w:tabs>
        <w:ind w:left="2880" w:hanging="360"/>
      </w:pPr>
      <w:rPr>
        <w:rFonts w:ascii="Wingdings" w:hAnsi="Wingdings" w:hint="default"/>
      </w:rPr>
    </w:lvl>
    <w:lvl w:ilvl="4" w:tplc="570A6E78" w:tentative="1">
      <w:start w:val="1"/>
      <w:numFmt w:val="bullet"/>
      <w:lvlText w:val=""/>
      <w:lvlJc w:val="left"/>
      <w:pPr>
        <w:tabs>
          <w:tab w:val="num" w:pos="3600"/>
        </w:tabs>
        <w:ind w:left="3600" w:hanging="360"/>
      </w:pPr>
      <w:rPr>
        <w:rFonts w:ascii="Wingdings" w:hAnsi="Wingdings" w:hint="default"/>
      </w:rPr>
    </w:lvl>
    <w:lvl w:ilvl="5" w:tplc="9356F77E" w:tentative="1">
      <w:start w:val="1"/>
      <w:numFmt w:val="bullet"/>
      <w:lvlText w:val=""/>
      <w:lvlJc w:val="left"/>
      <w:pPr>
        <w:tabs>
          <w:tab w:val="num" w:pos="4320"/>
        </w:tabs>
        <w:ind w:left="4320" w:hanging="360"/>
      </w:pPr>
      <w:rPr>
        <w:rFonts w:ascii="Wingdings" w:hAnsi="Wingdings" w:hint="default"/>
      </w:rPr>
    </w:lvl>
    <w:lvl w:ilvl="6" w:tplc="3626AA58" w:tentative="1">
      <w:start w:val="1"/>
      <w:numFmt w:val="bullet"/>
      <w:lvlText w:val=""/>
      <w:lvlJc w:val="left"/>
      <w:pPr>
        <w:tabs>
          <w:tab w:val="num" w:pos="5040"/>
        </w:tabs>
        <w:ind w:left="5040" w:hanging="360"/>
      </w:pPr>
      <w:rPr>
        <w:rFonts w:ascii="Wingdings" w:hAnsi="Wingdings" w:hint="default"/>
      </w:rPr>
    </w:lvl>
    <w:lvl w:ilvl="7" w:tplc="96F830BC" w:tentative="1">
      <w:start w:val="1"/>
      <w:numFmt w:val="bullet"/>
      <w:lvlText w:val=""/>
      <w:lvlJc w:val="left"/>
      <w:pPr>
        <w:tabs>
          <w:tab w:val="num" w:pos="5760"/>
        </w:tabs>
        <w:ind w:left="5760" w:hanging="360"/>
      </w:pPr>
      <w:rPr>
        <w:rFonts w:ascii="Wingdings" w:hAnsi="Wingdings" w:hint="default"/>
      </w:rPr>
    </w:lvl>
    <w:lvl w:ilvl="8" w:tplc="15B8A040" w:tentative="1">
      <w:start w:val="1"/>
      <w:numFmt w:val="bullet"/>
      <w:lvlText w:val=""/>
      <w:lvlJc w:val="left"/>
      <w:pPr>
        <w:tabs>
          <w:tab w:val="num" w:pos="6480"/>
        </w:tabs>
        <w:ind w:left="6480" w:hanging="360"/>
      </w:pPr>
      <w:rPr>
        <w:rFonts w:ascii="Wingdings" w:hAnsi="Wingdings" w:hint="default"/>
      </w:rPr>
    </w:lvl>
  </w:abstractNum>
  <w:abstractNum w:abstractNumId="2">
    <w:nsid w:val="53B10529"/>
    <w:multiLevelType w:val="hybridMultilevel"/>
    <w:tmpl w:val="646C23BC"/>
    <w:lvl w:ilvl="0" w:tplc="4ABECE4E">
      <w:start w:val="1"/>
      <w:numFmt w:val="bullet"/>
      <w:lvlText w:val=""/>
      <w:lvlJc w:val="left"/>
      <w:pPr>
        <w:tabs>
          <w:tab w:val="num" w:pos="720"/>
        </w:tabs>
        <w:ind w:left="720" w:hanging="360"/>
      </w:pPr>
      <w:rPr>
        <w:rFonts w:ascii="Wingdings" w:hAnsi="Wingdings" w:hint="default"/>
      </w:rPr>
    </w:lvl>
    <w:lvl w:ilvl="1" w:tplc="3730ABF6" w:tentative="1">
      <w:start w:val="1"/>
      <w:numFmt w:val="bullet"/>
      <w:lvlText w:val=""/>
      <w:lvlJc w:val="left"/>
      <w:pPr>
        <w:tabs>
          <w:tab w:val="num" w:pos="1440"/>
        </w:tabs>
        <w:ind w:left="1440" w:hanging="360"/>
      </w:pPr>
      <w:rPr>
        <w:rFonts w:ascii="Wingdings" w:hAnsi="Wingdings" w:hint="default"/>
      </w:rPr>
    </w:lvl>
    <w:lvl w:ilvl="2" w:tplc="AEF44C06" w:tentative="1">
      <w:start w:val="1"/>
      <w:numFmt w:val="bullet"/>
      <w:lvlText w:val=""/>
      <w:lvlJc w:val="left"/>
      <w:pPr>
        <w:tabs>
          <w:tab w:val="num" w:pos="2160"/>
        </w:tabs>
        <w:ind w:left="2160" w:hanging="360"/>
      </w:pPr>
      <w:rPr>
        <w:rFonts w:ascii="Wingdings" w:hAnsi="Wingdings" w:hint="default"/>
      </w:rPr>
    </w:lvl>
    <w:lvl w:ilvl="3" w:tplc="0A5E00BA" w:tentative="1">
      <w:start w:val="1"/>
      <w:numFmt w:val="bullet"/>
      <w:lvlText w:val=""/>
      <w:lvlJc w:val="left"/>
      <w:pPr>
        <w:tabs>
          <w:tab w:val="num" w:pos="2880"/>
        </w:tabs>
        <w:ind w:left="2880" w:hanging="360"/>
      </w:pPr>
      <w:rPr>
        <w:rFonts w:ascii="Wingdings" w:hAnsi="Wingdings" w:hint="default"/>
      </w:rPr>
    </w:lvl>
    <w:lvl w:ilvl="4" w:tplc="2248A512" w:tentative="1">
      <w:start w:val="1"/>
      <w:numFmt w:val="bullet"/>
      <w:lvlText w:val=""/>
      <w:lvlJc w:val="left"/>
      <w:pPr>
        <w:tabs>
          <w:tab w:val="num" w:pos="3600"/>
        </w:tabs>
        <w:ind w:left="3600" w:hanging="360"/>
      </w:pPr>
      <w:rPr>
        <w:rFonts w:ascii="Wingdings" w:hAnsi="Wingdings" w:hint="default"/>
      </w:rPr>
    </w:lvl>
    <w:lvl w:ilvl="5" w:tplc="207C83A2" w:tentative="1">
      <w:start w:val="1"/>
      <w:numFmt w:val="bullet"/>
      <w:lvlText w:val=""/>
      <w:lvlJc w:val="left"/>
      <w:pPr>
        <w:tabs>
          <w:tab w:val="num" w:pos="4320"/>
        </w:tabs>
        <w:ind w:left="4320" w:hanging="360"/>
      </w:pPr>
      <w:rPr>
        <w:rFonts w:ascii="Wingdings" w:hAnsi="Wingdings" w:hint="default"/>
      </w:rPr>
    </w:lvl>
    <w:lvl w:ilvl="6" w:tplc="3BAEDAD0" w:tentative="1">
      <w:start w:val="1"/>
      <w:numFmt w:val="bullet"/>
      <w:lvlText w:val=""/>
      <w:lvlJc w:val="left"/>
      <w:pPr>
        <w:tabs>
          <w:tab w:val="num" w:pos="5040"/>
        </w:tabs>
        <w:ind w:left="5040" w:hanging="360"/>
      </w:pPr>
      <w:rPr>
        <w:rFonts w:ascii="Wingdings" w:hAnsi="Wingdings" w:hint="default"/>
      </w:rPr>
    </w:lvl>
    <w:lvl w:ilvl="7" w:tplc="1BE0ADC0" w:tentative="1">
      <w:start w:val="1"/>
      <w:numFmt w:val="bullet"/>
      <w:lvlText w:val=""/>
      <w:lvlJc w:val="left"/>
      <w:pPr>
        <w:tabs>
          <w:tab w:val="num" w:pos="5760"/>
        </w:tabs>
        <w:ind w:left="5760" w:hanging="360"/>
      </w:pPr>
      <w:rPr>
        <w:rFonts w:ascii="Wingdings" w:hAnsi="Wingdings" w:hint="default"/>
      </w:rPr>
    </w:lvl>
    <w:lvl w:ilvl="8" w:tplc="0D50F408" w:tentative="1">
      <w:start w:val="1"/>
      <w:numFmt w:val="bullet"/>
      <w:lvlText w:val=""/>
      <w:lvlJc w:val="left"/>
      <w:pPr>
        <w:tabs>
          <w:tab w:val="num" w:pos="6480"/>
        </w:tabs>
        <w:ind w:left="6480" w:hanging="360"/>
      </w:pPr>
      <w:rPr>
        <w:rFonts w:ascii="Wingdings" w:hAnsi="Wingdings" w:hint="default"/>
      </w:rPr>
    </w:lvl>
  </w:abstractNum>
  <w:abstractNum w:abstractNumId="3">
    <w:nsid w:val="67BB2CF5"/>
    <w:multiLevelType w:val="hybridMultilevel"/>
    <w:tmpl w:val="BDE0EB5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7D463DAA"/>
    <w:multiLevelType w:val="hybridMultilevel"/>
    <w:tmpl w:val="CDC8FC84"/>
    <w:lvl w:ilvl="0" w:tplc="09AA0B6A">
      <w:start w:val="1"/>
      <w:numFmt w:val="bullet"/>
      <w:lvlText w:val=""/>
      <w:lvlJc w:val="left"/>
      <w:pPr>
        <w:tabs>
          <w:tab w:val="num" w:pos="720"/>
        </w:tabs>
        <w:ind w:left="720" w:hanging="360"/>
      </w:pPr>
      <w:rPr>
        <w:rFonts w:ascii="Wingdings" w:hAnsi="Wingdings" w:hint="default"/>
      </w:rPr>
    </w:lvl>
    <w:lvl w:ilvl="1" w:tplc="4D2C10B0" w:tentative="1">
      <w:start w:val="1"/>
      <w:numFmt w:val="bullet"/>
      <w:lvlText w:val=""/>
      <w:lvlJc w:val="left"/>
      <w:pPr>
        <w:tabs>
          <w:tab w:val="num" w:pos="1440"/>
        </w:tabs>
        <w:ind w:left="1440" w:hanging="360"/>
      </w:pPr>
      <w:rPr>
        <w:rFonts w:ascii="Wingdings" w:hAnsi="Wingdings" w:hint="default"/>
      </w:rPr>
    </w:lvl>
    <w:lvl w:ilvl="2" w:tplc="988825D2" w:tentative="1">
      <w:start w:val="1"/>
      <w:numFmt w:val="bullet"/>
      <w:lvlText w:val=""/>
      <w:lvlJc w:val="left"/>
      <w:pPr>
        <w:tabs>
          <w:tab w:val="num" w:pos="2160"/>
        </w:tabs>
        <w:ind w:left="2160" w:hanging="360"/>
      </w:pPr>
      <w:rPr>
        <w:rFonts w:ascii="Wingdings" w:hAnsi="Wingdings" w:hint="default"/>
      </w:rPr>
    </w:lvl>
    <w:lvl w:ilvl="3" w:tplc="41060A98" w:tentative="1">
      <w:start w:val="1"/>
      <w:numFmt w:val="bullet"/>
      <w:lvlText w:val=""/>
      <w:lvlJc w:val="left"/>
      <w:pPr>
        <w:tabs>
          <w:tab w:val="num" w:pos="2880"/>
        </w:tabs>
        <w:ind w:left="2880" w:hanging="360"/>
      </w:pPr>
      <w:rPr>
        <w:rFonts w:ascii="Wingdings" w:hAnsi="Wingdings" w:hint="default"/>
      </w:rPr>
    </w:lvl>
    <w:lvl w:ilvl="4" w:tplc="EBF0FDD2" w:tentative="1">
      <w:start w:val="1"/>
      <w:numFmt w:val="bullet"/>
      <w:lvlText w:val=""/>
      <w:lvlJc w:val="left"/>
      <w:pPr>
        <w:tabs>
          <w:tab w:val="num" w:pos="3600"/>
        </w:tabs>
        <w:ind w:left="3600" w:hanging="360"/>
      </w:pPr>
      <w:rPr>
        <w:rFonts w:ascii="Wingdings" w:hAnsi="Wingdings" w:hint="default"/>
      </w:rPr>
    </w:lvl>
    <w:lvl w:ilvl="5" w:tplc="11F89BE6" w:tentative="1">
      <w:start w:val="1"/>
      <w:numFmt w:val="bullet"/>
      <w:lvlText w:val=""/>
      <w:lvlJc w:val="left"/>
      <w:pPr>
        <w:tabs>
          <w:tab w:val="num" w:pos="4320"/>
        </w:tabs>
        <w:ind w:left="4320" w:hanging="360"/>
      </w:pPr>
      <w:rPr>
        <w:rFonts w:ascii="Wingdings" w:hAnsi="Wingdings" w:hint="default"/>
      </w:rPr>
    </w:lvl>
    <w:lvl w:ilvl="6" w:tplc="6944F316" w:tentative="1">
      <w:start w:val="1"/>
      <w:numFmt w:val="bullet"/>
      <w:lvlText w:val=""/>
      <w:lvlJc w:val="left"/>
      <w:pPr>
        <w:tabs>
          <w:tab w:val="num" w:pos="5040"/>
        </w:tabs>
        <w:ind w:left="5040" w:hanging="360"/>
      </w:pPr>
      <w:rPr>
        <w:rFonts w:ascii="Wingdings" w:hAnsi="Wingdings" w:hint="default"/>
      </w:rPr>
    </w:lvl>
    <w:lvl w:ilvl="7" w:tplc="45F4F61C" w:tentative="1">
      <w:start w:val="1"/>
      <w:numFmt w:val="bullet"/>
      <w:lvlText w:val=""/>
      <w:lvlJc w:val="left"/>
      <w:pPr>
        <w:tabs>
          <w:tab w:val="num" w:pos="5760"/>
        </w:tabs>
        <w:ind w:left="5760" w:hanging="360"/>
      </w:pPr>
      <w:rPr>
        <w:rFonts w:ascii="Wingdings" w:hAnsi="Wingdings" w:hint="default"/>
      </w:rPr>
    </w:lvl>
    <w:lvl w:ilvl="8" w:tplc="5BAC6FF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69B7"/>
    <w:rsid w:val="00146C0A"/>
    <w:rsid w:val="0018762B"/>
    <w:rsid w:val="0026085E"/>
    <w:rsid w:val="002B1B42"/>
    <w:rsid w:val="00325DCA"/>
    <w:rsid w:val="003B3AA5"/>
    <w:rsid w:val="004214C2"/>
    <w:rsid w:val="00430852"/>
    <w:rsid w:val="004B744C"/>
    <w:rsid w:val="005435AA"/>
    <w:rsid w:val="00545F84"/>
    <w:rsid w:val="00551DE0"/>
    <w:rsid w:val="005A5CCF"/>
    <w:rsid w:val="00674729"/>
    <w:rsid w:val="006B2134"/>
    <w:rsid w:val="00745D9E"/>
    <w:rsid w:val="00856F2F"/>
    <w:rsid w:val="0091712D"/>
    <w:rsid w:val="00981470"/>
    <w:rsid w:val="00A44262"/>
    <w:rsid w:val="00A50F0E"/>
    <w:rsid w:val="00A60B34"/>
    <w:rsid w:val="00C10F4A"/>
    <w:rsid w:val="00C13475"/>
    <w:rsid w:val="00C4739C"/>
    <w:rsid w:val="00D0673E"/>
    <w:rsid w:val="00DF608A"/>
    <w:rsid w:val="00E06363"/>
    <w:rsid w:val="00E63175"/>
    <w:rsid w:val="00E67C9B"/>
    <w:rsid w:val="00EA0CED"/>
    <w:rsid w:val="00F17980"/>
    <w:rsid w:val="00F469B7"/>
    <w:rsid w:val="00F819F7"/>
    <w:rsid w:val="00F97B85"/>
    <w:rsid w:val="00FB7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5E"/>
    <w:pPr>
      <w:widowControl w:val="0"/>
      <w:jc w:val="both"/>
    </w:pPr>
  </w:style>
  <w:style w:type="paragraph" w:styleId="1">
    <w:name w:val="heading 1"/>
    <w:basedOn w:val="a"/>
    <w:next w:val="a"/>
    <w:link w:val="1Char"/>
    <w:qFormat/>
    <w:rsid w:val="00F469B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F469B7"/>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469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469B7"/>
    <w:rPr>
      <w:sz w:val="18"/>
      <w:szCs w:val="18"/>
    </w:rPr>
  </w:style>
  <w:style w:type="paragraph" w:styleId="a4">
    <w:name w:val="footer"/>
    <w:basedOn w:val="a"/>
    <w:link w:val="Char0"/>
    <w:unhideWhenUsed/>
    <w:rsid w:val="00F469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69B7"/>
    <w:rPr>
      <w:sz w:val="18"/>
      <w:szCs w:val="18"/>
    </w:rPr>
  </w:style>
  <w:style w:type="character" w:styleId="a5">
    <w:name w:val="page number"/>
    <w:basedOn w:val="a0"/>
    <w:rsid w:val="00F469B7"/>
  </w:style>
  <w:style w:type="character" w:customStyle="1" w:styleId="1Char">
    <w:name w:val="标题 1 Char"/>
    <w:basedOn w:val="a0"/>
    <w:link w:val="1"/>
    <w:rsid w:val="00F469B7"/>
    <w:rPr>
      <w:rFonts w:ascii="Times New Roman" w:eastAsia="宋体" w:hAnsi="Times New Roman" w:cs="Times New Roman"/>
      <w:b/>
      <w:bCs/>
      <w:kern w:val="44"/>
      <w:sz w:val="44"/>
      <w:szCs w:val="44"/>
    </w:rPr>
  </w:style>
  <w:style w:type="character" w:customStyle="1" w:styleId="2Char">
    <w:name w:val="标题 2 Char"/>
    <w:basedOn w:val="a0"/>
    <w:link w:val="2"/>
    <w:rsid w:val="00F469B7"/>
    <w:rPr>
      <w:rFonts w:ascii="Arial" w:eastAsia="黑体" w:hAnsi="Arial" w:cs="Times New Roman"/>
      <w:b/>
      <w:bCs/>
      <w:sz w:val="32"/>
      <w:szCs w:val="32"/>
    </w:rPr>
  </w:style>
  <w:style w:type="paragraph" w:customStyle="1" w:styleId="a6">
    <w:name w:val="段"/>
    <w:link w:val="Char1"/>
    <w:rsid w:val="00DF608A"/>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6"/>
    <w:rsid w:val="00DF608A"/>
    <w:rPr>
      <w:rFonts w:ascii="宋体" w:eastAsia="宋体" w:hAnsi="Times New Roman" w:cs="Times New Roman"/>
      <w:noProof/>
      <w:kern w:val="0"/>
      <w:szCs w:val="20"/>
    </w:rPr>
  </w:style>
  <w:style w:type="paragraph" w:styleId="a7">
    <w:name w:val="List Paragraph"/>
    <w:basedOn w:val="a"/>
    <w:uiPriority w:val="34"/>
    <w:qFormat/>
    <w:rsid w:val="00A50F0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1468</TotalTime>
  <Pages>6</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chenjh</dc:creator>
  <cp:keywords/>
  <dc:description/>
  <cp:lastModifiedBy>nathan</cp:lastModifiedBy>
  <cp:revision>10</cp:revision>
  <dcterms:created xsi:type="dcterms:W3CDTF">2014-12-24T02:29:00Z</dcterms:created>
  <dcterms:modified xsi:type="dcterms:W3CDTF">2014-12-26T04:30:00Z</dcterms:modified>
</cp:coreProperties>
</file>