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CA0F62">
      <w:pPr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附件1：</w:t>
      </w:r>
    </w:p>
    <w:p w14:paraId="20E5142A">
      <w:pPr>
        <w:widowControl/>
        <w:spacing w:before="600" w:after="600"/>
        <w:jc w:val="center"/>
        <w:rPr>
          <w:rFonts w:ascii="Calibri" w:hAnsi="Calibri" w:eastAsia="黑体" w:cs="Times New Roman"/>
          <w:bCs/>
          <w:sz w:val="52"/>
          <w:szCs w:val="52"/>
        </w:rPr>
      </w:pPr>
    </w:p>
    <w:p w14:paraId="69210F17">
      <w:pPr>
        <w:widowControl/>
        <w:spacing w:before="600" w:after="600"/>
        <w:jc w:val="center"/>
        <w:rPr>
          <w:rFonts w:ascii="Calibri" w:hAnsi="Calibri" w:eastAsia="黑体" w:cs="Times New Roman"/>
          <w:bCs/>
          <w:sz w:val="72"/>
          <w:szCs w:val="72"/>
        </w:rPr>
      </w:pPr>
      <w:r>
        <w:rPr>
          <w:rFonts w:hint="eastAsia" w:ascii="Calibri" w:hAnsi="Calibri" w:eastAsia="黑体" w:cs="Times New Roman"/>
          <w:bCs/>
          <w:sz w:val="72"/>
          <w:szCs w:val="72"/>
        </w:rPr>
        <w:t>推荐性国家标准</w:t>
      </w:r>
    </w:p>
    <w:p w14:paraId="7B3BE6D7">
      <w:pPr>
        <w:widowControl/>
        <w:spacing w:before="600" w:after="600"/>
        <w:jc w:val="center"/>
        <w:rPr>
          <w:rFonts w:ascii="Calibri" w:hAnsi="Calibri" w:eastAsia="黑体" w:cs="Times New Roman"/>
          <w:bCs/>
          <w:sz w:val="72"/>
          <w:szCs w:val="72"/>
        </w:rPr>
      </w:pPr>
      <w:r>
        <w:rPr>
          <w:rFonts w:hint="eastAsia" w:ascii="Calibri" w:hAnsi="Calibri" w:eastAsia="黑体" w:cs="Times New Roman"/>
          <w:bCs/>
          <w:sz w:val="72"/>
          <w:szCs w:val="72"/>
        </w:rPr>
        <w:t>项目申报书</w:t>
      </w:r>
    </w:p>
    <w:p w14:paraId="77C890AA">
      <w:pPr>
        <w:widowControl/>
        <w:spacing w:before="600" w:after="600"/>
        <w:jc w:val="center"/>
        <w:rPr>
          <w:rFonts w:ascii="Calibri" w:hAnsi="Calibri" w:eastAsia="黑体" w:cs="Times New Roman"/>
          <w:bCs/>
          <w:sz w:val="50"/>
          <w:szCs w:val="50"/>
        </w:rPr>
      </w:pPr>
    </w:p>
    <w:p w14:paraId="201FDB6D">
      <w:pPr>
        <w:widowControl/>
        <w:spacing w:before="600" w:after="600"/>
        <w:jc w:val="center"/>
        <w:rPr>
          <w:rFonts w:ascii="Calibri" w:hAnsi="Calibri" w:eastAsia="黑体" w:cs="Times New Roman"/>
          <w:bCs/>
          <w:sz w:val="50"/>
          <w:szCs w:val="50"/>
        </w:rPr>
      </w:pPr>
    </w:p>
    <w:p w14:paraId="13981D92">
      <w:pPr>
        <w:widowControl/>
        <w:spacing w:before="600" w:after="600"/>
        <w:jc w:val="center"/>
        <w:rPr>
          <w:rFonts w:ascii="Calibri" w:hAnsi="Calibri" w:eastAsia="黑体" w:cs="Times New Roman"/>
          <w:bCs/>
          <w:sz w:val="50"/>
          <w:szCs w:val="50"/>
        </w:rPr>
      </w:pPr>
    </w:p>
    <w:tbl>
      <w:tblPr>
        <w:tblStyle w:val="3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68"/>
        <w:gridCol w:w="872"/>
        <w:gridCol w:w="4682"/>
      </w:tblGrid>
      <w:tr w14:paraId="6AEF95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68" w:type="dxa"/>
            <w:shd w:val="clear" w:color="auto" w:fill="FFFFFF"/>
          </w:tcPr>
          <w:p w14:paraId="2B04DD50">
            <w:pPr>
              <w:widowControl/>
              <w:spacing w:before="200" w:after="200" w:line="360" w:lineRule="exact"/>
              <w:ind w:left="319" w:leftChars="152" w:right="13" w:rightChars="6"/>
              <w:jc w:val="left"/>
              <w:rPr>
                <w:rFonts w:asciiTheme="minorEastAsia" w:hAnsiTheme="minorEastAsia"/>
                <w:sz w:val="32"/>
                <w:szCs w:val="32"/>
              </w:rPr>
            </w:pPr>
            <w:r>
              <w:rPr>
                <w:rFonts w:hint="eastAsia" w:asciiTheme="minorEastAsia" w:hAnsiTheme="minorEastAsia"/>
                <w:sz w:val="32"/>
                <w:szCs w:val="32"/>
              </w:rPr>
              <w:t>项 目 名 称</w:t>
            </w:r>
          </w:p>
        </w:tc>
        <w:tc>
          <w:tcPr>
            <w:tcW w:w="872" w:type="dxa"/>
            <w:shd w:val="clear" w:color="auto" w:fill="FFFFFF"/>
          </w:tcPr>
          <w:p w14:paraId="49A14048">
            <w:pPr>
              <w:widowControl/>
              <w:spacing w:before="200" w:after="200" w:line="360" w:lineRule="exact"/>
              <w:ind w:left="319" w:leftChars="152"/>
              <w:rPr>
                <w:rFonts w:asciiTheme="minorEastAsia" w:hAnsiTheme="minorEastAsia"/>
                <w:sz w:val="32"/>
                <w:szCs w:val="32"/>
              </w:rPr>
            </w:pPr>
            <w:r>
              <w:rPr>
                <w:rFonts w:hint="eastAsia" w:asciiTheme="minorEastAsia" w:hAnsiTheme="minorEastAsia"/>
                <w:sz w:val="32"/>
                <w:szCs w:val="32"/>
              </w:rPr>
              <w:t>：</w:t>
            </w:r>
          </w:p>
        </w:tc>
        <w:tc>
          <w:tcPr>
            <w:tcW w:w="4682" w:type="dxa"/>
            <w:shd w:val="clear" w:color="auto" w:fill="FFFFFF"/>
          </w:tcPr>
          <w:p w14:paraId="4B6E33D4">
            <w:pPr>
              <w:widowControl/>
              <w:spacing w:before="200" w:after="200" w:line="360" w:lineRule="exact"/>
              <w:ind w:left="319" w:leftChars="152"/>
              <w:rPr>
                <w:rFonts w:asciiTheme="minorEastAsia" w:hAnsiTheme="minorEastAsia"/>
                <w:sz w:val="32"/>
                <w:szCs w:val="32"/>
              </w:rPr>
            </w:pPr>
            <w:r>
              <w:rPr>
                <w:rFonts w:hint="eastAsia" w:asciiTheme="minorEastAsia" w:hAnsiTheme="minorEastAsia"/>
                <w:sz w:val="32"/>
                <w:szCs w:val="32"/>
                <w:u w:val="single"/>
              </w:rPr>
              <w:t xml:space="preserve">                         </w:t>
            </w:r>
          </w:p>
        </w:tc>
      </w:tr>
      <w:tr w14:paraId="685720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68" w:type="dxa"/>
            <w:shd w:val="clear" w:color="auto" w:fill="FFFFFF"/>
          </w:tcPr>
          <w:p w14:paraId="54D6E7F6">
            <w:pPr>
              <w:widowControl/>
              <w:spacing w:before="200" w:after="200" w:line="360" w:lineRule="exact"/>
              <w:ind w:left="319" w:leftChars="152" w:right="13" w:rightChars="6"/>
              <w:rPr>
                <w:rFonts w:asciiTheme="minorEastAsia" w:hAnsiTheme="minorEastAsia"/>
                <w:sz w:val="32"/>
                <w:szCs w:val="32"/>
              </w:rPr>
            </w:pPr>
            <w:r>
              <w:rPr>
                <w:rFonts w:hint="eastAsia" w:asciiTheme="minorEastAsia" w:hAnsiTheme="minorEastAsia"/>
                <w:sz w:val="32"/>
                <w:szCs w:val="32"/>
              </w:rPr>
              <w:t>技术归口单位 （或技术委员会）</w:t>
            </w:r>
          </w:p>
        </w:tc>
        <w:tc>
          <w:tcPr>
            <w:tcW w:w="872" w:type="dxa"/>
            <w:shd w:val="clear" w:color="auto" w:fill="FFFFFF"/>
          </w:tcPr>
          <w:p w14:paraId="0234BF86">
            <w:pPr>
              <w:widowControl/>
              <w:spacing w:before="200" w:after="200" w:line="360" w:lineRule="exact"/>
              <w:ind w:left="319" w:leftChars="152"/>
              <w:rPr>
                <w:rFonts w:asciiTheme="minorEastAsia" w:hAnsiTheme="minorEastAsia"/>
                <w:sz w:val="32"/>
                <w:szCs w:val="32"/>
              </w:rPr>
            </w:pPr>
            <w:r>
              <w:rPr>
                <w:rFonts w:hint="eastAsia" w:asciiTheme="minorEastAsia" w:hAnsiTheme="minorEastAsia"/>
                <w:sz w:val="32"/>
                <w:szCs w:val="32"/>
              </w:rPr>
              <w:t>：</w:t>
            </w:r>
          </w:p>
        </w:tc>
        <w:tc>
          <w:tcPr>
            <w:tcW w:w="4682" w:type="dxa"/>
            <w:shd w:val="clear" w:color="auto" w:fill="FFFFFF"/>
          </w:tcPr>
          <w:p w14:paraId="1F944C55">
            <w:pPr>
              <w:widowControl/>
              <w:spacing w:before="200" w:after="200" w:line="360" w:lineRule="exact"/>
              <w:ind w:left="319" w:leftChars="152"/>
              <w:rPr>
                <w:rFonts w:asciiTheme="minorEastAsia" w:hAnsiTheme="minorEastAsia"/>
                <w:sz w:val="32"/>
                <w:szCs w:val="32"/>
              </w:rPr>
            </w:pPr>
            <w:r>
              <w:rPr>
                <w:rFonts w:hint="eastAsia" w:asciiTheme="minorEastAsia" w:hAnsiTheme="minorEastAsia"/>
                <w:sz w:val="32"/>
                <w:szCs w:val="32"/>
                <w:u w:val="single"/>
              </w:rPr>
              <w:t xml:space="preserve">                         </w:t>
            </w:r>
          </w:p>
        </w:tc>
      </w:tr>
      <w:tr w14:paraId="7E0F57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68" w:type="dxa"/>
            <w:shd w:val="clear" w:color="auto" w:fill="FFFFFF"/>
          </w:tcPr>
          <w:p w14:paraId="4C0D71CB">
            <w:pPr>
              <w:widowControl/>
              <w:spacing w:before="200" w:after="200" w:line="360" w:lineRule="exact"/>
              <w:ind w:left="319" w:leftChars="152" w:right="-405" w:rightChars="-193"/>
              <w:rPr>
                <w:rFonts w:asciiTheme="minorEastAsia" w:hAnsiTheme="minorEastAsia"/>
                <w:sz w:val="32"/>
                <w:szCs w:val="32"/>
              </w:rPr>
            </w:pPr>
            <w:r>
              <w:rPr>
                <w:rFonts w:hint="eastAsia" w:asciiTheme="minorEastAsia" w:hAnsiTheme="minorEastAsia"/>
                <w:sz w:val="32"/>
                <w:szCs w:val="32"/>
              </w:rPr>
              <w:t>提 出 日 期</w:t>
            </w:r>
          </w:p>
        </w:tc>
        <w:tc>
          <w:tcPr>
            <w:tcW w:w="872" w:type="dxa"/>
            <w:shd w:val="clear" w:color="auto" w:fill="FFFFFF"/>
          </w:tcPr>
          <w:p w14:paraId="3383EB8E">
            <w:pPr>
              <w:widowControl/>
              <w:spacing w:before="200" w:after="200" w:line="360" w:lineRule="exact"/>
              <w:ind w:left="319" w:leftChars="152"/>
              <w:rPr>
                <w:rFonts w:asciiTheme="minorEastAsia" w:hAnsiTheme="minorEastAsia"/>
                <w:sz w:val="32"/>
                <w:szCs w:val="32"/>
              </w:rPr>
            </w:pPr>
            <w:r>
              <w:rPr>
                <w:rFonts w:hint="eastAsia" w:asciiTheme="minorEastAsia" w:hAnsiTheme="minorEastAsia"/>
                <w:sz w:val="32"/>
                <w:szCs w:val="32"/>
              </w:rPr>
              <w:t>：</w:t>
            </w:r>
          </w:p>
        </w:tc>
        <w:tc>
          <w:tcPr>
            <w:tcW w:w="4682" w:type="dxa"/>
            <w:shd w:val="clear" w:color="auto" w:fill="FFFFFF"/>
          </w:tcPr>
          <w:p w14:paraId="26E0EB7F">
            <w:pPr>
              <w:widowControl/>
              <w:spacing w:before="200" w:after="200" w:line="360" w:lineRule="exact"/>
              <w:ind w:left="319" w:leftChars="152"/>
              <w:rPr>
                <w:rFonts w:asciiTheme="minorEastAsia" w:hAnsiTheme="minorEastAsia"/>
                <w:sz w:val="32"/>
                <w:szCs w:val="32"/>
                <w:u w:val="single"/>
              </w:rPr>
            </w:pPr>
            <w:r>
              <w:rPr>
                <w:rFonts w:hint="eastAsia" w:asciiTheme="minorEastAsia" w:hAnsiTheme="minorEastAsia"/>
                <w:sz w:val="32"/>
                <w:szCs w:val="32"/>
                <w:u w:val="single"/>
              </w:rPr>
              <w:t xml:space="preserve">                         </w:t>
            </w:r>
          </w:p>
        </w:tc>
      </w:tr>
    </w:tbl>
    <w:p w14:paraId="1EA983E1">
      <w:pPr>
        <w:widowControl/>
        <w:snapToGrid w:val="0"/>
        <w:spacing w:before="120" w:line="300" w:lineRule="auto"/>
        <w:ind w:right="28"/>
        <w:jc w:val="center"/>
        <w:rPr>
          <w:rFonts w:ascii="Calibri" w:hAnsi="Calibri" w:eastAsia="宋体" w:cs="Times New Roman"/>
          <w:sz w:val="32"/>
          <w:szCs w:val="32"/>
        </w:rPr>
      </w:pPr>
    </w:p>
    <w:p w14:paraId="59E883B1">
      <w:pPr>
        <w:widowControl/>
        <w:snapToGrid w:val="0"/>
        <w:spacing w:before="120" w:line="300" w:lineRule="auto"/>
        <w:ind w:right="28"/>
        <w:jc w:val="center"/>
        <w:rPr>
          <w:rFonts w:ascii="Calibri" w:hAnsi="Calibri" w:eastAsia="宋体" w:cs="Times New Roman"/>
          <w:sz w:val="32"/>
          <w:szCs w:val="32"/>
        </w:rPr>
      </w:pPr>
    </w:p>
    <w:p w14:paraId="254C9CD8">
      <w:pPr>
        <w:widowControl/>
        <w:snapToGrid w:val="0"/>
        <w:spacing w:before="120" w:line="300" w:lineRule="auto"/>
        <w:ind w:right="28"/>
        <w:jc w:val="center"/>
        <w:rPr>
          <w:rFonts w:ascii="Calibri" w:hAnsi="Calibri" w:eastAsia="宋体" w:cs="Times New Roman"/>
          <w:sz w:val="32"/>
          <w:szCs w:val="32"/>
        </w:rPr>
      </w:pPr>
    </w:p>
    <w:p w14:paraId="22B38FB8">
      <w:pPr>
        <w:widowControl/>
        <w:snapToGrid w:val="0"/>
        <w:spacing w:before="120" w:line="300" w:lineRule="auto"/>
        <w:ind w:right="28"/>
        <w:jc w:val="center"/>
        <w:rPr>
          <w:rFonts w:ascii="Calibri" w:hAnsi="Calibri" w:eastAsia="宋体" w:cs="Times New Roman"/>
          <w:sz w:val="32"/>
          <w:szCs w:val="32"/>
        </w:rPr>
      </w:pPr>
    </w:p>
    <w:p w14:paraId="283BBBED">
      <w:pPr>
        <w:spacing w:line="360" w:lineRule="auto"/>
        <w:ind w:firstLine="562" w:firstLineChars="200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一、基本信息</w:t>
      </w:r>
    </w:p>
    <w:tbl>
      <w:tblPr>
        <w:tblStyle w:val="2"/>
        <w:tblW w:w="8522" w:type="dxa"/>
        <w:jc w:val="center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13"/>
        <w:gridCol w:w="2149"/>
        <w:gridCol w:w="2057"/>
        <w:gridCol w:w="2103"/>
      </w:tblGrid>
      <w:tr w14:paraId="32F6E422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3" w:hRule="atLeast"/>
          <w:jc w:val="center"/>
        </w:trPr>
        <w:tc>
          <w:tcPr>
            <w:tcW w:w="2213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3557D6EF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中文名称</w:t>
            </w:r>
          </w:p>
        </w:tc>
        <w:tc>
          <w:tcPr>
            <w:tcW w:w="6309" w:type="dxa"/>
            <w:gridSpan w:val="3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71F85AAE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14:paraId="4117E362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6" w:hRule="atLeast"/>
          <w:jc w:val="center"/>
        </w:trPr>
        <w:tc>
          <w:tcPr>
            <w:tcW w:w="2213" w:type="dxa"/>
            <w:tcBorders>
              <w:top w:val="single" w:color="auto" w:sz="6" w:space="0"/>
            </w:tcBorders>
            <w:vAlign w:val="center"/>
          </w:tcPr>
          <w:p w14:paraId="4346FDD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英文</w:t>
            </w:r>
            <w:r>
              <w:rPr>
                <w:rFonts w:asciiTheme="minorEastAsia" w:hAnsiTheme="minorEastAsia"/>
                <w:sz w:val="24"/>
                <w:szCs w:val="24"/>
              </w:rPr>
              <w:t>名称</w:t>
            </w:r>
          </w:p>
        </w:tc>
        <w:tc>
          <w:tcPr>
            <w:tcW w:w="6309" w:type="dxa"/>
            <w:gridSpan w:val="3"/>
            <w:tcBorders>
              <w:top w:val="single" w:color="auto" w:sz="6" w:space="0"/>
            </w:tcBorders>
            <w:vAlign w:val="center"/>
          </w:tcPr>
          <w:p w14:paraId="1806AC23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14:paraId="40AE3692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6" w:hRule="atLeast"/>
          <w:jc w:val="center"/>
        </w:trPr>
        <w:tc>
          <w:tcPr>
            <w:tcW w:w="2213" w:type="dxa"/>
            <w:tcBorders>
              <w:top w:val="single" w:color="auto" w:sz="6" w:space="0"/>
            </w:tcBorders>
            <w:vAlign w:val="center"/>
          </w:tcPr>
          <w:p w14:paraId="697CEAA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标准性质</w:t>
            </w:r>
          </w:p>
        </w:tc>
        <w:tc>
          <w:tcPr>
            <w:tcW w:w="6309" w:type="dxa"/>
            <w:gridSpan w:val="3"/>
            <w:tcBorders>
              <w:top w:val="single" w:color="auto" w:sz="6" w:space="0"/>
            </w:tcBorders>
            <w:vAlign w:val="center"/>
          </w:tcPr>
          <w:p w14:paraId="01A59ABB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□推荐性国家标准  □指导性技术文件</w:t>
            </w:r>
          </w:p>
        </w:tc>
      </w:tr>
      <w:tr w14:paraId="376D372E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2" w:hRule="atLeast"/>
          <w:jc w:val="center"/>
        </w:trPr>
        <w:tc>
          <w:tcPr>
            <w:tcW w:w="2213" w:type="dxa"/>
            <w:vAlign w:val="center"/>
          </w:tcPr>
          <w:p w14:paraId="09F26177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制定/修订</w:t>
            </w:r>
          </w:p>
        </w:tc>
        <w:tc>
          <w:tcPr>
            <w:tcW w:w="2149" w:type="dxa"/>
            <w:vAlign w:val="center"/>
          </w:tcPr>
          <w:p w14:paraId="53669FBA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□制定  □修订</w:t>
            </w:r>
          </w:p>
        </w:tc>
        <w:tc>
          <w:tcPr>
            <w:tcW w:w="2057" w:type="dxa"/>
            <w:vAlign w:val="center"/>
          </w:tcPr>
          <w:p w14:paraId="06B7007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被修订标准号</w:t>
            </w:r>
          </w:p>
        </w:tc>
        <w:tc>
          <w:tcPr>
            <w:tcW w:w="2103" w:type="dxa"/>
            <w:vAlign w:val="center"/>
          </w:tcPr>
          <w:p w14:paraId="42AF9309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14:paraId="07074B97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7" w:hRule="atLeast"/>
          <w:jc w:val="center"/>
        </w:trPr>
        <w:tc>
          <w:tcPr>
            <w:tcW w:w="2213" w:type="dxa"/>
            <w:vAlign w:val="center"/>
          </w:tcPr>
          <w:p w14:paraId="67120A85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是否采标</w:t>
            </w:r>
          </w:p>
        </w:tc>
        <w:tc>
          <w:tcPr>
            <w:tcW w:w="2149" w:type="dxa"/>
            <w:vAlign w:val="center"/>
          </w:tcPr>
          <w:p w14:paraId="37F74794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□是    □否</w:t>
            </w:r>
          </w:p>
        </w:tc>
        <w:tc>
          <w:tcPr>
            <w:tcW w:w="2057" w:type="dxa"/>
            <w:vAlign w:val="center"/>
          </w:tcPr>
          <w:p w14:paraId="05E4062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采标类型</w:t>
            </w:r>
          </w:p>
        </w:tc>
        <w:tc>
          <w:tcPr>
            <w:tcW w:w="2103" w:type="dxa"/>
            <w:vAlign w:val="center"/>
          </w:tcPr>
          <w:p w14:paraId="40C05AEC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14:paraId="448B885E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7" w:hRule="atLeast"/>
          <w:jc w:val="center"/>
        </w:trPr>
        <w:tc>
          <w:tcPr>
            <w:tcW w:w="2213" w:type="dxa"/>
            <w:vAlign w:val="center"/>
          </w:tcPr>
          <w:p w14:paraId="123C7A24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采标号</w:t>
            </w:r>
          </w:p>
        </w:tc>
        <w:tc>
          <w:tcPr>
            <w:tcW w:w="2149" w:type="dxa"/>
            <w:vAlign w:val="center"/>
          </w:tcPr>
          <w:p w14:paraId="615B1112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057" w:type="dxa"/>
            <w:vAlign w:val="center"/>
          </w:tcPr>
          <w:p w14:paraId="115BEC5F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采标中文名称</w:t>
            </w:r>
          </w:p>
        </w:tc>
        <w:tc>
          <w:tcPr>
            <w:tcW w:w="2103" w:type="dxa"/>
            <w:vAlign w:val="center"/>
          </w:tcPr>
          <w:p w14:paraId="4F6819D8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14:paraId="0B25A873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1" w:hRule="atLeast"/>
          <w:jc w:val="center"/>
        </w:trPr>
        <w:tc>
          <w:tcPr>
            <w:tcW w:w="2213" w:type="dxa"/>
            <w:vAlign w:val="center"/>
          </w:tcPr>
          <w:p w14:paraId="22A7A13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项目周期</w:t>
            </w:r>
          </w:p>
        </w:tc>
        <w:tc>
          <w:tcPr>
            <w:tcW w:w="6309" w:type="dxa"/>
            <w:gridSpan w:val="3"/>
            <w:vAlign w:val="center"/>
          </w:tcPr>
          <w:p w14:paraId="76324EC7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□12个月   □16个月   □18个月</w:t>
            </w:r>
          </w:p>
        </w:tc>
      </w:tr>
      <w:tr w14:paraId="00A7B074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7" w:hRule="atLeast"/>
          <w:jc w:val="center"/>
        </w:trPr>
        <w:tc>
          <w:tcPr>
            <w:tcW w:w="2213" w:type="dxa"/>
            <w:vAlign w:val="center"/>
          </w:tcPr>
          <w:p w14:paraId="3CB6279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上报单位</w:t>
            </w:r>
          </w:p>
        </w:tc>
        <w:tc>
          <w:tcPr>
            <w:tcW w:w="6309" w:type="dxa"/>
            <w:gridSpan w:val="3"/>
            <w:vAlign w:val="center"/>
          </w:tcPr>
          <w:p w14:paraId="624771FF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全国食品质量控制与管理标准化技术委员会（TC313）</w:t>
            </w:r>
          </w:p>
        </w:tc>
      </w:tr>
      <w:tr w14:paraId="3BB42253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6" w:hRule="atLeast"/>
          <w:jc w:val="center"/>
        </w:trPr>
        <w:tc>
          <w:tcPr>
            <w:tcW w:w="2213" w:type="dxa"/>
            <w:vAlign w:val="center"/>
          </w:tcPr>
          <w:p w14:paraId="6533CE0B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技术归口单位</w:t>
            </w:r>
          </w:p>
          <w:p w14:paraId="7485D6BD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（或技术委员会）</w:t>
            </w:r>
          </w:p>
        </w:tc>
        <w:tc>
          <w:tcPr>
            <w:tcW w:w="6309" w:type="dxa"/>
            <w:gridSpan w:val="3"/>
            <w:vAlign w:val="center"/>
          </w:tcPr>
          <w:p w14:paraId="2FBB75DB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全国食品质量控制与管理标准化技术委员会（TC313）</w:t>
            </w:r>
          </w:p>
        </w:tc>
      </w:tr>
      <w:tr w14:paraId="649BF175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9" w:hRule="atLeast"/>
          <w:jc w:val="center"/>
        </w:trPr>
        <w:tc>
          <w:tcPr>
            <w:tcW w:w="2213" w:type="dxa"/>
            <w:vAlign w:val="center"/>
          </w:tcPr>
          <w:p w14:paraId="48F81C9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主管部门</w:t>
            </w:r>
          </w:p>
        </w:tc>
        <w:tc>
          <w:tcPr>
            <w:tcW w:w="6309" w:type="dxa"/>
            <w:gridSpan w:val="3"/>
            <w:vAlign w:val="center"/>
          </w:tcPr>
          <w:p w14:paraId="5C2EBF7D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国家市场监督管理总局食品生产</w:t>
            </w: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经营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>司</w:t>
            </w:r>
          </w:p>
        </w:tc>
      </w:tr>
    </w:tbl>
    <w:p w14:paraId="48BFFB03">
      <w:pPr>
        <w:jc w:val="left"/>
        <w:rPr>
          <w:rFonts w:asciiTheme="minorEastAsia" w:hAnsiTheme="minorEastAsia"/>
          <w:b/>
          <w:sz w:val="24"/>
        </w:rPr>
      </w:pPr>
    </w:p>
    <w:p w14:paraId="377368CD">
      <w:pPr>
        <w:widowControl/>
        <w:jc w:val="left"/>
        <w:rPr>
          <w:rFonts w:eastAsia="宋体" w:cs="Times New Roman" w:asciiTheme="minorEastAsia" w:hAnsiTheme="minorEastAsia"/>
          <w:b/>
          <w:sz w:val="24"/>
          <w:szCs w:val="24"/>
        </w:rPr>
      </w:pPr>
      <w:r>
        <w:rPr>
          <w:rFonts w:asciiTheme="minorEastAsia" w:hAnsiTheme="minorEastAsia"/>
          <w:b/>
          <w:sz w:val="24"/>
        </w:rPr>
        <w:br w:type="page"/>
      </w:r>
    </w:p>
    <w:p w14:paraId="18AEAB76">
      <w:pPr>
        <w:numPr>
          <w:ilvl w:val="0"/>
          <w:numId w:val="1"/>
        </w:numPr>
        <w:spacing w:line="360" w:lineRule="auto"/>
        <w:ind w:firstLine="562" w:firstLineChars="200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论证评估报告</w:t>
      </w:r>
    </w:p>
    <w:p w14:paraId="318DFD69">
      <w:pPr>
        <w:spacing w:line="360" w:lineRule="auto"/>
        <w:ind w:firstLine="480" w:firstLineChars="200"/>
        <w:rPr>
          <w:b/>
          <w:bCs/>
          <w:sz w:val="28"/>
          <w:szCs w:val="28"/>
        </w:rPr>
      </w:pPr>
      <w:r>
        <w:rPr>
          <w:rFonts w:hint="eastAsia"/>
          <w:color w:val="FF0000"/>
          <w:sz w:val="24"/>
          <w:szCs w:val="24"/>
        </w:rPr>
        <w:t>（标红字体以及【】中的内容为解释说明事项，请在在报告编写完毕后进行删除）</w:t>
      </w:r>
    </w:p>
    <w:p w14:paraId="7C8A729E">
      <w:pPr>
        <w:spacing w:line="360" w:lineRule="auto"/>
        <w:ind w:firstLine="560" w:firstLineChars="200"/>
        <w:rPr>
          <w:rFonts w:ascii="方正黑体简体" w:hAnsi="方正黑体简体" w:eastAsia="方正黑体简体" w:cs="方正黑体简体"/>
          <w:sz w:val="28"/>
          <w:szCs w:val="28"/>
        </w:rPr>
      </w:pPr>
      <w:r>
        <w:rPr>
          <w:rFonts w:hint="eastAsia" w:ascii="方正黑体简体" w:hAnsi="方正黑体简体" w:eastAsia="方正黑体简体" w:cs="方正黑体简体"/>
          <w:sz w:val="28"/>
          <w:szCs w:val="28"/>
        </w:rPr>
        <w:t>（一）制修订推荐性国家标准的必要性、可行性</w:t>
      </w:r>
    </w:p>
    <w:p w14:paraId="0C8627D6">
      <w:pPr>
        <w:spacing w:line="360" w:lineRule="auto"/>
        <w:ind w:firstLine="480" w:firstLineChars="200"/>
        <w:rPr>
          <w:sz w:val="24"/>
          <w:szCs w:val="24"/>
        </w:rPr>
      </w:pPr>
      <w:r>
        <w:rPr>
          <w:rFonts w:hint="eastAsia"/>
          <w:sz w:val="24"/>
          <w:szCs w:val="24"/>
        </w:rPr>
        <w:t>【立项必要性包括但不限于：经济社会和产业发展的需求；相关法律法规、政策规划的要求；标准实施后重大经济、社会、生态效益分析。项目可行性包括但不限于：产业发展情况；有关技术的成熟度和经济性分析；如果实施标准对企业生产经营成本影响较大，应进行综合成本分析；已经具备的研究基础和条件等】</w:t>
      </w:r>
    </w:p>
    <w:p w14:paraId="3E7C9CB7">
      <w:pPr>
        <w:spacing w:line="360" w:lineRule="auto"/>
        <w:ind w:firstLine="560" w:firstLineChars="200"/>
        <w:rPr>
          <w:rFonts w:ascii="方正楷体简体" w:hAnsi="方正楷体简体" w:eastAsia="方正楷体简体" w:cs="方正楷体简体"/>
          <w:color w:val="FF0000"/>
          <w:sz w:val="28"/>
          <w:szCs w:val="28"/>
        </w:rPr>
      </w:pPr>
    </w:p>
    <w:p w14:paraId="27CAC8CF">
      <w:pPr>
        <w:spacing w:line="360" w:lineRule="auto"/>
        <w:ind w:firstLine="560" w:firstLineChars="200"/>
        <w:rPr>
          <w:rFonts w:ascii="方正黑体简体" w:hAnsi="方正黑体简体" w:eastAsia="方正黑体简体" w:cs="方正黑体简体"/>
          <w:sz w:val="28"/>
          <w:szCs w:val="28"/>
        </w:rPr>
      </w:pPr>
      <w:r>
        <w:rPr>
          <w:rFonts w:hint="eastAsia" w:ascii="方正黑体简体" w:hAnsi="方正黑体简体" w:eastAsia="方正黑体简体" w:cs="方正黑体简体"/>
          <w:sz w:val="28"/>
          <w:szCs w:val="28"/>
        </w:rPr>
        <w:t>（二）主要技术要求</w:t>
      </w:r>
    </w:p>
    <w:p w14:paraId="1DC3E21B">
      <w:pPr>
        <w:spacing w:line="360" w:lineRule="auto"/>
        <w:ind w:firstLine="480" w:firstLineChars="200"/>
        <w:rPr>
          <w:sz w:val="24"/>
          <w:szCs w:val="24"/>
        </w:rPr>
      </w:pPr>
      <w:r>
        <w:rPr>
          <w:rFonts w:hint="eastAsia"/>
          <w:sz w:val="24"/>
          <w:szCs w:val="24"/>
        </w:rPr>
        <w:t>【包括范围和主要技术内容等，修订项目应说明拟修订的内容，与原标准相比的主要变化。】</w:t>
      </w:r>
    </w:p>
    <w:p w14:paraId="2A56B26A">
      <w:pPr>
        <w:spacing w:line="360" w:lineRule="auto"/>
        <w:ind w:firstLine="480" w:firstLineChars="200"/>
        <w:rPr>
          <w:color w:val="FF0000"/>
          <w:sz w:val="24"/>
          <w:szCs w:val="24"/>
        </w:rPr>
      </w:pPr>
    </w:p>
    <w:p w14:paraId="07195AEE">
      <w:pPr>
        <w:spacing w:line="360" w:lineRule="auto"/>
        <w:ind w:firstLine="560" w:firstLineChars="200"/>
        <w:rPr>
          <w:rFonts w:ascii="方正黑体简体" w:hAnsi="方正黑体简体" w:eastAsia="方正黑体简体" w:cs="方正黑体简体"/>
          <w:sz w:val="28"/>
          <w:szCs w:val="28"/>
        </w:rPr>
      </w:pPr>
      <w:r>
        <w:rPr>
          <w:rFonts w:hint="eastAsia" w:ascii="方正黑体简体" w:hAnsi="方正黑体简体" w:eastAsia="方正黑体简体" w:cs="方正黑体简体"/>
          <w:sz w:val="28"/>
          <w:szCs w:val="28"/>
        </w:rPr>
        <w:t>（三）国内外标准情况、与国际标准一致性程度情况</w:t>
      </w:r>
    </w:p>
    <w:p w14:paraId="3A4A962A">
      <w:pPr>
        <w:spacing w:line="360" w:lineRule="auto"/>
        <w:ind w:firstLine="480" w:firstLineChars="200"/>
        <w:rPr>
          <w:sz w:val="24"/>
          <w:szCs w:val="24"/>
        </w:rPr>
      </w:pPr>
      <w:r>
        <w:rPr>
          <w:rFonts w:hint="eastAsia"/>
          <w:sz w:val="24"/>
          <w:szCs w:val="24"/>
        </w:rPr>
        <w:t>【包括国内相关标准情况，与拟制定标准的关系，范围包含但不限于相关国家标准、行业标准、地方标准、团体标准和企业标准；有关国际标准化组织、有关国家或地区的相关标准情况、主要内容；拟制定标准拟采用或参照哪些国际国外标准，并对一致性进行描述。】</w:t>
      </w:r>
    </w:p>
    <w:p w14:paraId="2D1CCCBF">
      <w:pPr>
        <w:spacing w:line="360" w:lineRule="auto"/>
        <w:ind w:firstLine="480" w:firstLineChars="200"/>
        <w:rPr>
          <w:sz w:val="24"/>
          <w:szCs w:val="24"/>
        </w:rPr>
      </w:pPr>
    </w:p>
    <w:p w14:paraId="04DA5174">
      <w:pPr>
        <w:spacing w:line="360" w:lineRule="auto"/>
        <w:ind w:firstLine="560" w:firstLineChars="200"/>
        <w:rPr>
          <w:rFonts w:ascii="方正黑体简体" w:hAnsi="方正黑体简体" w:eastAsia="方正黑体简体" w:cs="方正黑体简体"/>
          <w:sz w:val="28"/>
          <w:szCs w:val="28"/>
        </w:rPr>
      </w:pPr>
      <w:r>
        <w:rPr>
          <w:rFonts w:hint="eastAsia" w:ascii="方正黑体简体" w:hAnsi="方正黑体简体" w:eastAsia="方正黑体简体" w:cs="方正黑体简体"/>
          <w:sz w:val="28"/>
          <w:szCs w:val="28"/>
        </w:rPr>
        <w:t>（四）与相关强制性标准、法律法规配套情况</w:t>
      </w:r>
    </w:p>
    <w:p w14:paraId="21117D6A">
      <w:pPr>
        <w:spacing w:line="360" w:lineRule="auto"/>
        <w:ind w:firstLine="480" w:firstLineChars="200"/>
        <w:rPr>
          <w:sz w:val="24"/>
          <w:szCs w:val="24"/>
        </w:rPr>
      </w:pPr>
      <w:r>
        <w:rPr>
          <w:rFonts w:hint="eastAsia"/>
          <w:sz w:val="24"/>
          <w:szCs w:val="24"/>
        </w:rPr>
        <w:t>【包括国内有关强制性标准、法律法规情况，与拟制定标准的关系。】</w:t>
      </w:r>
    </w:p>
    <w:p w14:paraId="369B4FDD">
      <w:pPr>
        <w:spacing w:line="360" w:lineRule="auto"/>
        <w:ind w:firstLine="480" w:firstLineChars="200"/>
        <w:rPr>
          <w:sz w:val="24"/>
          <w:szCs w:val="24"/>
        </w:rPr>
      </w:pPr>
    </w:p>
    <w:p w14:paraId="7220A1DC">
      <w:pPr>
        <w:spacing w:line="360" w:lineRule="auto"/>
        <w:ind w:firstLine="560" w:firstLineChars="200"/>
        <w:rPr>
          <w:rFonts w:ascii="方正黑体简体" w:hAnsi="方正黑体简体" w:eastAsia="方正黑体简体" w:cs="方正黑体简体"/>
          <w:sz w:val="28"/>
          <w:szCs w:val="28"/>
        </w:rPr>
      </w:pPr>
      <w:r>
        <w:rPr>
          <w:rFonts w:hint="eastAsia" w:ascii="方正黑体简体" w:hAnsi="方正黑体简体" w:eastAsia="方正黑体简体" w:cs="方正黑体简体"/>
          <w:sz w:val="28"/>
          <w:szCs w:val="28"/>
        </w:rPr>
        <w:t>（五）标准所涉及的产品、过程或者服务目录</w:t>
      </w:r>
    </w:p>
    <w:p w14:paraId="5F6071C8">
      <w:pPr>
        <w:spacing w:line="360" w:lineRule="auto"/>
        <w:ind w:firstLine="480" w:firstLineChars="200"/>
        <w:rPr>
          <w:sz w:val="24"/>
          <w:szCs w:val="24"/>
        </w:rPr>
      </w:pPr>
      <w:r>
        <w:rPr>
          <w:rFonts w:hint="eastAsia"/>
          <w:sz w:val="24"/>
          <w:szCs w:val="24"/>
        </w:rPr>
        <w:t>【应尽可能详细列出所规范的产品、过程或服务的名称或清单。大类产品可通过举例方式进行细化说明。比如家用和类似用途电器包括什么？】</w:t>
      </w:r>
    </w:p>
    <w:p w14:paraId="1F44BAE2">
      <w:pPr>
        <w:spacing w:line="360" w:lineRule="auto"/>
        <w:ind w:firstLine="480" w:firstLineChars="200"/>
        <w:rPr>
          <w:sz w:val="24"/>
          <w:szCs w:val="24"/>
        </w:rPr>
      </w:pPr>
    </w:p>
    <w:p w14:paraId="499E981C">
      <w:pPr>
        <w:spacing w:line="360" w:lineRule="auto"/>
        <w:ind w:firstLine="560" w:firstLineChars="200"/>
        <w:rPr>
          <w:rFonts w:ascii="方正黑体简体" w:hAnsi="方正黑体简体" w:eastAsia="方正黑体简体" w:cs="方正黑体简体"/>
          <w:sz w:val="28"/>
          <w:szCs w:val="28"/>
        </w:rPr>
      </w:pPr>
      <w:r>
        <w:rPr>
          <w:rFonts w:hint="eastAsia" w:ascii="方正黑体简体" w:hAnsi="方正黑体简体" w:eastAsia="方正黑体简体" w:cs="方正黑体简体"/>
          <w:sz w:val="28"/>
          <w:szCs w:val="28"/>
        </w:rPr>
        <w:t>（六）可能涉及的相关知识产权情况</w:t>
      </w:r>
    </w:p>
    <w:p w14:paraId="01FB5379">
      <w:pPr>
        <w:spacing w:line="360" w:lineRule="auto"/>
        <w:ind w:firstLine="480" w:firstLineChars="200"/>
        <w:rPr>
          <w:sz w:val="24"/>
          <w:szCs w:val="24"/>
        </w:rPr>
      </w:pPr>
      <w:r>
        <w:rPr>
          <w:rFonts w:hint="eastAsia"/>
          <w:sz w:val="24"/>
          <w:szCs w:val="24"/>
        </w:rPr>
        <w:t>【应尽可能列出可能涉及的知识产权情况，包括采用其他标准涉及的版权情况，标准涉及专利情况等。】</w:t>
      </w:r>
    </w:p>
    <w:p w14:paraId="25F21D75">
      <w:pPr>
        <w:spacing w:line="360" w:lineRule="auto"/>
        <w:ind w:firstLine="480" w:firstLineChars="200"/>
        <w:rPr>
          <w:sz w:val="24"/>
          <w:szCs w:val="24"/>
        </w:rPr>
      </w:pPr>
    </w:p>
    <w:p w14:paraId="55D3CB76">
      <w:pPr>
        <w:spacing w:line="360" w:lineRule="auto"/>
        <w:ind w:firstLine="560" w:firstLineChars="200"/>
        <w:rPr>
          <w:rFonts w:ascii="方正黑体简体" w:hAnsi="方正黑体简体" w:eastAsia="方正黑体简体" w:cs="方正黑体简体"/>
          <w:sz w:val="28"/>
          <w:szCs w:val="28"/>
        </w:rPr>
      </w:pPr>
      <w:r>
        <w:rPr>
          <w:rFonts w:hint="eastAsia" w:ascii="方正黑体简体" w:hAnsi="方正黑体简体" w:eastAsia="方正黑体简体" w:cs="方正黑体简体"/>
          <w:sz w:val="28"/>
          <w:szCs w:val="28"/>
        </w:rPr>
        <w:t>（七）征求国务院有关部门或关联TC意见的情况</w:t>
      </w:r>
    </w:p>
    <w:p w14:paraId="0305F64D">
      <w:pPr>
        <w:spacing w:line="360" w:lineRule="auto"/>
        <w:ind w:firstLine="480" w:firstLineChars="200"/>
        <w:rPr>
          <w:sz w:val="24"/>
          <w:szCs w:val="24"/>
        </w:rPr>
      </w:pPr>
      <w:r>
        <w:rPr>
          <w:rFonts w:hint="eastAsia"/>
          <w:sz w:val="24"/>
          <w:szCs w:val="24"/>
        </w:rPr>
        <w:t>【标准化对象如涉及国务院有关部门或关联TC，应征求并提供相关部门（TC）的意见。】</w:t>
      </w:r>
    </w:p>
    <w:p w14:paraId="010961E3">
      <w:pPr>
        <w:spacing w:line="360" w:lineRule="auto"/>
        <w:rPr>
          <w:color w:val="FF0000"/>
          <w:sz w:val="24"/>
          <w:szCs w:val="24"/>
        </w:rPr>
      </w:pPr>
    </w:p>
    <w:p w14:paraId="0032D6E0">
      <w:pPr>
        <w:spacing w:line="360" w:lineRule="auto"/>
        <w:ind w:firstLine="560" w:firstLineChars="200"/>
        <w:rPr>
          <w:rFonts w:ascii="方正黑体简体" w:hAnsi="方正黑体简体" w:eastAsia="方正黑体简体" w:cs="方正黑体简体"/>
          <w:sz w:val="28"/>
          <w:szCs w:val="28"/>
        </w:rPr>
      </w:pPr>
      <w:r>
        <w:rPr>
          <w:rFonts w:hint="eastAsia" w:ascii="方正黑体简体" w:hAnsi="方正黑体简体" w:eastAsia="方正黑体简体" w:cs="方正黑体简体"/>
          <w:sz w:val="28"/>
          <w:szCs w:val="28"/>
        </w:rPr>
        <w:t>（八）经费预算</w:t>
      </w:r>
    </w:p>
    <w:p w14:paraId="30D378D3">
      <w:pPr>
        <w:spacing w:line="360" w:lineRule="auto"/>
        <w:ind w:firstLine="480" w:firstLineChars="200"/>
        <w:rPr>
          <w:sz w:val="24"/>
          <w:szCs w:val="24"/>
        </w:rPr>
      </w:pPr>
      <w:r>
        <w:rPr>
          <w:rFonts w:hint="eastAsia"/>
          <w:sz w:val="24"/>
          <w:szCs w:val="24"/>
        </w:rPr>
        <w:t>【应包括制定标准所需经费总额、国拨补助经费、自筹经费的情况。】</w:t>
      </w:r>
    </w:p>
    <w:p w14:paraId="66836785">
      <w:pPr>
        <w:spacing w:line="360" w:lineRule="auto"/>
        <w:ind w:firstLine="480" w:firstLineChars="200"/>
        <w:rPr>
          <w:sz w:val="24"/>
          <w:szCs w:val="24"/>
        </w:rPr>
      </w:pPr>
    </w:p>
    <w:p w14:paraId="7857CABC">
      <w:pPr>
        <w:spacing w:line="360" w:lineRule="auto"/>
        <w:ind w:firstLine="560" w:firstLineChars="200"/>
        <w:rPr>
          <w:rFonts w:ascii="方正黑体简体" w:hAnsi="方正黑体简体" w:eastAsia="方正黑体简体" w:cs="方正黑体简体"/>
          <w:sz w:val="28"/>
          <w:szCs w:val="28"/>
        </w:rPr>
      </w:pPr>
      <w:r>
        <w:rPr>
          <w:rFonts w:hint="eastAsia" w:ascii="方正黑体简体" w:hAnsi="方正黑体简体" w:eastAsia="方正黑体简体" w:cs="方正黑体简体"/>
          <w:sz w:val="28"/>
          <w:szCs w:val="28"/>
        </w:rPr>
        <w:t>（九）项目进度安排</w:t>
      </w:r>
    </w:p>
    <w:p w14:paraId="59AAFF06">
      <w:pPr>
        <w:spacing w:line="360" w:lineRule="auto"/>
        <w:ind w:firstLine="480" w:firstLineChars="200"/>
        <w:rPr>
          <w:sz w:val="24"/>
          <w:szCs w:val="24"/>
        </w:rPr>
      </w:pPr>
      <w:r>
        <w:rPr>
          <w:rFonts w:hint="eastAsia"/>
          <w:sz w:val="24"/>
          <w:szCs w:val="24"/>
        </w:rPr>
        <w:t>【标准进度一般按照标准制修订程序的各个阶段进行，应制定详细的工作计划，</w:t>
      </w:r>
      <w:r>
        <w:rPr>
          <w:rFonts w:hint="eastAsia" w:ascii="宋体" w:hAnsi="宋体" w:eastAsia="宋体" w:cs="宋体"/>
          <w:color w:val="333333"/>
          <w:sz w:val="24"/>
          <w:szCs w:val="24"/>
          <w:shd w:val="clear" w:color="auto" w:fill="FFFFFF"/>
        </w:rPr>
        <w:t>根据制修订周期细化组织起草、征求意见、技术审查等各阶段具体时间安排。</w:t>
      </w:r>
      <w:r>
        <w:rPr>
          <w:rFonts w:hint="eastAsia"/>
          <w:sz w:val="24"/>
          <w:szCs w:val="24"/>
        </w:rPr>
        <w:t>】</w:t>
      </w:r>
    </w:p>
    <w:p w14:paraId="76AFC9B4">
      <w:pPr>
        <w:ind w:firstLine="400" w:firstLineChars="200"/>
        <w:rPr>
          <w:color w:val="FF0000"/>
          <w:sz w:val="20"/>
          <w:szCs w:val="20"/>
        </w:rPr>
      </w:pPr>
      <w:r>
        <w:rPr>
          <w:rFonts w:hint="eastAsia"/>
          <w:color w:val="FF0000"/>
          <w:sz w:val="20"/>
          <w:szCs w:val="20"/>
        </w:rPr>
        <w:t>（注：1. 项目工作计划涉及组织起草、征求意见、技术审查三个阶段，各单位应根据项目周期细化各阶段的具体天数。各个阶段对应的环节范围说明如下：组织起草阶段包含确认年度计划和标准起草两个子环节，征求意见包含征求意见一个子环节，技术审查包含审查、标准上报两个子环节。2. 推荐征求意见环节时长为90天（其中，征求意见60天，意见处理30天），技术审查环节为30天。）</w:t>
      </w:r>
    </w:p>
    <w:p w14:paraId="43CA6589">
      <w:pPr>
        <w:spacing w:line="360" w:lineRule="auto"/>
        <w:ind w:firstLine="480" w:firstLineChars="200"/>
        <w:rPr>
          <w:sz w:val="24"/>
          <w:szCs w:val="24"/>
        </w:rPr>
      </w:pPr>
    </w:p>
    <w:p w14:paraId="44A77C9F">
      <w:pPr>
        <w:spacing w:line="360" w:lineRule="auto"/>
        <w:ind w:firstLine="480" w:firstLineChars="200"/>
        <w:rPr>
          <w:color w:val="FF0000"/>
          <w:sz w:val="24"/>
          <w:szCs w:val="24"/>
        </w:rPr>
      </w:pPr>
    </w:p>
    <w:p w14:paraId="381C2EF8">
      <w:pPr>
        <w:spacing w:line="360" w:lineRule="auto"/>
        <w:ind w:firstLine="560" w:firstLineChars="200"/>
        <w:rPr>
          <w:rFonts w:ascii="方正黑体简体" w:hAnsi="方正黑体简体" w:eastAsia="方正黑体简体" w:cs="方正黑体简体"/>
          <w:sz w:val="28"/>
          <w:szCs w:val="28"/>
        </w:rPr>
      </w:pPr>
      <w:r>
        <w:rPr>
          <w:rFonts w:hint="eastAsia" w:ascii="方正黑体简体" w:hAnsi="方正黑体简体" w:eastAsia="方正黑体简体" w:cs="方正黑体简体"/>
          <w:sz w:val="28"/>
          <w:szCs w:val="28"/>
        </w:rPr>
        <w:t>（十）需要申报的其他事项</w:t>
      </w:r>
    </w:p>
    <w:p w14:paraId="07616BBC">
      <w:pPr>
        <w:spacing w:line="360" w:lineRule="auto"/>
        <w:ind w:firstLine="480" w:firstLineChars="200"/>
        <w:rPr>
          <w:sz w:val="24"/>
          <w:szCs w:val="24"/>
        </w:rPr>
      </w:pPr>
      <w:r>
        <w:rPr>
          <w:rFonts w:hint="eastAsia"/>
          <w:sz w:val="24"/>
          <w:szCs w:val="24"/>
        </w:rPr>
        <w:t>【需要废止或修订其他标准的建议，以及其他需要说明的事项】</w:t>
      </w:r>
      <w:bookmarkStart w:id="0" w:name="_GoBack"/>
      <w:bookmarkEnd w:id="0"/>
    </w:p>
    <w:p w14:paraId="05588281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5668F778-CBE3-4E85-AB4C-205122D2EBE4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方正黑体简体">
    <w:panose1 w:val="02000000000000000000"/>
    <w:charset w:val="86"/>
    <w:family w:val="script"/>
    <w:pitch w:val="default"/>
    <w:sig w:usb0="00000001" w:usb1="080E0000" w:usb2="00000000" w:usb3="00000000" w:csb0="00040000" w:csb1="00000000"/>
    <w:embedRegular r:id="rId2" w:fontKey="{52B518EC-123F-4727-94A2-6AB1FE4F343D}"/>
  </w:font>
  <w:font w:name="方正楷体简体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3" w:fontKey="{E7033D25-2A58-4850-98F2-8FF856957D4B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AE4D8BD"/>
    <w:multiLevelType w:val="singleLevel"/>
    <w:tmpl w:val="6AE4D8BD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6F374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2025-11-05T08:52:25Z</dcterms:created>
  <dc:creator>cnis</dc:creator>
  <cp:lastModifiedBy>刘鹏</cp:lastModifiedBy>
  <dcterms:modified xsi:type="dcterms:W3CDTF">2025-11-05T08:52:45Z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KSOTemplateDocerSaveRecord">
    <vt:lpwstr>eyJoZGlkIjoiMTk3MjVmZjQ1YTcyN2E3MjNhODQzZWEyOGEwOWE3MGIiLCJ1c2VySWQiOiI0NDk3NjM0NjMifQ==</vt:lpwstr>
  </property>
  <property fmtid="{D5CDD505-2E9C-101B-9397-08002B2CF9AE}" pid="4" name="ICV">
    <vt:lpwstr>E8A4BC6DEF954C269E0D1D84ACCA85CA_12</vt:lpwstr>
  </property>
</Properties>
</file>