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65.050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B.72</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GH</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供销</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GH</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XX/T</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银杏叶质量等级</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i w:val="0"/>
          <w:iCs w:val="0"/>
          <w:szCs w:val="28"/>
        </w:rPr>
        <w:fldChar w:fldCharType="begin">
          <w:ffData>
            <w:name w:val="ESTD_NAME"/>
            <w:enabled/>
            <w:calcOnExit w:val="0"/>
            <w:textInput>
              <w:default w:val="点击此处添加标准名称的英文译名"/>
            </w:textInput>
          </w:ffData>
        </w:fldChar>
      </w:r>
      <w:bookmarkStart w:id="10" w:name="ESTD_NAME"/>
      <w:r>
        <w:rPr>
          <w:rFonts w:eastAsia="黑体"/>
          <w:i w:val="0"/>
          <w:iCs w:val="0"/>
          <w:szCs w:val="28"/>
        </w:rPr>
        <w:instrText xml:space="preserve"> FORMTEXT </w:instrText>
      </w:r>
      <w:r>
        <w:rPr>
          <w:rFonts w:eastAsia="黑体"/>
          <w:i w:val="0"/>
          <w:iCs w:val="0"/>
          <w:szCs w:val="28"/>
        </w:rPr>
        <w:fldChar w:fldCharType="separate"/>
      </w:r>
      <w:r>
        <w:rPr>
          <w:rFonts w:hint="eastAsia" w:eastAsia="黑体"/>
          <w:i w:val="0"/>
          <w:iCs w:val="0"/>
          <w:szCs w:val="28"/>
        </w:rPr>
        <w:t>Grade of Ginkgo biloba leaf</w:t>
      </w:r>
      <w:r>
        <w:rPr>
          <w:rFonts w:eastAsia="黑体"/>
          <w:i w:val="0"/>
          <w:iCs w:val="0"/>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bookmarkStart w:id="12" w:name="下拉1"/>
      <w:r>
        <w:rPr>
          <w:rFonts w:hint="eastAsia" w:cs="Times New Roman"/>
          <w:sz w:val="24"/>
          <w:szCs w:val="28"/>
          <w:lang w:val="en-US" w:eastAsia="zh-CN" w:bidi="ar-SA"/>
        </w:rPr>
        <w:t>（送审稿）</w:t>
      </w:r>
      <w:r>
        <w:rPr>
          <w:rFonts w:hint="eastAsia" w:ascii="Times New Roman" w:hAnsi="Times New Roman" w:eastAsia="宋体" w:cs="Times New Roman"/>
          <w:sz w:val="24"/>
          <w:szCs w:val="28"/>
          <w:lang w:val="en-US" w:eastAsia="zh-CN" w:bidi="ar-SA"/>
        </w:rPr>
        <w:fldChar w:fldCharType="begin">
          <w:ffData>
            <w:name w:val="下拉1"/>
            <w:enabled w:val="0"/>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Times New Roman" w:hAnsi="Times New Roman" w:eastAsia="宋体" w:cs="Times New Roman"/>
          <w:sz w:val="24"/>
          <w:szCs w:val="28"/>
          <w:lang w:val="en-US" w:eastAsia="zh-CN" w:bidi="ar-SA"/>
        </w:rPr>
        <w:instrText xml:space="preserve">FORMDROPDOWN</w:instrText>
      </w:r>
      <w:r>
        <w:rPr>
          <w:rFonts w:hint="eastAsia" w:ascii="Times New Roman" w:hAnsi="Times New Roman" w:eastAsia="宋体" w:cs="Times New Roman"/>
          <w:sz w:val="24"/>
          <w:szCs w:val="28"/>
          <w:lang w:val="en-US" w:eastAsia="zh-CN" w:bidi="ar-SA"/>
        </w:rPr>
        <w:fldChar w:fldCharType="separate"/>
      </w:r>
      <w:r>
        <w:rPr>
          <w:rFonts w:hint="eastAsia" w:ascii="Times New Roman" w:hAnsi="Times New Roman" w:eastAsia="宋体" w:cs="Times New Roman"/>
          <w:sz w:val="24"/>
          <w:szCs w:val="28"/>
          <w:lang w:val="en-US" w:eastAsia="zh-CN" w:bidi="ar-SA"/>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bookmarkStart w:id="13" w:name="CMPLSH_DATE"/>
      <w:r>
        <w:rPr>
          <w:rFonts w:ascii="Times New Roman" w:hAnsi="Times New Roman" w:eastAsia="宋体" w:cs="Times New Roman"/>
          <w:sz w:val="21"/>
          <w:szCs w:val="28"/>
          <w:lang w:val="en-US" w:eastAsia="zh-CN" w:bidi="ar-SA"/>
        </w:rPr>
        <w:fldChar w:fldCharType="begin">
          <w:ffData>
            <w:name w:val="CMPLSH_DATE"/>
            <w:enabled/>
            <w:calcOnExit w:val="0"/>
            <w:textInput/>
          </w:ffData>
        </w:fldChar>
      </w:r>
      <w:r>
        <w:rPr>
          <w:rFonts w:ascii="Times New Roman" w:hAnsi="Times New Roman" w:eastAsia="宋体" w:cs="Times New Roman"/>
          <w:sz w:val="21"/>
          <w:szCs w:val="28"/>
          <w:lang w:val="en-US" w:eastAsia="zh-CN" w:bidi="ar-SA"/>
        </w:rPr>
        <w:instrText xml:space="preserve">FORMTEXT</w:instrText>
      </w:r>
      <w:r>
        <w:rPr>
          <w:rFonts w:ascii="Times New Roman" w:hAnsi="Times New Roman" w:eastAsia="宋体" w:cs="Times New Roman"/>
          <w:sz w:val="21"/>
          <w:szCs w:val="28"/>
          <w:lang w:val="en-US" w:eastAsia="zh-CN" w:bidi="ar-SA"/>
        </w:rPr>
        <w:fldChar w:fldCharType="separate"/>
      </w:r>
      <w:r>
        <w:rPr>
          <w:rFonts w:hint="default" w:ascii="Times New Roman" w:hAnsi="Times New Roman" w:eastAsia="宋体" w:cs="Times New Roman"/>
          <w:sz w:val="21"/>
          <w:szCs w:val="28"/>
          <w:lang w:val="en-US" w:eastAsia="zh-CN" w:bidi="ar-SA"/>
        </w:rPr>
        <w:t>     </w:t>
      </w:r>
      <w:r>
        <w:rPr>
          <w:rFonts w:ascii="Times New Roman" w:hAnsi="Times New Roman" w:eastAsia="宋体" w:cs="Times New Roman"/>
          <w:sz w:val="21"/>
          <w:szCs w:val="28"/>
          <w:lang w:val="en-US" w:eastAsia="zh-CN" w:bidi="ar-SA"/>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全国供销合作总社</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2"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请注意本文件的某些内容可能涉及专利。本文件的发布机构不承担识别这些专利的责任。</w:t>
      </w:r>
    </w:p>
    <w:p>
      <w:pPr>
        <w:pStyle w:val="56"/>
        <w:ind w:firstLine="420"/>
      </w:pPr>
      <w:r>
        <w:rPr>
          <w:rFonts w:hint="eastAsia"/>
        </w:rPr>
        <w:t>本文件由</w:t>
      </w:r>
      <w:r>
        <w:rPr>
          <w:rFonts w:hint="eastAsia"/>
          <w:lang w:val="en-US" w:eastAsia="zh-CN"/>
        </w:rPr>
        <w:t>中华全国供销合作总社科教社团部</w:t>
      </w:r>
      <w:r>
        <w:rPr>
          <w:rFonts w:hint="eastAsia"/>
        </w:rPr>
        <w:t>提出。</w:t>
      </w:r>
    </w:p>
    <w:p>
      <w:pPr>
        <w:pStyle w:val="56"/>
        <w:ind w:firstLine="420"/>
      </w:pPr>
      <w:r>
        <w:rPr>
          <w:rFonts w:hint="eastAsia"/>
        </w:rPr>
        <w:t>本文件由中华全国供销合作总社科教社团部归口。</w:t>
      </w:r>
    </w:p>
    <w:p>
      <w:pPr>
        <w:pStyle w:val="56"/>
        <w:ind w:firstLine="420"/>
        <w:rPr>
          <w:rFonts w:hint="eastAsia" w:eastAsia="宋体"/>
          <w:lang w:eastAsia="zh-CN"/>
        </w:rPr>
      </w:pPr>
      <w:r>
        <w:rPr>
          <w:rFonts w:hint="eastAsia"/>
        </w:rPr>
        <w:t>本文件起草单位：中国标准化研究院</w:t>
      </w:r>
      <w:r>
        <w:rPr>
          <w:rFonts w:hint="eastAsia"/>
          <w:lang w:eastAsia="zh-CN"/>
        </w:rPr>
        <w:t>等。</w:t>
      </w:r>
    </w:p>
    <w:p>
      <w:pPr>
        <w:pStyle w:val="56"/>
        <w:ind w:firstLine="420"/>
      </w:pPr>
      <w:r>
        <w:rPr>
          <w:rFonts w:hint="eastAsia"/>
        </w:rPr>
        <w:t>本文件主要起草人：</w:t>
      </w:r>
      <w:bookmarkStart w:id="45" w:name="_GoBack"/>
      <w:bookmarkEnd w:id="45"/>
    </w:p>
    <w:p>
      <w:pPr>
        <w:pStyle w:val="56"/>
        <w:ind w:firstLine="420"/>
      </w:pPr>
    </w:p>
    <w:p>
      <w:pPr>
        <w:pStyle w:val="56"/>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2"/>
    <w:p>
      <w:pPr>
        <w:spacing w:line="20" w:lineRule="exact"/>
        <w:jc w:val="center"/>
        <w:rPr>
          <w:rFonts w:hint="default" w:ascii="Times New Roman" w:hAnsi="Times New Roman" w:eastAsia="黑体" w:cs="Times New Roman"/>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5A98AB1769DC41A59D0B1C4FF1FE4D09"/>
        </w:placeholder>
      </w:sdtPr>
      <w:sdtContent>
        <w:p>
          <w:pPr>
            <w:pStyle w:val="177"/>
            <w:spacing w:before="240" w:beforeLines="100" w:after="528" w:afterLines="220"/>
          </w:pPr>
          <w:bookmarkStart w:id="24" w:name="NEW_STAND_NAME"/>
          <w:r>
            <w:rPr>
              <w:rFonts w:hint="eastAsia"/>
            </w:rPr>
            <w:t>银杏叶质量等级</w:t>
          </w:r>
        </w:p>
      </w:sdtContent>
    </w:sdt>
    <w:bookmarkEnd w:id="24"/>
    <w:p>
      <w:pPr>
        <w:pStyle w:val="104"/>
        <w:spacing w:before="240" w:after="240"/>
      </w:pPr>
      <w:bookmarkStart w:id="25" w:name="_Toc24884218"/>
      <w:bookmarkStart w:id="26" w:name="_Toc24884211"/>
      <w:bookmarkStart w:id="27" w:name="_Toc26648465"/>
      <w:bookmarkStart w:id="28" w:name="_Toc17233333"/>
      <w:bookmarkStart w:id="29" w:name="_Toc17233325"/>
      <w:bookmarkStart w:id="30" w:name="_Toc26986530"/>
      <w:bookmarkStart w:id="31" w:name="_Toc26718930"/>
      <w:bookmarkStart w:id="32" w:name="_Toc26986771"/>
      <w:r>
        <w:rPr>
          <w:rFonts w:hint="eastAsia"/>
        </w:rPr>
        <w:t>范围</w:t>
      </w:r>
      <w:bookmarkEnd w:id="25"/>
      <w:bookmarkEnd w:id="26"/>
      <w:bookmarkEnd w:id="27"/>
      <w:bookmarkEnd w:id="28"/>
      <w:bookmarkEnd w:id="29"/>
      <w:bookmarkEnd w:id="30"/>
      <w:bookmarkEnd w:id="31"/>
      <w:bookmarkEnd w:id="32"/>
    </w:p>
    <w:p>
      <w:pPr>
        <w:pStyle w:val="56"/>
        <w:ind w:firstLine="420"/>
      </w:pPr>
      <w:bookmarkStart w:id="33" w:name="_Toc26648466"/>
      <w:bookmarkStart w:id="34" w:name="_Toc17233326"/>
      <w:bookmarkStart w:id="35" w:name="_Toc17233334"/>
      <w:bookmarkStart w:id="36" w:name="_Toc24884212"/>
      <w:bookmarkStart w:id="37" w:name="_Toc24884219"/>
      <w:r>
        <w:rPr>
          <w:rFonts w:hint="eastAsia"/>
        </w:rPr>
        <w:t>本文件规定了银杏叶术语和定义、质量要求、容许度、检验方法、检验规则、采收、标签、包装、贮存和运输。</w:t>
      </w:r>
    </w:p>
    <w:p>
      <w:pPr>
        <w:pStyle w:val="56"/>
        <w:ind w:firstLine="420"/>
        <w:rPr>
          <w:rFonts w:hint="eastAsia"/>
        </w:rPr>
      </w:pPr>
      <w:r>
        <w:rPr>
          <w:rFonts w:hint="eastAsia"/>
        </w:rPr>
        <w:t>本文件适用于保健食品或药品用银杏科植物银杏树（</w:t>
      </w:r>
      <w:r>
        <w:rPr>
          <w:rFonts w:hint="default" w:ascii="Times New Roman" w:hAnsi="Times New Roman" w:cs="Times New Roman"/>
          <w:i/>
          <w:iCs/>
        </w:rPr>
        <w:t>Ginkgo biloba</w:t>
      </w:r>
      <w:r>
        <w:rPr>
          <w:rFonts w:hint="default" w:ascii="Times New Roman" w:hAnsi="Times New Roman" w:cs="Times New Roman"/>
        </w:rPr>
        <w:t xml:space="preserve"> L.</w:t>
      </w:r>
      <w:r>
        <w:rPr>
          <w:rFonts w:hint="eastAsia"/>
        </w:rPr>
        <w:t>）的鲜叶、干叶的质量分级。</w:t>
      </w:r>
    </w:p>
    <w:p>
      <w:pPr>
        <w:pStyle w:val="104"/>
        <w:spacing w:before="240" w:after="240"/>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19A21ACAC66246C0AC6A5FF0D434C7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rPr>
      </w:pPr>
      <w:r>
        <w:rPr>
          <w:rFonts w:ascii="Times New Roman"/>
        </w:rPr>
        <w:t>GB/T 191 包装储运图</w:t>
      </w:r>
      <w:r>
        <w:rPr>
          <w:rFonts w:hint="eastAsia" w:ascii="Times New Roman"/>
        </w:rPr>
        <w:t>示</w:t>
      </w:r>
      <w:r>
        <w:rPr>
          <w:rFonts w:ascii="Times New Roman"/>
        </w:rPr>
        <w:t>标志</w:t>
      </w:r>
    </w:p>
    <w:p>
      <w:pPr>
        <w:pStyle w:val="56"/>
        <w:ind w:firstLine="420"/>
        <w:rPr>
          <w:rFonts w:ascii="Times New Roman"/>
        </w:rPr>
      </w:pPr>
      <w:r>
        <w:rPr>
          <w:rFonts w:ascii="Times New Roman"/>
        </w:rPr>
        <w:t>GB 2762 食品安全国家标准  食品中污染物限量</w:t>
      </w:r>
    </w:p>
    <w:p>
      <w:pPr>
        <w:pStyle w:val="56"/>
        <w:ind w:firstLine="420"/>
        <w:rPr>
          <w:rFonts w:ascii="Times New Roman"/>
        </w:rPr>
      </w:pPr>
      <w:r>
        <w:rPr>
          <w:rFonts w:ascii="Times New Roman"/>
        </w:rPr>
        <w:t>GB 2763 食品安全国家标准  食品中农药最大残留量</w:t>
      </w:r>
    </w:p>
    <w:p>
      <w:pPr>
        <w:pStyle w:val="56"/>
        <w:ind w:firstLine="420"/>
        <w:rPr>
          <w:rFonts w:ascii="Times New Roman"/>
        </w:rPr>
      </w:pPr>
      <w:r>
        <w:rPr>
          <w:rFonts w:ascii="Times New Roman"/>
        </w:rPr>
        <w:t>GB 5009.3 食品安全国家标准  食品中水分的测定</w:t>
      </w:r>
    </w:p>
    <w:p>
      <w:pPr>
        <w:pStyle w:val="56"/>
        <w:ind w:firstLine="420"/>
        <w:rPr>
          <w:rFonts w:ascii="Times New Roman"/>
        </w:rPr>
      </w:pPr>
      <w:r>
        <w:rPr>
          <w:rFonts w:ascii="Times New Roman"/>
        </w:rPr>
        <w:t>GB 5009.4 食品安全国家标准  食品中灰分的测定</w:t>
      </w:r>
    </w:p>
    <w:p>
      <w:pPr>
        <w:pStyle w:val="56"/>
        <w:ind w:firstLine="420"/>
        <w:rPr>
          <w:rFonts w:ascii="Times New Roman"/>
        </w:rPr>
      </w:pPr>
      <w:r>
        <w:rPr>
          <w:rFonts w:ascii="Times New Roman"/>
        </w:rPr>
        <w:t>GB/T 8302 茶</w:t>
      </w:r>
      <w:r>
        <w:rPr>
          <w:rFonts w:hint="eastAsia" w:ascii="Times New Roman"/>
          <w:lang w:val="en-US" w:eastAsia="zh-CN"/>
        </w:rPr>
        <w:t xml:space="preserve"> </w:t>
      </w:r>
      <w:r>
        <w:rPr>
          <w:rFonts w:ascii="Times New Roman"/>
        </w:rPr>
        <w:t>取样</w:t>
      </w:r>
    </w:p>
    <w:p>
      <w:pPr>
        <w:pStyle w:val="56"/>
        <w:ind w:firstLine="420"/>
        <w:rPr>
          <w:rFonts w:ascii="Times New Roman"/>
        </w:rPr>
      </w:pPr>
      <w:r>
        <w:rPr>
          <w:rFonts w:ascii="Times New Roman"/>
        </w:rPr>
        <w:t>GB/T 10221 感官分析</w:t>
      </w:r>
      <w:r>
        <w:rPr>
          <w:rFonts w:hint="eastAsia" w:ascii="Times New Roman"/>
          <w:lang w:val="en-US" w:eastAsia="zh-CN"/>
        </w:rPr>
        <w:t xml:space="preserve"> </w:t>
      </w:r>
      <w:r>
        <w:rPr>
          <w:rFonts w:ascii="Times New Roman"/>
        </w:rPr>
        <w:t>术语</w:t>
      </w:r>
    </w:p>
    <w:p>
      <w:pPr>
        <w:pStyle w:val="56"/>
        <w:ind w:firstLine="420"/>
        <w:rPr>
          <w:rFonts w:ascii="Times New Roman"/>
        </w:rPr>
      </w:pPr>
      <w:r>
        <w:rPr>
          <w:rFonts w:hint="eastAsia" w:ascii="Times New Roman"/>
        </w:rPr>
        <w:t xml:space="preserve">GB/T 32950 鲜活农产品标签标识 </w:t>
      </w:r>
    </w:p>
    <w:p>
      <w:pPr>
        <w:pStyle w:val="104"/>
        <w:spacing w:before="240" w:after="240"/>
        <w:rPr>
          <w:rFonts w:ascii="Times New Roman"/>
        </w:rPr>
      </w:pPr>
      <w:r>
        <w:rPr>
          <w:rFonts w:ascii="Times New Roman"/>
          <w:szCs w:val="21"/>
        </w:rPr>
        <w:t>术语和定义</w:t>
      </w:r>
    </w:p>
    <w:sdt>
      <w:sdtPr>
        <w:rPr>
          <w:rFonts w:ascii="Times New Roman"/>
        </w:rPr>
        <w:id w:val="-1909835108"/>
        <w:placeholder>
          <w:docPart w:val="E430F6B55A13412F8C85AA9DA40627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6"/>
            <w:ind w:firstLine="420"/>
            <w:rPr>
              <w:rFonts w:ascii="Times New Roman"/>
            </w:rPr>
          </w:pPr>
          <w:bookmarkStart w:id="41" w:name="_Toc26986532"/>
          <w:bookmarkEnd w:id="41"/>
          <w:r>
            <w:rPr>
              <w:rFonts w:ascii="Times New Roman"/>
            </w:rPr>
            <w:t>下列术语和定义适用于本文件。</w:t>
          </w:r>
        </w:p>
      </w:sdtContent>
    </w:sdt>
    <w:p>
      <w:pPr>
        <w:pStyle w:val="56"/>
        <w:ind w:firstLine="420"/>
        <w:rPr>
          <w:rFonts w:ascii="Times New Roman"/>
        </w:rPr>
      </w:pPr>
    </w:p>
    <w:p>
      <w:pPr>
        <w:pStyle w:val="223"/>
        <w:ind w:left="420" w:hanging="420" w:hangingChars="200"/>
        <w:rPr>
          <w:rFonts w:ascii="Times New Roman" w:eastAsia="黑体"/>
        </w:rPr>
      </w:pPr>
    </w:p>
    <w:p>
      <w:pPr>
        <w:pStyle w:val="223"/>
        <w:numPr>
          <w:ilvl w:val="2"/>
          <w:numId w:val="0"/>
        </w:numPr>
        <w:ind w:leftChars="-200" w:firstLine="840" w:firstLineChars="400"/>
        <w:rPr>
          <w:rFonts w:ascii="Times New Roman" w:eastAsia="黑体"/>
        </w:rPr>
      </w:pPr>
      <w:r>
        <w:rPr>
          <w:rFonts w:ascii="Times New Roman" w:eastAsia="黑体"/>
        </w:rPr>
        <w:t xml:space="preserve">银杏鲜叶 Fresh leaves of </w:t>
      </w:r>
      <w:r>
        <w:rPr>
          <w:rFonts w:ascii="Times New Roman" w:eastAsia="黑体"/>
          <w:i/>
        </w:rPr>
        <w:t xml:space="preserve">Ginkgo biloba </w:t>
      </w:r>
      <w:r>
        <w:rPr>
          <w:rFonts w:ascii="Times New Roman" w:eastAsia="黑体"/>
        </w:rPr>
        <w:t>L.</w:t>
      </w:r>
    </w:p>
    <w:p>
      <w:pPr>
        <w:pStyle w:val="56"/>
        <w:ind w:firstLine="420"/>
        <w:rPr>
          <w:rFonts w:ascii="Times New Roman"/>
        </w:rPr>
      </w:pPr>
      <w:r>
        <w:rPr>
          <w:rFonts w:ascii="Times New Roman"/>
        </w:rPr>
        <w:t>从银杏树上采摘的新鲜叶</w:t>
      </w:r>
      <w:r>
        <w:rPr>
          <w:rFonts w:hint="eastAsia" w:ascii="Times New Roman"/>
        </w:rPr>
        <w:t>片</w:t>
      </w:r>
      <w:r>
        <w:rPr>
          <w:rFonts w:ascii="Times New Roman"/>
        </w:rPr>
        <w:t>。</w:t>
      </w:r>
    </w:p>
    <w:p>
      <w:pPr>
        <w:pStyle w:val="223"/>
        <w:ind w:left="420" w:hanging="420" w:hangingChars="200"/>
        <w:rPr>
          <w:rFonts w:ascii="Times New Roman" w:eastAsia="黑体"/>
        </w:rPr>
      </w:pPr>
    </w:p>
    <w:p>
      <w:pPr>
        <w:pStyle w:val="223"/>
        <w:numPr>
          <w:ilvl w:val="0"/>
          <w:numId w:val="0"/>
        </w:numPr>
        <w:ind w:left="420"/>
        <w:rPr>
          <w:rFonts w:ascii="Times New Roman" w:eastAsia="黑体"/>
        </w:rPr>
      </w:pPr>
      <w:r>
        <w:rPr>
          <w:rFonts w:ascii="Times New Roman" w:eastAsia="黑体"/>
        </w:rPr>
        <w:t>银杏</w:t>
      </w:r>
      <w:r>
        <w:rPr>
          <w:rFonts w:hint="eastAsia" w:ascii="Times New Roman" w:eastAsia="黑体"/>
        </w:rPr>
        <w:t>干叶</w:t>
      </w:r>
      <w:r>
        <w:rPr>
          <w:rFonts w:ascii="Times New Roman" w:eastAsia="黑体"/>
        </w:rPr>
        <w:t xml:space="preserve"> Dried leaves of </w:t>
      </w:r>
      <w:r>
        <w:rPr>
          <w:rFonts w:ascii="Times New Roman" w:eastAsia="黑体"/>
          <w:i/>
        </w:rPr>
        <w:t>Ginkgo biloba</w:t>
      </w:r>
      <w:r>
        <w:rPr>
          <w:rFonts w:ascii="Times New Roman" w:eastAsia="黑体"/>
        </w:rPr>
        <w:t xml:space="preserve"> L.</w:t>
      </w:r>
    </w:p>
    <w:p>
      <w:pPr>
        <w:pStyle w:val="56"/>
        <w:ind w:firstLine="420"/>
        <w:rPr>
          <w:rFonts w:ascii="Times New Roman"/>
        </w:rPr>
      </w:pPr>
      <w:r>
        <w:rPr>
          <w:rFonts w:ascii="Times New Roman"/>
        </w:rPr>
        <w:t>银杏鲜叶经</w:t>
      </w:r>
      <w:r>
        <w:rPr>
          <w:rFonts w:hint="eastAsia" w:ascii="Times New Roman"/>
        </w:rPr>
        <w:t>除杂质</w:t>
      </w:r>
      <w:r>
        <w:rPr>
          <w:rFonts w:ascii="Times New Roman"/>
        </w:rPr>
        <w:t>和干燥后制得。</w:t>
      </w:r>
    </w:p>
    <w:p>
      <w:pPr>
        <w:pStyle w:val="104"/>
        <w:spacing w:before="240" w:after="240"/>
        <w:rPr>
          <w:rFonts w:ascii="Times New Roman"/>
        </w:rPr>
      </w:pPr>
      <w:r>
        <w:rPr>
          <w:rFonts w:ascii="Times New Roman"/>
        </w:rPr>
        <w:t>质量要求</w:t>
      </w:r>
    </w:p>
    <w:p>
      <w:pPr>
        <w:pStyle w:val="105"/>
        <w:spacing w:before="120" w:after="120"/>
        <w:rPr>
          <w:rFonts w:ascii="Times New Roman"/>
        </w:rPr>
      </w:pPr>
      <w:r>
        <w:rPr>
          <w:rFonts w:ascii="Times New Roman"/>
        </w:rPr>
        <w:t>基本要求</w:t>
      </w:r>
    </w:p>
    <w:p>
      <w:pPr>
        <w:pStyle w:val="165"/>
        <w:rPr>
          <w:rFonts w:ascii="Times New Roman"/>
        </w:rPr>
      </w:pPr>
      <w:r>
        <w:rPr>
          <w:rFonts w:hint="eastAsia" w:ascii="Times New Roman"/>
        </w:rPr>
        <w:t>鲜叶</w:t>
      </w:r>
      <w:r>
        <w:rPr>
          <w:rFonts w:ascii="Times New Roman"/>
        </w:rPr>
        <w:t>应具有正常银杏</w:t>
      </w:r>
      <w:r>
        <w:rPr>
          <w:rFonts w:hint="eastAsia" w:ascii="Times New Roman"/>
        </w:rPr>
        <w:t>叶</w:t>
      </w:r>
      <w:r>
        <w:rPr>
          <w:rFonts w:ascii="Times New Roman"/>
        </w:rPr>
        <w:t>的</w:t>
      </w:r>
      <w:r>
        <w:rPr>
          <w:rFonts w:hint="eastAsia" w:ascii="Times New Roman"/>
        </w:rPr>
        <w:t>外观、颜色和气味，无病虫害，无石头、树枝、钢丝等异物。</w:t>
      </w:r>
    </w:p>
    <w:p>
      <w:pPr>
        <w:pStyle w:val="165"/>
        <w:rPr>
          <w:rFonts w:ascii="Times New Roman"/>
        </w:rPr>
      </w:pPr>
      <w:r>
        <w:rPr>
          <w:rFonts w:hint="eastAsia" w:ascii="Times New Roman"/>
        </w:rPr>
        <w:t>干叶</w:t>
      </w:r>
      <w:r>
        <w:rPr>
          <w:rFonts w:ascii="Times New Roman"/>
        </w:rPr>
        <w:t>应具有正常银杏</w:t>
      </w:r>
      <w:r>
        <w:rPr>
          <w:rFonts w:hint="eastAsia" w:ascii="Times New Roman"/>
        </w:rPr>
        <w:t>叶</w:t>
      </w:r>
      <w:r>
        <w:rPr>
          <w:rFonts w:ascii="Times New Roman"/>
        </w:rPr>
        <w:t>的</w:t>
      </w:r>
      <w:r>
        <w:rPr>
          <w:rFonts w:hint="eastAsia" w:ascii="Times New Roman"/>
        </w:rPr>
        <w:t>外观、颜色和气味，</w:t>
      </w:r>
      <w:r>
        <w:rPr>
          <w:rFonts w:ascii="Times New Roman"/>
        </w:rPr>
        <w:t>无霉变</w:t>
      </w:r>
      <w:r>
        <w:rPr>
          <w:rFonts w:hint="eastAsia" w:ascii="Times New Roman"/>
        </w:rPr>
        <w:t>、无病虫害，无石头、树枝、钢丝等异物</w:t>
      </w:r>
      <w:r>
        <w:rPr>
          <w:rFonts w:ascii="Times New Roman"/>
        </w:rPr>
        <w:t>。</w:t>
      </w:r>
    </w:p>
    <w:p>
      <w:pPr>
        <w:pStyle w:val="105"/>
        <w:spacing w:before="120" w:after="120"/>
        <w:rPr>
          <w:rFonts w:ascii="Times New Roman"/>
        </w:rPr>
      </w:pPr>
      <w:r>
        <w:rPr>
          <w:rFonts w:ascii="Times New Roman"/>
        </w:rPr>
        <w:t>分级要求</w:t>
      </w:r>
    </w:p>
    <w:p>
      <w:pPr>
        <w:pStyle w:val="56"/>
        <w:ind w:firstLine="420"/>
        <w:rPr>
          <w:rFonts w:ascii="Times New Roman"/>
        </w:rPr>
      </w:pPr>
      <w:r>
        <w:rPr>
          <w:rFonts w:ascii="Times New Roman"/>
        </w:rPr>
        <w:t>本文件将符合4.1基本要求的银杏鲜叶</w:t>
      </w:r>
      <w:r>
        <w:rPr>
          <w:rFonts w:hint="eastAsia" w:ascii="Times New Roman"/>
        </w:rPr>
        <w:t>及干叶</w:t>
      </w:r>
      <w:r>
        <w:rPr>
          <w:rFonts w:ascii="Times New Roman"/>
        </w:rPr>
        <w:t>分为特级、一级、二级共三个等级，见表1。</w:t>
      </w:r>
    </w:p>
    <w:p>
      <w:pPr>
        <w:widowControl/>
        <w:adjustRightInd/>
        <w:spacing w:line="240" w:lineRule="auto"/>
        <w:jc w:val="left"/>
        <w:rPr>
          <w:rFonts w:ascii="Times New Roman" w:hAnsi="Times New Roman" w:eastAsia="黑体"/>
          <w:kern w:val="0"/>
          <w:szCs w:val="20"/>
        </w:rPr>
      </w:pPr>
      <w:r>
        <w:rPr>
          <w:rFonts w:ascii="Times New Roman"/>
        </w:rPr>
        <w:br w:type="page"/>
      </w:r>
    </w:p>
    <w:p>
      <w:pPr>
        <w:pStyle w:val="112"/>
        <w:spacing w:before="120" w:after="120"/>
        <w:rPr>
          <w:rFonts w:ascii="Times New Roman"/>
        </w:rPr>
      </w:pPr>
      <w:r>
        <w:rPr>
          <w:rFonts w:ascii="Times New Roman"/>
        </w:rPr>
        <w:t>银杏鲜叶</w:t>
      </w:r>
      <w:r>
        <w:rPr>
          <w:rFonts w:hint="eastAsia" w:ascii="Times New Roman"/>
        </w:rPr>
        <w:t>、干叶</w:t>
      </w:r>
      <w:r>
        <w:rPr>
          <w:rFonts w:ascii="Times New Roman"/>
        </w:rPr>
        <w:t>感官分级要求</w:t>
      </w:r>
    </w:p>
    <w:tbl>
      <w:tblPr>
        <w:tblStyle w:val="27"/>
        <w:tblW w:w="499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661"/>
        <w:gridCol w:w="1948"/>
        <w:gridCol w:w="2589"/>
        <w:gridCol w:w="2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194" w:type="pct"/>
            <w:gridSpan w:val="2"/>
            <w:vMerge w:val="restart"/>
            <w:shd w:val="clear" w:color="auto" w:fill="auto"/>
            <w:vAlign w:val="center"/>
          </w:tcPr>
          <w:p>
            <w:pPr>
              <w:pStyle w:val="178"/>
              <w:rPr>
                <w:rFonts w:ascii="黑体" w:hAnsi="黑体" w:eastAsia="黑体" w:cs="黑体"/>
              </w:rPr>
            </w:pPr>
            <w:r>
              <w:rPr>
                <w:rFonts w:hint="eastAsia" w:ascii="黑体" w:hAnsi="黑体" w:eastAsia="黑体" w:cs="黑体"/>
              </w:rPr>
              <w:t>项目名称</w:t>
            </w:r>
          </w:p>
        </w:tc>
        <w:tc>
          <w:tcPr>
            <w:tcW w:w="3805" w:type="pct"/>
            <w:gridSpan w:val="3"/>
            <w:shd w:val="clear" w:color="auto" w:fill="auto"/>
          </w:tcPr>
          <w:p>
            <w:pPr>
              <w:pStyle w:val="178"/>
              <w:rPr>
                <w:rFonts w:ascii="黑体" w:hAnsi="黑体" w:eastAsia="黑体" w:cs="黑体"/>
              </w:rPr>
            </w:pPr>
            <w:r>
              <w:rPr>
                <w:rFonts w:hint="eastAsia" w:ascii="黑体" w:hAnsi="黑体" w:eastAsia="黑体" w:cs="黑体"/>
              </w:rPr>
              <w:t>分级要求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194" w:type="pct"/>
            <w:gridSpan w:val="2"/>
            <w:vMerge w:val="continue"/>
            <w:shd w:val="clear" w:color="auto" w:fill="auto"/>
          </w:tcPr>
          <w:p>
            <w:pPr>
              <w:pStyle w:val="178"/>
              <w:rPr>
                <w:rFonts w:ascii="黑体" w:hAnsi="黑体" w:eastAsia="黑体" w:cs="黑体"/>
              </w:rPr>
            </w:pPr>
          </w:p>
        </w:tc>
        <w:tc>
          <w:tcPr>
            <w:tcW w:w="1019" w:type="pct"/>
            <w:shd w:val="clear" w:color="auto" w:fill="auto"/>
          </w:tcPr>
          <w:p>
            <w:pPr>
              <w:pStyle w:val="178"/>
              <w:rPr>
                <w:rFonts w:ascii="黑体" w:hAnsi="黑体" w:eastAsia="黑体" w:cs="黑体"/>
              </w:rPr>
            </w:pPr>
            <w:r>
              <w:rPr>
                <w:rFonts w:hint="eastAsia" w:ascii="黑体" w:hAnsi="黑体" w:eastAsia="黑体" w:cs="黑体"/>
              </w:rPr>
              <w:t>特级</w:t>
            </w:r>
          </w:p>
        </w:tc>
        <w:tc>
          <w:tcPr>
            <w:tcW w:w="1354" w:type="pct"/>
            <w:shd w:val="clear" w:color="auto" w:fill="auto"/>
          </w:tcPr>
          <w:p>
            <w:pPr>
              <w:pStyle w:val="178"/>
              <w:rPr>
                <w:rFonts w:ascii="黑体" w:hAnsi="黑体" w:eastAsia="黑体" w:cs="黑体"/>
              </w:rPr>
            </w:pPr>
            <w:r>
              <w:rPr>
                <w:rFonts w:hint="eastAsia" w:ascii="黑体" w:hAnsi="黑体" w:eastAsia="黑体" w:cs="黑体"/>
              </w:rPr>
              <w:t>一级</w:t>
            </w:r>
          </w:p>
        </w:tc>
        <w:tc>
          <w:tcPr>
            <w:tcW w:w="1431" w:type="pct"/>
            <w:shd w:val="clear" w:color="auto" w:fill="auto"/>
          </w:tcPr>
          <w:p>
            <w:pPr>
              <w:pStyle w:val="178"/>
              <w:rPr>
                <w:rFonts w:ascii="黑体" w:hAnsi="黑体" w:eastAsia="黑体" w:cs="黑体"/>
              </w:rPr>
            </w:pPr>
            <w:r>
              <w:rPr>
                <w:rFonts w:hint="eastAsia" w:ascii="黑体" w:hAnsi="黑体" w:eastAsia="黑体" w:cs="黑体"/>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5" w:type="pct"/>
            <w:vMerge w:val="restart"/>
            <w:shd w:val="clear" w:color="auto" w:fill="auto"/>
            <w:vAlign w:val="center"/>
          </w:tcPr>
          <w:p>
            <w:pPr>
              <w:pStyle w:val="178"/>
              <w:rPr>
                <w:rFonts w:ascii="Times New Roman"/>
              </w:rPr>
            </w:pPr>
            <w:r>
              <w:rPr>
                <w:rFonts w:hint="eastAsia" w:ascii="Times New Roman"/>
              </w:rPr>
              <w:t>鲜叶</w:t>
            </w:r>
          </w:p>
        </w:tc>
        <w:tc>
          <w:tcPr>
            <w:tcW w:w="868" w:type="pct"/>
            <w:shd w:val="clear" w:color="auto" w:fill="auto"/>
            <w:vAlign w:val="center"/>
          </w:tcPr>
          <w:p>
            <w:pPr>
              <w:pStyle w:val="178"/>
              <w:rPr>
                <w:rFonts w:ascii="Times New Roman"/>
              </w:rPr>
            </w:pPr>
            <w:r>
              <w:rPr>
                <w:rFonts w:ascii="Times New Roman"/>
              </w:rPr>
              <w:t>色泽</w:t>
            </w:r>
          </w:p>
        </w:tc>
        <w:tc>
          <w:tcPr>
            <w:tcW w:w="3805" w:type="pct"/>
            <w:gridSpan w:val="3"/>
            <w:shd w:val="clear" w:color="auto" w:fill="auto"/>
          </w:tcPr>
          <w:p>
            <w:pPr>
              <w:pStyle w:val="178"/>
              <w:rPr>
                <w:rFonts w:ascii="Times New Roman"/>
              </w:rPr>
            </w:pPr>
            <w:r>
              <w:rPr>
                <w:rFonts w:ascii="Times New Roman"/>
              </w:rPr>
              <w:t>翠绿</w:t>
            </w:r>
            <w:r>
              <w:rPr>
                <w:rFonts w:hint="eastAsia" w:ascii="Times New Roman"/>
              </w:rPr>
              <w:t>或</w:t>
            </w:r>
            <w:r>
              <w:rPr>
                <w:rFonts w:ascii="Times New Roman"/>
              </w:rPr>
              <w:t>墨绿</w:t>
            </w:r>
            <w:r>
              <w:rPr>
                <w:rFonts w:hint="eastAsia" w:ascii="Times New Roman"/>
              </w:rPr>
              <w:t>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5" w:type="pct"/>
            <w:vMerge w:val="continue"/>
            <w:shd w:val="clear" w:color="auto" w:fill="auto"/>
            <w:vAlign w:val="center"/>
          </w:tcPr>
          <w:p>
            <w:pPr>
              <w:pStyle w:val="178"/>
              <w:rPr>
                <w:rFonts w:ascii="Times New Roman"/>
              </w:rPr>
            </w:pPr>
          </w:p>
        </w:tc>
        <w:tc>
          <w:tcPr>
            <w:tcW w:w="868" w:type="pct"/>
            <w:shd w:val="clear" w:color="auto" w:fill="auto"/>
            <w:vAlign w:val="center"/>
          </w:tcPr>
          <w:p>
            <w:pPr>
              <w:pStyle w:val="178"/>
              <w:rPr>
                <w:rFonts w:ascii="Times New Roman"/>
              </w:rPr>
            </w:pPr>
            <w:r>
              <w:rPr>
                <w:rFonts w:hint="eastAsia" w:ascii="Times New Roman"/>
              </w:rPr>
              <w:t>气味</w:t>
            </w:r>
          </w:p>
        </w:tc>
        <w:tc>
          <w:tcPr>
            <w:tcW w:w="3805" w:type="pct"/>
            <w:gridSpan w:val="3"/>
            <w:shd w:val="clear" w:color="auto" w:fill="auto"/>
            <w:vAlign w:val="center"/>
          </w:tcPr>
          <w:p>
            <w:pPr>
              <w:pStyle w:val="178"/>
              <w:rPr>
                <w:rFonts w:ascii="Times New Roman"/>
              </w:rPr>
            </w:pPr>
            <w:r>
              <w:rPr>
                <w:rFonts w:ascii="Times New Roman"/>
              </w:rPr>
              <w:t>具有本品特有气味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shd w:val="clear" w:color="auto" w:fill="auto"/>
            <w:vAlign w:val="center"/>
          </w:tcPr>
          <w:p>
            <w:pPr>
              <w:pStyle w:val="178"/>
              <w:rPr>
                <w:rFonts w:ascii="Times New Roman"/>
              </w:rPr>
            </w:pPr>
          </w:p>
        </w:tc>
        <w:tc>
          <w:tcPr>
            <w:tcW w:w="868" w:type="pct"/>
            <w:shd w:val="clear" w:color="auto" w:fill="auto"/>
            <w:vAlign w:val="center"/>
          </w:tcPr>
          <w:p>
            <w:pPr>
              <w:pStyle w:val="178"/>
              <w:rPr>
                <w:rFonts w:ascii="Times New Roman"/>
              </w:rPr>
            </w:pPr>
            <w:r>
              <w:rPr>
                <w:rFonts w:ascii="Times New Roman"/>
              </w:rPr>
              <w:t>完整度</w:t>
            </w:r>
          </w:p>
        </w:tc>
        <w:tc>
          <w:tcPr>
            <w:tcW w:w="3805" w:type="pct"/>
            <w:gridSpan w:val="3"/>
            <w:shd w:val="clear" w:color="auto" w:fill="auto"/>
          </w:tcPr>
          <w:p>
            <w:pPr>
              <w:pStyle w:val="178"/>
              <w:rPr>
                <w:rFonts w:ascii="Times New Roman"/>
              </w:rPr>
            </w:pPr>
            <w:r>
              <w:rPr>
                <w:rFonts w:ascii="Times New Roman"/>
              </w:rPr>
              <w:t>完整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5" w:type="pct"/>
            <w:vMerge w:val="continue"/>
            <w:shd w:val="clear" w:color="auto" w:fill="auto"/>
            <w:vAlign w:val="center"/>
          </w:tcPr>
          <w:p>
            <w:pPr>
              <w:pStyle w:val="178"/>
              <w:rPr>
                <w:rFonts w:ascii="Times New Roman"/>
              </w:rPr>
            </w:pPr>
          </w:p>
        </w:tc>
        <w:tc>
          <w:tcPr>
            <w:tcW w:w="868" w:type="pct"/>
            <w:shd w:val="clear" w:color="auto" w:fill="auto"/>
            <w:vAlign w:val="center"/>
          </w:tcPr>
          <w:p>
            <w:pPr>
              <w:pStyle w:val="178"/>
              <w:rPr>
                <w:rFonts w:ascii="Times New Roman"/>
              </w:rPr>
            </w:pPr>
            <w:r>
              <w:rPr>
                <w:rFonts w:hint="eastAsia" w:ascii="Times New Roman"/>
              </w:rPr>
              <w:t>物理杂质</w:t>
            </w:r>
            <w:r>
              <w:rPr>
                <w:rFonts w:hint="eastAsia" w:ascii="Times New Roman"/>
                <w:vertAlign w:val="superscript"/>
              </w:rPr>
              <w:t>a</w:t>
            </w:r>
          </w:p>
        </w:tc>
        <w:tc>
          <w:tcPr>
            <w:tcW w:w="1019" w:type="pct"/>
            <w:shd w:val="clear" w:color="auto" w:fill="auto"/>
          </w:tcPr>
          <w:p>
            <w:pPr>
              <w:pStyle w:val="178"/>
              <w:rPr>
                <w:rFonts w:ascii="Times New Roman"/>
              </w:rPr>
            </w:pPr>
            <w:r>
              <w:rPr>
                <w:rFonts w:hint="eastAsia" w:ascii="Times New Roman"/>
              </w:rPr>
              <w:t>无肉眼可见杂质</w:t>
            </w:r>
          </w:p>
        </w:tc>
        <w:tc>
          <w:tcPr>
            <w:tcW w:w="2785" w:type="pct"/>
            <w:gridSpan w:val="2"/>
            <w:shd w:val="clear" w:color="auto" w:fill="auto"/>
          </w:tcPr>
          <w:p>
            <w:pPr>
              <w:pStyle w:val="178"/>
              <w:rPr>
                <w:rFonts w:ascii="Times New Roman"/>
              </w:rPr>
            </w:pPr>
            <w:r>
              <w:rPr>
                <w:rFonts w:ascii="Times New Roman"/>
              </w:rPr>
              <w:t>有少量肉眼可见杂质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25" w:type="pct"/>
            <w:vMerge w:val="continue"/>
            <w:shd w:val="clear" w:color="auto" w:fill="auto"/>
            <w:vAlign w:val="center"/>
          </w:tcPr>
          <w:p>
            <w:pPr>
              <w:pStyle w:val="178"/>
              <w:rPr>
                <w:rFonts w:ascii="Times New Roman"/>
              </w:rPr>
            </w:pPr>
          </w:p>
        </w:tc>
        <w:tc>
          <w:tcPr>
            <w:tcW w:w="868" w:type="pct"/>
            <w:shd w:val="clear" w:color="auto" w:fill="auto"/>
            <w:vAlign w:val="center"/>
          </w:tcPr>
          <w:p>
            <w:pPr>
              <w:pStyle w:val="178"/>
              <w:rPr>
                <w:rFonts w:ascii="Times New Roman"/>
              </w:rPr>
            </w:pPr>
            <w:r>
              <w:rPr>
                <w:rFonts w:ascii="Times New Roman"/>
              </w:rPr>
              <w:t>病斑</w:t>
            </w:r>
            <w:r>
              <w:rPr>
                <w:rFonts w:hint="eastAsia" w:ascii="Times New Roman"/>
              </w:rPr>
              <w:t>、</w:t>
            </w:r>
            <w:r>
              <w:rPr>
                <w:rFonts w:ascii="Times New Roman"/>
              </w:rPr>
              <w:t>虫眼</w:t>
            </w:r>
          </w:p>
        </w:tc>
        <w:tc>
          <w:tcPr>
            <w:tcW w:w="1019" w:type="pct"/>
            <w:shd w:val="clear" w:color="auto" w:fill="auto"/>
          </w:tcPr>
          <w:p>
            <w:pPr>
              <w:pStyle w:val="178"/>
              <w:rPr>
                <w:rFonts w:ascii="Times New Roman"/>
              </w:rPr>
            </w:pPr>
            <w:r>
              <w:rPr>
                <w:rFonts w:ascii="Times New Roman"/>
              </w:rPr>
              <w:t>无病斑</w:t>
            </w:r>
            <w:r>
              <w:rPr>
                <w:rFonts w:hint="eastAsia" w:ascii="Times New Roman"/>
              </w:rPr>
              <w:t>、</w:t>
            </w:r>
            <w:r>
              <w:rPr>
                <w:rFonts w:ascii="Times New Roman"/>
              </w:rPr>
              <w:t>虫眼</w:t>
            </w:r>
          </w:p>
        </w:tc>
        <w:tc>
          <w:tcPr>
            <w:tcW w:w="1354" w:type="pct"/>
            <w:shd w:val="clear" w:color="auto" w:fill="auto"/>
          </w:tcPr>
          <w:p>
            <w:pPr>
              <w:pStyle w:val="178"/>
              <w:rPr>
                <w:rFonts w:ascii="Times New Roman"/>
              </w:rPr>
            </w:pPr>
            <w:r>
              <w:rPr>
                <w:rFonts w:hint="eastAsia" w:ascii="Times New Roman"/>
              </w:rPr>
              <w:t>3%病斑虫眼</w:t>
            </w:r>
          </w:p>
        </w:tc>
        <w:tc>
          <w:tcPr>
            <w:tcW w:w="1431" w:type="pct"/>
            <w:shd w:val="clear" w:color="auto" w:fill="auto"/>
          </w:tcPr>
          <w:p>
            <w:pPr>
              <w:pStyle w:val="178"/>
              <w:rPr>
                <w:rFonts w:ascii="Times New Roman"/>
              </w:rPr>
            </w:pPr>
            <w:r>
              <w:rPr>
                <w:rFonts w:hint="eastAsia" w:ascii="Times New Roman"/>
              </w:rPr>
              <w:t>5%病斑虫眼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25" w:type="pct"/>
            <w:vMerge w:val="restart"/>
            <w:shd w:val="clear" w:color="auto" w:fill="auto"/>
            <w:vAlign w:val="center"/>
          </w:tcPr>
          <w:p>
            <w:pPr>
              <w:pStyle w:val="178"/>
              <w:rPr>
                <w:rFonts w:ascii="Times New Roman"/>
              </w:rPr>
            </w:pPr>
            <w:r>
              <w:rPr>
                <w:rFonts w:hint="eastAsia" w:ascii="Times New Roman"/>
              </w:rPr>
              <w:t>干叶</w:t>
            </w:r>
          </w:p>
        </w:tc>
        <w:tc>
          <w:tcPr>
            <w:tcW w:w="868" w:type="pct"/>
            <w:shd w:val="clear" w:color="auto" w:fill="auto"/>
            <w:vAlign w:val="center"/>
          </w:tcPr>
          <w:p>
            <w:pPr>
              <w:pStyle w:val="178"/>
              <w:rPr>
                <w:rFonts w:ascii="Times New Roman"/>
              </w:rPr>
            </w:pPr>
            <w:r>
              <w:rPr>
                <w:rFonts w:ascii="Times New Roman"/>
              </w:rPr>
              <w:t>色泽</w:t>
            </w:r>
          </w:p>
        </w:tc>
        <w:tc>
          <w:tcPr>
            <w:tcW w:w="3805" w:type="pct"/>
            <w:gridSpan w:val="3"/>
            <w:shd w:val="clear" w:color="auto" w:fill="auto"/>
            <w:vAlign w:val="center"/>
          </w:tcPr>
          <w:p>
            <w:pPr>
              <w:pStyle w:val="178"/>
              <w:rPr>
                <w:rFonts w:hint="eastAsia" w:ascii="Times New Roman" w:eastAsia="宋体"/>
                <w:lang w:val="en-US" w:eastAsia="zh-CN"/>
              </w:rPr>
            </w:pPr>
            <w:r>
              <w:rPr>
                <w:rFonts w:hint="eastAsia" w:ascii="Times New Roman"/>
              </w:rPr>
              <w:t>鲜绿或</w:t>
            </w:r>
            <w:r>
              <w:rPr>
                <w:rFonts w:ascii="Times New Roman"/>
              </w:rPr>
              <w:t>草绿色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5" w:type="pct"/>
            <w:vMerge w:val="continue"/>
            <w:shd w:val="clear" w:color="auto" w:fill="auto"/>
            <w:vAlign w:val="center"/>
          </w:tcPr>
          <w:p>
            <w:pPr>
              <w:pStyle w:val="178"/>
              <w:rPr>
                <w:rFonts w:ascii="Times New Roman"/>
              </w:rPr>
            </w:pPr>
          </w:p>
        </w:tc>
        <w:tc>
          <w:tcPr>
            <w:tcW w:w="868" w:type="pct"/>
            <w:shd w:val="clear" w:color="auto" w:fill="auto"/>
            <w:vAlign w:val="center"/>
          </w:tcPr>
          <w:p>
            <w:pPr>
              <w:pStyle w:val="178"/>
              <w:rPr>
                <w:rFonts w:ascii="Times New Roman"/>
              </w:rPr>
            </w:pPr>
            <w:r>
              <w:rPr>
                <w:rFonts w:ascii="Times New Roman"/>
              </w:rPr>
              <w:t>气味</w:t>
            </w:r>
          </w:p>
        </w:tc>
        <w:tc>
          <w:tcPr>
            <w:tcW w:w="3805" w:type="pct"/>
            <w:gridSpan w:val="3"/>
            <w:shd w:val="clear" w:color="auto" w:fill="auto"/>
            <w:vAlign w:val="center"/>
          </w:tcPr>
          <w:p>
            <w:pPr>
              <w:pStyle w:val="178"/>
              <w:rPr>
                <w:rFonts w:ascii="Times New Roman"/>
              </w:rPr>
            </w:pPr>
            <w:r>
              <w:rPr>
                <w:rFonts w:ascii="Times New Roman"/>
              </w:rPr>
              <w:t>具有本品特有气味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5" w:type="pct"/>
            <w:vMerge w:val="continue"/>
            <w:shd w:val="clear" w:color="auto" w:fill="auto"/>
            <w:vAlign w:val="center"/>
          </w:tcPr>
          <w:p>
            <w:pPr>
              <w:pStyle w:val="178"/>
              <w:rPr>
                <w:rFonts w:ascii="Times New Roman"/>
              </w:rPr>
            </w:pPr>
          </w:p>
        </w:tc>
        <w:tc>
          <w:tcPr>
            <w:tcW w:w="868" w:type="pct"/>
            <w:shd w:val="clear" w:color="auto" w:fill="auto"/>
            <w:vAlign w:val="center"/>
          </w:tcPr>
          <w:p>
            <w:pPr>
              <w:pStyle w:val="178"/>
              <w:rPr>
                <w:rFonts w:ascii="Times New Roman"/>
              </w:rPr>
            </w:pPr>
            <w:r>
              <w:rPr>
                <w:rFonts w:ascii="Times New Roman"/>
              </w:rPr>
              <w:t>完整度</w:t>
            </w:r>
          </w:p>
        </w:tc>
        <w:tc>
          <w:tcPr>
            <w:tcW w:w="3805" w:type="pct"/>
            <w:gridSpan w:val="3"/>
            <w:shd w:val="clear" w:color="auto" w:fill="auto"/>
          </w:tcPr>
          <w:p>
            <w:pPr>
              <w:pStyle w:val="178"/>
              <w:rPr>
                <w:rFonts w:ascii="Times New Roman"/>
              </w:rPr>
            </w:pPr>
            <w:r>
              <w:rPr>
                <w:rFonts w:ascii="Times New Roman"/>
              </w:rPr>
              <w:t>多数叶片尚完整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5" w:type="pct"/>
            <w:vMerge w:val="continue"/>
            <w:shd w:val="clear" w:color="auto" w:fill="auto"/>
            <w:vAlign w:val="center"/>
          </w:tcPr>
          <w:p>
            <w:pPr>
              <w:pStyle w:val="178"/>
              <w:rPr>
                <w:rFonts w:ascii="Times New Roman"/>
              </w:rPr>
            </w:pPr>
          </w:p>
        </w:tc>
        <w:tc>
          <w:tcPr>
            <w:tcW w:w="868" w:type="pct"/>
            <w:shd w:val="clear" w:color="auto" w:fill="auto"/>
            <w:vAlign w:val="center"/>
          </w:tcPr>
          <w:p>
            <w:pPr>
              <w:pStyle w:val="178"/>
              <w:rPr>
                <w:rFonts w:ascii="Times New Roman"/>
              </w:rPr>
            </w:pPr>
            <w:r>
              <w:rPr>
                <w:rFonts w:ascii="Times New Roman"/>
              </w:rPr>
              <w:t>杂质</w:t>
            </w:r>
            <w:r>
              <w:rPr>
                <w:rFonts w:hint="eastAsia" w:ascii="Times New Roman"/>
              </w:rPr>
              <w:t>（物理杂质）</w:t>
            </w:r>
            <w:r>
              <w:rPr>
                <w:rFonts w:hint="eastAsia" w:ascii="Times New Roman"/>
                <w:vertAlign w:val="superscript"/>
              </w:rPr>
              <w:t>a</w:t>
            </w:r>
          </w:p>
        </w:tc>
        <w:tc>
          <w:tcPr>
            <w:tcW w:w="1019" w:type="pct"/>
            <w:shd w:val="clear" w:color="auto" w:fill="auto"/>
            <w:vAlign w:val="center"/>
          </w:tcPr>
          <w:p>
            <w:pPr>
              <w:pStyle w:val="178"/>
              <w:rPr>
                <w:rFonts w:ascii="Times New Roman"/>
              </w:rPr>
            </w:pPr>
            <w:r>
              <w:rPr>
                <w:rFonts w:ascii="Times New Roman"/>
              </w:rPr>
              <w:t>无肉眼可见杂质</w:t>
            </w:r>
          </w:p>
        </w:tc>
        <w:tc>
          <w:tcPr>
            <w:tcW w:w="2785" w:type="pct"/>
            <w:gridSpan w:val="2"/>
            <w:shd w:val="clear" w:color="auto" w:fill="auto"/>
            <w:vAlign w:val="center"/>
          </w:tcPr>
          <w:p>
            <w:pPr>
              <w:pStyle w:val="178"/>
              <w:rPr>
                <w:rFonts w:ascii="Times New Roman"/>
              </w:rPr>
            </w:pPr>
            <w:r>
              <w:rPr>
                <w:rFonts w:ascii="Times New Roman"/>
              </w:rPr>
              <w:t>有少量肉眼可见杂质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5" w:type="pct"/>
            <w:vMerge w:val="continue"/>
            <w:shd w:val="clear" w:color="auto" w:fill="auto"/>
            <w:vAlign w:val="center"/>
          </w:tcPr>
          <w:p>
            <w:pPr>
              <w:pStyle w:val="178"/>
              <w:rPr>
                <w:rFonts w:ascii="Times New Roman"/>
              </w:rPr>
            </w:pPr>
          </w:p>
        </w:tc>
        <w:tc>
          <w:tcPr>
            <w:tcW w:w="868" w:type="pct"/>
            <w:shd w:val="clear" w:color="auto" w:fill="auto"/>
            <w:vAlign w:val="center"/>
          </w:tcPr>
          <w:p>
            <w:pPr>
              <w:pStyle w:val="178"/>
              <w:rPr>
                <w:rFonts w:ascii="Times New Roman"/>
              </w:rPr>
            </w:pPr>
            <w:r>
              <w:rPr>
                <w:rFonts w:hint="eastAsia" w:ascii="Times New Roman"/>
              </w:rPr>
              <w:t>病斑</w:t>
            </w:r>
            <w:r>
              <w:rPr>
                <w:rFonts w:ascii="Times New Roman"/>
              </w:rPr>
              <w:t>虫眼</w:t>
            </w:r>
          </w:p>
        </w:tc>
        <w:tc>
          <w:tcPr>
            <w:tcW w:w="1019" w:type="pct"/>
            <w:shd w:val="clear" w:color="auto" w:fill="auto"/>
          </w:tcPr>
          <w:p>
            <w:pPr>
              <w:pStyle w:val="178"/>
              <w:rPr>
                <w:rFonts w:ascii="Times New Roman"/>
              </w:rPr>
            </w:pPr>
            <w:r>
              <w:rPr>
                <w:rFonts w:ascii="Times New Roman"/>
              </w:rPr>
              <w:t>无病斑</w:t>
            </w:r>
            <w:r>
              <w:rPr>
                <w:rFonts w:hint="eastAsia" w:ascii="Times New Roman"/>
              </w:rPr>
              <w:t>、</w:t>
            </w:r>
            <w:r>
              <w:rPr>
                <w:rFonts w:ascii="Times New Roman"/>
              </w:rPr>
              <w:t>虫眼</w:t>
            </w:r>
          </w:p>
        </w:tc>
        <w:tc>
          <w:tcPr>
            <w:tcW w:w="1354" w:type="pct"/>
            <w:shd w:val="clear" w:color="auto" w:fill="auto"/>
          </w:tcPr>
          <w:p>
            <w:pPr>
              <w:pStyle w:val="178"/>
              <w:rPr>
                <w:rFonts w:ascii="Times New Roman"/>
              </w:rPr>
            </w:pPr>
            <w:r>
              <w:rPr>
                <w:rFonts w:hint="eastAsia" w:ascii="Times New Roman"/>
              </w:rPr>
              <w:t>3%病斑虫眼</w:t>
            </w:r>
          </w:p>
        </w:tc>
        <w:tc>
          <w:tcPr>
            <w:tcW w:w="1431" w:type="pct"/>
            <w:shd w:val="clear" w:color="auto" w:fill="auto"/>
          </w:tcPr>
          <w:p>
            <w:pPr>
              <w:pStyle w:val="178"/>
              <w:rPr>
                <w:rFonts w:ascii="Times New Roman"/>
              </w:rPr>
            </w:pPr>
            <w:r>
              <w:rPr>
                <w:rFonts w:hint="eastAsia" w:ascii="Times New Roman"/>
              </w:rPr>
              <w:t>5%病斑虫眼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pStyle w:val="178"/>
              <w:jc w:val="both"/>
              <w:rPr>
                <w:rFonts w:ascii="Times New Roman"/>
              </w:rPr>
            </w:pPr>
            <w:r>
              <w:rPr>
                <w:rFonts w:hint="eastAsia" w:ascii="黑体" w:hAnsi="黑体" w:eastAsia="黑体" w:cs="黑体"/>
                <w:b w:val="0"/>
                <w:bCs w:val="0"/>
              </w:rPr>
              <w:t>注</w:t>
            </w:r>
            <w:r>
              <w:rPr>
                <w:rFonts w:hint="eastAsia" w:ascii="Times New Roman"/>
              </w:rPr>
              <w:t>：物理杂质指银杏树皮、树根、垂乳、叶柄等。</w:t>
            </w:r>
          </w:p>
        </w:tc>
      </w:tr>
    </w:tbl>
    <w:p>
      <w:pPr>
        <w:pStyle w:val="105"/>
        <w:numPr>
          <w:ilvl w:val="255"/>
          <w:numId w:val="0"/>
        </w:numPr>
        <w:spacing w:before="120" w:after="120"/>
        <w:rPr>
          <w:rFonts w:ascii="Times New Roman"/>
        </w:rPr>
      </w:pPr>
    </w:p>
    <w:p>
      <w:pPr>
        <w:pStyle w:val="105"/>
        <w:spacing w:before="120" w:after="120"/>
        <w:rPr>
          <w:rFonts w:ascii="Times New Roman"/>
        </w:rPr>
      </w:pPr>
      <w:r>
        <w:rPr>
          <w:rFonts w:ascii="Times New Roman"/>
        </w:rPr>
        <w:t>理化指标</w:t>
      </w:r>
    </w:p>
    <w:p>
      <w:pPr>
        <w:pStyle w:val="56"/>
        <w:ind w:firstLine="420"/>
        <w:rPr>
          <w:rFonts w:ascii="Times New Roman"/>
        </w:rPr>
      </w:pPr>
      <w:r>
        <w:rPr>
          <w:rFonts w:ascii="Times New Roman"/>
        </w:rPr>
        <w:t>银杏叶产品</w:t>
      </w:r>
      <w:r>
        <w:rPr>
          <w:rFonts w:hint="eastAsia" w:ascii="Times New Roman"/>
        </w:rPr>
        <w:t>理化指标</w:t>
      </w:r>
      <w:r>
        <w:rPr>
          <w:rFonts w:ascii="Times New Roman"/>
        </w:rPr>
        <w:t>应符合表</w:t>
      </w:r>
      <w:r>
        <w:rPr>
          <w:rFonts w:hint="eastAsia" w:ascii="Times New Roman"/>
        </w:rPr>
        <w:t>2</w:t>
      </w:r>
      <w:r>
        <w:rPr>
          <w:rFonts w:ascii="Times New Roman"/>
        </w:rPr>
        <w:t>的规定。</w:t>
      </w:r>
    </w:p>
    <w:p>
      <w:pPr>
        <w:pStyle w:val="112"/>
        <w:spacing w:before="120" w:after="120"/>
        <w:rPr>
          <w:rFonts w:ascii="Times New Roman"/>
        </w:rPr>
      </w:pPr>
      <w:r>
        <w:rPr>
          <w:rFonts w:ascii="Times New Roman"/>
        </w:rPr>
        <w:t>理化指标</w:t>
      </w:r>
    </w:p>
    <w:tbl>
      <w:tblPr>
        <w:tblStyle w:val="27"/>
        <w:tblW w:w="507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3"/>
        <w:gridCol w:w="979"/>
        <w:gridCol w:w="1323"/>
        <w:gridCol w:w="1548"/>
        <w:gridCol w:w="1017"/>
        <w:gridCol w:w="1415"/>
        <w:gridCol w:w="1327"/>
        <w:gridCol w:w="13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0" w:hRule="atLeast"/>
          <w:tblHeader/>
          <w:jc w:val="center"/>
        </w:trPr>
        <w:tc>
          <w:tcPr>
            <w:tcW w:w="805" w:type="pct"/>
            <w:gridSpan w:val="2"/>
            <w:tcBorders>
              <w:top w:val="single" w:color="auto" w:sz="8" w:space="0"/>
              <w:bottom w:val="single" w:color="auto" w:sz="8" w:space="0"/>
            </w:tcBorders>
            <w:shd w:val="clear" w:color="auto" w:fill="auto"/>
            <w:vAlign w:val="center"/>
          </w:tcPr>
          <w:p>
            <w:pPr>
              <w:pStyle w:val="178"/>
              <w:rPr>
                <w:rFonts w:ascii="黑体" w:hAnsi="黑体" w:eastAsia="黑体" w:cs="黑体"/>
                <w:szCs w:val="18"/>
              </w:rPr>
            </w:pPr>
            <w:r>
              <w:rPr>
                <w:rFonts w:hint="eastAsia" w:ascii="黑体" w:hAnsi="黑体" w:eastAsia="黑体" w:cs="黑体"/>
                <w:szCs w:val="18"/>
              </w:rPr>
              <w:t>指标/级别</w:t>
            </w:r>
          </w:p>
        </w:tc>
        <w:tc>
          <w:tcPr>
            <w:tcW w:w="695" w:type="pct"/>
            <w:tcBorders>
              <w:top w:val="single" w:color="auto" w:sz="8" w:space="0"/>
              <w:bottom w:val="single" w:color="auto" w:sz="8" w:space="0"/>
            </w:tcBorders>
            <w:shd w:val="clear" w:color="auto" w:fill="auto"/>
            <w:vAlign w:val="center"/>
          </w:tcPr>
          <w:p>
            <w:pPr>
              <w:pStyle w:val="178"/>
              <w:rPr>
                <w:rFonts w:ascii="黑体" w:hAnsi="黑体" w:eastAsia="黑体" w:cs="黑体"/>
                <w:szCs w:val="18"/>
              </w:rPr>
            </w:pPr>
            <w:r>
              <w:rPr>
                <w:rFonts w:ascii="Times New Roman"/>
                <w:szCs w:val="18"/>
              </w:rPr>
              <w:t>水分</w:t>
            </w:r>
          </w:p>
        </w:tc>
        <w:tc>
          <w:tcPr>
            <w:tcW w:w="813" w:type="pct"/>
            <w:tcBorders>
              <w:top w:val="single" w:color="auto" w:sz="8" w:space="0"/>
              <w:bottom w:val="single" w:color="auto" w:sz="8" w:space="0"/>
            </w:tcBorders>
            <w:shd w:val="clear" w:color="auto" w:fill="auto"/>
            <w:vAlign w:val="center"/>
          </w:tcPr>
          <w:p>
            <w:pPr>
              <w:pStyle w:val="178"/>
              <w:rPr>
                <w:rFonts w:ascii="黑体" w:hAnsi="黑体" w:eastAsia="黑体" w:cs="黑体"/>
                <w:szCs w:val="18"/>
              </w:rPr>
            </w:pPr>
            <w:r>
              <w:rPr>
                <w:rFonts w:ascii="Times New Roman"/>
                <w:szCs w:val="18"/>
              </w:rPr>
              <w:t>灰分</w:t>
            </w:r>
          </w:p>
        </w:tc>
        <w:tc>
          <w:tcPr>
            <w:tcW w:w="534" w:type="pct"/>
            <w:tcBorders>
              <w:top w:val="single" w:color="auto" w:sz="8" w:space="0"/>
              <w:bottom w:val="single" w:color="auto" w:sz="8" w:space="0"/>
            </w:tcBorders>
            <w:shd w:val="clear" w:color="auto" w:fill="auto"/>
            <w:vAlign w:val="center"/>
          </w:tcPr>
          <w:p>
            <w:pPr>
              <w:pStyle w:val="178"/>
              <w:rPr>
                <w:rFonts w:ascii="黑体" w:hAnsi="黑体" w:eastAsia="黑体" w:cs="黑体"/>
                <w:szCs w:val="18"/>
              </w:rPr>
            </w:pPr>
            <w:r>
              <w:rPr>
                <w:rFonts w:ascii="Times New Roman"/>
                <w:szCs w:val="18"/>
              </w:rPr>
              <w:t>杂质</w:t>
            </w:r>
          </w:p>
        </w:tc>
        <w:tc>
          <w:tcPr>
            <w:tcW w:w="743" w:type="pct"/>
            <w:tcBorders>
              <w:top w:val="single" w:color="auto" w:sz="8" w:space="0"/>
              <w:bottom w:val="single" w:color="auto" w:sz="8" w:space="0"/>
            </w:tcBorders>
            <w:shd w:val="clear" w:color="auto" w:fill="auto"/>
            <w:vAlign w:val="center"/>
          </w:tcPr>
          <w:p>
            <w:pPr>
              <w:pStyle w:val="178"/>
              <w:rPr>
                <w:rFonts w:ascii="黑体" w:hAnsi="黑体" w:eastAsia="黑体" w:cs="黑体"/>
                <w:szCs w:val="18"/>
              </w:rPr>
            </w:pPr>
            <w:r>
              <w:rPr>
                <w:rFonts w:ascii="Times New Roman"/>
                <w:szCs w:val="18"/>
              </w:rPr>
              <w:t>醇浸出物</w:t>
            </w:r>
          </w:p>
        </w:tc>
        <w:tc>
          <w:tcPr>
            <w:tcW w:w="697" w:type="pct"/>
            <w:tcBorders>
              <w:top w:val="single" w:color="auto" w:sz="8" w:space="0"/>
              <w:bottom w:val="single" w:color="auto" w:sz="8" w:space="0"/>
            </w:tcBorders>
            <w:shd w:val="clear" w:color="auto" w:fill="auto"/>
            <w:vAlign w:val="center"/>
          </w:tcPr>
          <w:p>
            <w:pPr>
              <w:pStyle w:val="178"/>
              <w:rPr>
                <w:rFonts w:hint="eastAsia" w:ascii="黑体" w:hAnsi="黑体" w:eastAsia="宋体" w:cs="黑体"/>
                <w:szCs w:val="18"/>
                <w:lang w:val="en-US" w:eastAsia="zh-CN"/>
              </w:rPr>
            </w:pPr>
            <w:r>
              <w:rPr>
                <w:rFonts w:ascii="Times New Roman"/>
                <w:szCs w:val="18"/>
              </w:rPr>
              <w:t>总黄酮醇苷</w:t>
            </w:r>
            <w:r>
              <w:rPr>
                <w:rFonts w:hint="eastAsia" w:ascii="Times New Roman"/>
                <w:szCs w:val="18"/>
              </w:rPr>
              <w:t>（以干基计）</w:t>
            </w:r>
            <w:r>
              <w:rPr>
                <w:rFonts w:hint="eastAsia" w:ascii="Times New Roman"/>
                <w:szCs w:val="18"/>
                <w:lang w:val="en-US" w:eastAsia="zh-CN"/>
              </w:rPr>
              <w:t>%</w:t>
            </w:r>
          </w:p>
        </w:tc>
        <w:tc>
          <w:tcPr>
            <w:tcW w:w="710" w:type="pct"/>
            <w:tcBorders>
              <w:top w:val="single" w:color="auto" w:sz="8" w:space="0"/>
              <w:bottom w:val="single" w:color="auto" w:sz="8" w:space="0"/>
            </w:tcBorders>
            <w:shd w:val="clear" w:color="auto" w:fill="auto"/>
            <w:vAlign w:val="center"/>
          </w:tcPr>
          <w:p>
            <w:pPr>
              <w:pStyle w:val="178"/>
              <w:rPr>
                <w:rFonts w:hint="eastAsia" w:ascii="黑体" w:hAnsi="黑体" w:eastAsia="宋体" w:cs="黑体"/>
                <w:szCs w:val="18"/>
                <w:lang w:val="en-US" w:eastAsia="zh-CN"/>
              </w:rPr>
            </w:pPr>
            <w:r>
              <w:rPr>
                <w:rFonts w:ascii="Times New Roman"/>
                <w:szCs w:val="18"/>
              </w:rPr>
              <w:t>萜类内酯</w:t>
            </w:r>
            <w:r>
              <w:rPr>
                <w:rFonts w:hint="eastAsia" w:ascii="Times New Roman"/>
                <w:szCs w:val="18"/>
              </w:rPr>
              <w:t>（以干基计）</w:t>
            </w:r>
            <w:r>
              <w:rPr>
                <w:rFonts w:hint="eastAsia" w:ascii="Times New Roman"/>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05" w:type="pct"/>
            <w:gridSpan w:val="2"/>
            <w:tcBorders>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银杏鲜叶</w:t>
            </w:r>
          </w:p>
          <w:p>
            <w:pPr>
              <w:spacing w:line="240" w:lineRule="auto"/>
              <w:jc w:val="center"/>
              <w:rPr>
                <w:rFonts w:ascii="宋体" w:hAnsi="宋体" w:cs="宋体"/>
                <w:sz w:val="18"/>
                <w:szCs w:val="18"/>
              </w:rPr>
            </w:pPr>
            <w:r>
              <w:rPr>
                <w:rFonts w:hint="eastAsia" w:ascii="宋体" w:hAnsi="宋体" w:cs="宋体"/>
                <w:sz w:val="18"/>
                <w:szCs w:val="18"/>
              </w:rPr>
              <w:t>（未区分等级）</w:t>
            </w:r>
          </w:p>
        </w:tc>
        <w:tc>
          <w:tcPr>
            <w:tcW w:w="69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w:t>
            </w:r>
          </w:p>
        </w:tc>
        <w:tc>
          <w:tcPr>
            <w:tcW w:w="81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rPr>
                <w:rFonts w:hint="eastAsia"/>
              </w:rPr>
              <w:t>-</w:t>
            </w:r>
          </w:p>
        </w:tc>
        <w:tc>
          <w:tcPr>
            <w:tcW w:w="5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宋体" w:hAnsi="宋体" w:cs="宋体"/>
                <w:sz w:val="18"/>
                <w:szCs w:val="18"/>
              </w:rPr>
              <w:t>-</w:t>
            </w:r>
          </w:p>
        </w:tc>
        <w:tc>
          <w:tcPr>
            <w:tcW w:w="7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宋体" w:hAnsi="宋体"/>
                <w:sz w:val="18"/>
                <w:szCs w:val="18"/>
              </w:rPr>
              <w:t>-</w:t>
            </w:r>
          </w:p>
        </w:tc>
        <w:tc>
          <w:tcPr>
            <w:tcW w:w="69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宋体" w:hAnsi="宋体" w:cs="宋体"/>
                <w:sz w:val="18"/>
                <w:szCs w:val="18"/>
              </w:rPr>
              <w:t>≥</w:t>
            </w:r>
            <w:r>
              <w:rPr>
                <w:rFonts w:ascii="Times New Roman" w:hAnsi="Times New Roman"/>
                <w:sz w:val="18"/>
                <w:szCs w:val="18"/>
              </w:rPr>
              <w:t>0.</w:t>
            </w:r>
            <w:r>
              <w:rPr>
                <w:rFonts w:hint="eastAsia" w:ascii="Times New Roman" w:hAnsi="Times New Roman"/>
                <w:sz w:val="18"/>
                <w:szCs w:val="18"/>
              </w:rPr>
              <w:t>4</w:t>
            </w:r>
            <w:r>
              <w:rPr>
                <w:rFonts w:ascii="Times New Roman" w:hAnsi="Times New Roman"/>
                <w:sz w:val="18"/>
                <w:szCs w:val="18"/>
              </w:rPr>
              <w:t>0%</w:t>
            </w:r>
          </w:p>
        </w:tc>
        <w:tc>
          <w:tcPr>
            <w:tcW w:w="710" w:type="pct"/>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imes New Roman" w:hAnsi="Times New Roman"/>
                <w:sz w:val="18"/>
                <w:szCs w:val="18"/>
              </w:rPr>
            </w:pPr>
            <w:r>
              <w:rPr>
                <w:rFonts w:hint="eastAsia" w:ascii="宋体" w:hAnsi="宋体" w:cs="宋体"/>
                <w:sz w:val="18"/>
                <w:szCs w:val="18"/>
              </w:rPr>
              <w:t>≥</w:t>
            </w:r>
            <w:r>
              <w:rPr>
                <w:rFonts w:ascii="Times New Roman" w:hAnsi="Times New Roman"/>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291" w:type="pct"/>
            <w:vMerge w:val="restart"/>
            <w:tcBorders>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银杏</w:t>
            </w:r>
          </w:p>
          <w:p>
            <w:pPr>
              <w:spacing w:line="240" w:lineRule="auto"/>
              <w:jc w:val="center"/>
              <w:rPr>
                <w:rFonts w:ascii="宋体" w:hAnsi="宋体" w:cs="宋体"/>
                <w:sz w:val="18"/>
                <w:szCs w:val="18"/>
              </w:rPr>
            </w:pPr>
            <w:r>
              <w:rPr>
                <w:rFonts w:hint="eastAsia" w:ascii="宋体" w:hAnsi="宋体" w:cs="宋体"/>
                <w:sz w:val="18"/>
                <w:szCs w:val="18"/>
              </w:rPr>
              <w:t>干叶</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特级</w:t>
            </w:r>
          </w:p>
        </w:tc>
        <w:tc>
          <w:tcPr>
            <w:tcW w:w="695" w:type="pct"/>
            <w:vMerge w:val="restart"/>
            <w:tcBorders>
              <w:top w:val="single" w:color="auto" w:sz="4" w:space="0"/>
              <w:left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≤12%，</w:t>
            </w:r>
          </w:p>
        </w:tc>
        <w:tc>
          <w:tcPr>
            <w:tcW w:w="813" w:type="pct"/>
            <w:vMerge w:val="restart"/>
            <w:tcBorders>
              <w:top w:val="single" w:color="auto" w:sz="4" w:space="0"/>
              <w:left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rPr>
              <w:t>≤</w:t>
            </w:r>
            <w:r>
              <w:t>10.0%，</w:t>
            </w:r>
          </w:p>
        </w:tc>
        <w:tc>
          <w:tcPr>
            <w:tcW w:w="534" w:type="pct"/>
            <w:vMerge w:val="restart"/>
            <w:tcBorders>
              <w:top w:val="single" w:color="auto" w:sz="4" w:space="0"/>
              <w:left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宋体" w:hAnsi="宋体" w:cs="宋体"/>
                <w:sz w:val="18"/>
                <w:szCs w:val="18"/>
              </w:rPr>
              <w:t>≤</w:t>
            </w:r>
            <w:r>
              <w:rPr>
                <w:rFonts w:ascii="Times New Roman" w:hAnsi="Times New Roman"/>
                <w:sz w:val="18"/>
                <w:szCs w:val="18"/>
              </w:rPr>
              <w:t>2.0%</w:t>
            </w:r>
          </w:p>
        </w:tc>
        <w:tc>
          <w:tcPr>
            <w:tcW w:w="743" w:type="pct"/>
            <w:vMerge w:val="restart"/>
            <w:tcBorders>
              <w:top w:val="single" w:color="auto" w:sz="4" w:space="0"/>
              <w:left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宋体" w:hAnsi="宋体" w:cs="宋体"/>
                <w:sz w:val="18"/>
                <w:szCs w:val="18"/>
              </w:rPr>
              <w:t>≥</w:t>
            </w:r>
            <w:r>
              <w:rPr>
                <w:rFonts w:ascii="Times New Roman" w:hAnsi="Times New Roman"/>
                <w:sz w:val="18"/>
                <w:szCs w:val="18"/>
              </w:rPr>
              <w:t>25.0%</w:t>
            </w:r>
          </w:p>
        </w:tc>
        <w:tc>
          <w:tcPr>
            <w:tcW w:w="697" w:type="pct"/>
            <w:tcBorders>
              <w:top w:val="single" w:color="auto" w:sz="4" w:space="0"/>
              <w:left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≥1.0</w:t>
            </w:r>
          </w:p>
        </w:tc>
        <w:tc>
          <w:tcPr>
            <w:tcW w:w="710" w:type="pct"/>
            <w:tcBorders>
              <w:top w:val="single" w:color="auto" w:sz="4" w:space="0"/>
              <w:left w:val="single" w:color="auto" w:sz="4" w:space="0"/>
              <w:right w:val="single" w:color="auto" w:sz="8" w:space="0"/>
            </w:tcBorders>
            <w:vAlign w:val="center"/>
          </w:tcPr>
          <w:p>
            <w:pPr>
              <w:spacing w:line="240" w:lineRule="auto"/>
              <w:jc w:val="center"/>
              <w:rPr>
                <w:rFonts w:hint="eastAsia" w:ascii="Times New Roman" w:hAnsi="Times New Roman" w:eastAsia="宋体"/>
                <w:sz w:val="18"/>
                <w:szCs w:val="18"/>
                <w:lang w:val="en-US" w:eastAsia="zh-CN"/>
              </w:rPr>
            </w:pPr>
            <w:r>
              <w:rPr>
                <w:rFonts w:hint="eastAsia" w:ascii="Times New Roman" w:hAnsi="Times New Roman"/>
                <w:sz w:val="18"/>
                <w:szCs w:val="18"/>
              </w:rPr>
              <w:t>≥ 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1" w:type="pct"/>
            <w:vMerge w:val="continue"/>
            <w:tcBorders>
              <w:right w:val="single" w:color="auto" w:sz="4" w:space="0"/>
            </w:tcBorders>
            <w:shd w:val="clear" w:color="auto" w:fill="auto"/>
            <w:vAlign w:val="center"/>
          </w:tcPr>
          <w:p>
            <w:pPr>
              <w:spacing w:line="240" w:lineRule="auto"/>
              <w:jc w:val="center"/>
              <w:rPr>
                <w:rFonts w:ascii="宋体" w:hAnsi="宋体" w:cs="宋体"/>
                <w:sz w:val="18"/>
                <w:szCs w:val="18"/>
              </w:rPr>
            </w:pP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一级</w:t>
            </w:r>
          </w:p>
        </w:tc>
        <w:tc>
          <w:tcPr>
            <w:tcW w:w="695" w:type="pct"/>
            <w:vMerge w:val="continue"/>
            <w:tcBorders>
              <w:left w:val="single" w:color="auto" w:sz="4" w:space="0"/>
              <w:right w:val="single" w:color="auto" w:sz="4" w:space="0"/>
            </w:tcBorders>
            <w:vAlign w:val="center"/>
          </w:tcPr>
          <w:p>
            <w:pPr>
              <w:spacing w:line="240" w:lineRule="auto"/>
              <w:jc w:val="center"/>
              <w:rPr>
                <w:rFonts w:ascii="Times New Roman" w:hAnsi="Times New Roman"/>
                <w:sz w:val="18"/>
                <w:szCs w:val="18"/>
              </w:rPr>
            </w:pPr>
          </w:p>
        </w:tc>
        <w:tc>
          <w:tcPr>
            <w:tcW w:w="813" w:type="pct"/>
            <w:vMerge w:val="continue"/>
            <w:tcBorders>
              <w:left w:val="single" w:color="auto" w:sz="4" w:space="0"/>
              <w:right w:val="single" w:color="auto" w:sz="4" w:space="0"/>
            </w:tcBorders>
            <w:vAlign w:val="center"/>
          </w:tcPr>
          <w:p>
            <w:pPr>
              <w:spacing w:line="240" w:lineRule="auto"/>
              <w:jc w:val="center"/>
              <w:rPr>
                <w:rFonts w:ascii="Times New Roman" w:hAnsi="Times New Roman"/>
                <w:sz w:val="18"/>
                <w:szCs w:val="18"/>
              </w:rPr>
            </w:pPr>
          </w:p>
        </w:tc>
        <w:tc>
          <w:tcPr>
            <w:tcW w:w="534" w:type="pct"/>
            <w:vMerge w:val="continue"/>
            <w:tcBorders>
              <w:left w:val="single" w:color="auto" w:sz="4" w:space="0"/>
              <w:right w:val="single" w:color="auto" w:sz="4" w:space="0"/>
            </w:tcBorders>
            <w:vAlign w:val="center"/>
          </w:tcPr>
          <w:p>
            <w:pPr>
              <w:spacing w:line="240" w:lineRule="auto"/>
              <w:jc w:val="center"/>
              <w:rPr>
                <w:rFonts w:ascii="Times New Roman" w:hAnsi="Times New Roman"/>
                <w:sz w:val="18"/>
                <w:szCs w:val="18"/>
              </w:rPr>
            </w:pPr>
          </w:p>
        </w:tc>
        <w:tc>
          <w:tcPr>
            <w:tcW w:w="743" w:type="pct"/>
            <w:vMerge w:val="continue"/>
            <w:tcBorders>
              <w:left w:val="single" w:color="auto" w:sz="4" w:space="0"/>
              <w:right w:val="single" w:color="auto" w:sz="4" w:space="0"/>
            </w:tcBorders>
            <w:vAlign w:val="center"/>
          </w:tcPr>
          <w:p>
            <w:pPr>
              <w:spacing w:line="240" w:lineRule="auto"/>
              <w:jc w:val="center"/>
              <w:rPr>
                <w:rFonts w:ascii="Times New Roman" w:hAnsi="Times New Roman"/>
                <w:sz w:val="18"/>
                <w:szCs w:val="18"/>
              </w:rPr>
            </w:pPr>
          </w:p>
        </w:tc>
        <w:tc>
          <w:tcPr>
            <w:tcW w:w="69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sz w:val="18"/>
                <w:szCs w:val="18"/>
                <w:lang w:val="en-US"/>
              </w:rPr>
            </w:pPr>
            <w:r>
              <w:rPr>
                <w:rFonts w:hint="eastAsia" w:ascii="Times New Roman" w:hAnsi="Times New Roman"/>
                <w:sz w:val="18"/>
                <w:szCs w:val="18"/>
              </w:rPr>
              <w:t>0</w:t>
            </w:r>
            <w:r>
              <w:rPr>
                <w:rFonts w:hint="eastAsia" w:ascii="Times New Roman" w:hAnsi="Times New Roman"/>
                <w:sz w:val="18"/>
                <w:szCs w:val="18"/>
                <w:lang w:eastAsia="zh-CN"/>
              </w:rPr>
              <w:t>.</w:t>
            </w:r>
            <w:r>
              <w:rPr>
                <w:rFonts w:hint="eastAsia" w:ascii="Times New Roman" w:hAnsi="Times New Roman"/>
                <w:sz w:val="18"/>
                <w:szCs w:val="18"/>
                <w:lang w:val="en-US" w:eastAsia="zh-CN"/>
              </w:rPr>
              <w:t>7</w:t>
            </w:r>
            <w:r>
              <w:rPr>
                <w:rFonts w:hint="eastAsia" w:ascii="Times New Roman" w:hAnsi="Times New Roman"/>
                <w:sz w:val="18"/>
                <w:szCs w:val="18"/>
                <w:lang w:eastAsia="zh-CN"/>
              </w:rPr>
              <w:t>≤</w:t>
            </w:r>
            <w:r>
              <w:rPr>
                <w:rFonts w:hint="eastAsia" w:ascii="Times New Roman" w:hAnsi="Times New Roman"/>
                <w:sz w:val="18"/>
                <w:szCs w:val="18"/>
                <w:lang w:val="en-US" w:eastAsia="zh-CN"/>
              </w:rPr>
              <w:t>x</w:t>
            </w:r>
            <w:r>
              <w:rPr>
                <w:rFonts w:hint="eastAsia" w:ascii="Times New Roman" w:hAnsi="Times New Roman"/>
                <w:sz w:val="18"/>
                <w:szCs w:val="18"/>
                <w:lang w:eastAsia="zh-CN"/>
              </w:rPr>
              <w:t>＜</w:t>
            </w:r>
            <w:r>
              <w:rPr>
                <w:rFonts w:hint="eastAsia" w:ascii="Times New Roman" w:hAnsi="Times New Roman"/>
                <w:sz w:val="18"/>
                <w:szCs w:val="18"/>
                <w:lang w:val="en-US" w:eastAsia="zh-CN"/>
              </w:rPr>
              <w:t>1.0</w:t>
            </w:r>
          </w:p>
        </w:tc>
        <w:tc>
          <w:tcPr>
            <w:tcW w:w="1358"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hint="default" w:ascii="Times New Roman" w:hAnsi="Times New Roman"/>
                <w:sz w:val="18"/>
                <w:szCs w:val="18"/>
                <w:lang w:val="en-US"/>
              </w:rPr>
            </w:pPr>
            <w:r>
              <w:rPr>
                <w:rFonts w:hint="eastAsia" w:ascii="Times New Roman" w:hAnsi="Times New Roman"/>
                <w:sz w:val="18"/>
                <w:szCs w:val="18"/>
              </w:rPr>
              <w:t>0</w:t>
            </w:r>
            <w:r>
              <w:rPr>
                <w:rFonts w:hint="eastAsia" w:ascii="Times New Roman" w:hAnsi="Times New Roman"/>
                <w:sz w:val="18"/>
                <w:szCs w:val="18"/>
                <w:lang w:eastAsia="zh-CN"/>
              </w:rPr>
              <w:t>.</w:t>
            </w:r>
            <w:r>
              <w:rPr>
                <w:rFonts w:hint="eastAsia" w:ascii="Times New Roman" w:hAnsi="Times New Roman"/>
                <w:sz w:val="18"/>
                <w:szCs w:val="18"/>
                <w:lang w:val="en-US" w:eastAsia="zh-CN"/>
              </w:rPr>
              <w:t>35</w:t>
            </w:r>
            <w:r>
              <w:rPr>
                <w:rFonts w:hint="eastAsia" w:ascii="Times New Roman" w:hAnsi="Times New Roman"/>
                <w:sz w:val="18"/>
                <w:szCs w:val="18"/>
                <w:lang w:eastAsia="zh-CN"/>
              </w:rPr>
              <w:t>≤</w:t>
            </w:r>
            <w:r>
              <w:rPr>
                <w:rFonts w:hint="eastAsia" w:ascii="Times New Roman" w:hAnsi="Times New Roman"/>
                <w:sz w:val="18"/>
                <w:szCs w:val="18"/>
                <w:lang w:val="en-US" w:eastAsia="zh-CN"/>
              </w:rPr>
              <w:t>x</w:t>
            </w:r>
            <w:r>
              <w:rPr>
                <w:rFonts w:hint="eastAsia" w:ascii="Times New Roman" w:hAnsi="Times New Roman"/>
                <w:sz w:val="18"/>
                <w:szCs w:val="18"/>
                <w:lang w:eastAsia="zh-CN"/>
              </w:rPr>
              <w:t>＜</w:t>
            </w:r>
            <w:r>
              <w:rPr>
                <w:rFonts w:hint="eastAsia" w:ascii="Times New Roman" w:hAnsi="Times New Roman"/>
                <w:sz w:val="18"/>
                <w:szCs w:val="18"/>
                <w:lang w:val="en-US" w:eastAsia="zh-CN"/>
              </w:rPr>
              <w:t>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1" w:type="pct"/>
            <w:vMerge w:val="continue"/>
            <w:tcBorders>
              <w:right w:val="single" w:color="auto" w:sz="4" w:space="0"/>
            </w:tcBorders>
            <w:shd w:val="clear" w:color="auto" w:fill="auto"/>
            <w:vAlign w:val="center"/>
          </w:tcPr>
          <w:p>
            <w:pPr>
              <w:spacing w:line="240" w:lineRule="auto"/>
              <w:jc w:val="center"/>
              <w:rPr>
                <w:rFonts w:ascii="Times New Roman" w:hAnsi="Times New Roman"/>
                <w:sz w:val="18"/>
                <w:szCs w:val="18"/>
              </w:rPr>
            </w:pP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二级</w:t>
            </w:r>
          </w:p>
        </w:tc>
        <w:tc>
          <w:tcPr>
            <w:tcW w:w="695" w:type="pct"/>
            <w:vMerge w:val="continue"/>
            <w:tcBorders>
              <w:left w:val="single" w:color="auto" w:sz="4" w:space="0"/>
              <w:right w:val="single" w:color="auto" w:sz="4" w:space="0"/>
            </w:tcBorders>
            <w:vAlign w:val="center"/>
          </w:tcPr>
          <w:p>
            <w:pPr>
              <w:spacing w:line="240" w:lineRule="auto"/>
              <w:jc w:val="center"/>
              <w:rPr>
                <w:rFonts w:ascii="Times New Roman" w:hAnsi="Times New Roman"/>
                <w:sz w:val="18"/>
                <w:szCs w:val="18"/>
              </w:rPr>
            </w:pPr>
          </w:p>
        </w:tc>
        <w:tc>
          <w:tcPr>
            <w:tcW w:w="813" w:type="pct"/>
            <w:vMerge w:val="continue"/>
            <w:tcBorders>
              <w:left w:val="single" w:color="auto" w:sz="4" w:space="0"/>
              <w:right w:val="single" w:color="auto" w:sz="4" w:space="0"/>
            </w:tcBorders>
            <w:vAlign w:val="center"/>
          </w:tcPr>
          <w:p>
            <w:pPr>
              <w:spacing w:line="240" w:lineRule="auto"/>
              <w:jc w:val="center"/>
              <w:rPr>
                <w:rFonts w:ascii="Times New Roman" w:hAnsi="Times New Roman"/>
                <w:sz w:val="18"/>
                <w:szCs w:val="18"/>
              </w:rPr>
            </w:pPr>
          </w:p>
        </w:tc>
        <w:tc>
          <w:tcPr>
            <w:tcW w:w="534" w:type="pct"/>
            <w:vMerge w:val="continue"/>
            <w:tcBorders>
              <w:left w:val="single" w:color="auto" w:sz="4" w:space="0"/>
              <w:right w:val="single" w:color="auto" w:sz="4" w:space="0"/>
            </w:tcBorders>
            <w:vAlign w:val="center"/>
          </w:tcPr>
          <w:p>
            <w:pPr>
              <w:spacing w:line="240" w:lineRule="auto"/>
              <w:jc w:val="center"/>
              <w:rPr>
                <w:rFonts w:ascii="Times New Roman" w:hAnsi="Times New Roman"/>
                <w:sz w:val="18"/>
                <w:szCs w:val="18"/>
              </w:rPr>
            </w:pPr>
          </w:p>
        </w:tc>
        <w:tc>
          <w:tcPr>
            <w:tcW w:w="743" w:type="pct"/>
            <w:vMerge w:val="continue"/>
            <w:tcBorders>
              <w:left w:val="single" w:color="auto" w:sz="4" w:space="0"/>
              <w:right w:val="single" w:color="auto" w:sz="4" w:space="0"/>
            </w:tcBorders>
            <w:vAlign w:val="center"/>
          </w:tcPr>
          <w:p>
            <w:pPr>
              <w:spacing w:line="240" w:lineRule="auto"/>
              <w:jc w:val="center"/>
              <w:rPr>
                <w:rFonts w:ascii="Times New Roman" w:hAnsi="Times New Roman"/>
                <w:sz w:val="18"/>
                <w:szCs w:val="18"/>
              </w:rPr>
            </w:pPr>
          </w:p>
        </w:tc>
        <w:tc>
          <w:tcPr>
            <w:tcW w:w="69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sz w:val="18"/>
                <w:szCs w:val="18"/>
                <w:lang w:val="en-US"/>
              </w:rPr>
            </w:pPr>
            <w:r>
              <w:rPr>
                <w:rFonts w:hint="eastAsia" w:ascii="Times New Roman" w:hAnsi="Times New Roman"/>
                <w:sz w:val="18"/>
                <w:szCs w:val="18"/>
              </w:rPr>
              <w:t>0</w:t>
            </w:r>
            <w:r>
              <w:rPr>
                <w:rFonts w:hint="eastAsia" w:ascii="Times New Roman" w:hAnsi="Times New Roman"/>
                <w:sz w:val="18"/>
                <w:szCs w:val="18"/>
                <w:lang w:eastAsia="zh-CN"/>
              </w:rPr>
              <w:t>.</w:t>
            </w:r>
            <w:r>
              <w:rPr>
                <w:rFonts w:hint="eastAsia" w:ascii="Times New Roman" w:hAnsi="Times New Roman"/>
                <w:sz w:val="18"/>
                <w:szCs w:val="18"/>
                <w:lang w:val="en-US" w:eastAsia="zh-CN"/>
              </w:rPr>
              <w:t>4</w:t>
            </w:r>
            <w:r>
              <w:rPr>
                <w:rFonts w:hint="eastAsia" w:ascii="Times New Roman" w:hAnsi="Times New Roman"/>
                <w:sz w:val="18"/>
                <w:szCs w:val="18"/>
                <w:lang w:eastAsia="zh-CN"/>
              </w:rPr>
              <w:t>≤</w:t>
            </w:r>
            <w:r>
              <w:rPr>
                <w:rFonts w:hint="eastAsia" w:ascii="Times New Roman" w:hAnsi="Times New Roman"/>
                <w:sz w:val="18"/>
                <w:szCs w:val="18"/>
                <w:lang w:val="en-US" w:eastAsia="zh-CN"/>
              </w:rPr>
              <w:t>x</w:t>
            </w:r>
            <w:r>
              <w:rPr>
                <w:rFonts w:hint="eastAsia" w:ascii="Times New Roman" w:hAnsi="Times New Roman"/>
                <w:sz w:val="18"/>
                <w:szCs w:val="18"/>
                <w:lang w:eastAsia="zh-CN"/>
              </w:rPr>
              <w:t>＜</w:t>
            </w:r>
            <w:r>
              <w:rPr>
                <w:rFonts w:hint="eastAsia" w:ascii="Times New Roman" w:hAnsi="Times New Roman"/>
                <w:sz w:val="18"/>
                <w:szCs w:val="18"/>
                <w:lang w:val="en-US" w:eastAsia="zh-CN"/>
              </w:rPr>
              <w:t>0.7</w:t>
            </w:r>
          </w:p>
        </w:tc>
        <w:tc>
          <w:tcPr>
            <w:tcW w:w="1358"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hint="default" w:ascii="Times New Roman" w:hAnsi="Times New Roman"/>
                <w:sz w:val="18"/>
                <w:szCs w:val="18"/>
                <w:lang w:val="en-US"/>
              </w:rPr>
            </w:pPr>
            <w:r>
              <w:rPr>
                <w:rFonts w:hint="eastAsia" w:ascii="Times New Roman" w:hAnsi="Times New Roman"/>
                <w:sz w:val="18"/>
                <w:szCs w:val="18"/>
              </w:rPr>
              <w:t>0</w:t>
            </w:r>
            <w:r>
              <w:rPr>
                <w:rFonts w:hint="eastAsia" w:ascii="Times New Roman" w:hAnsi="Times New Roman"/>
                <w:sz w:val="18"/>
                <w:szCs w:val="18"/>
                <w:lang w:eastAsia="zh-CN"/>
              </w:rPr>
              <w:t>.</w:t>
            </w:r>
            <w:r>
              <w:rPr>
                <w:rFonts w:hint="eastAsia" w:ascii="Times New Roman" w:hAnsi="Times New Roman"/>
                <w:sz w:val="18"/>
                <w:szCs w:val="18"/>
                <w:lang w:val="en-US" w:eastAsia="zh-CN"/>
              </w:rPr>
              <w:t>25</w:t>
            </w:r>
            <w:r>
              <w:rPr>
                <w:rFonts w:hint="eastAsia" w:ascii="Times New Roman" w:hAnsi="Times New Roman"/>
                <w:sz w:val="18"/>
                <w:szCs w:val="18"/>
                <w:lang w:eastAsia="zh-CN"/>
              </w:rPr>
              <w:t>≤</w:t>
            </w:r>
            <w:r>
              <w:rPr>
                <w:rFonts w:hint="eastAsia" w:ascii="Times New Roman" w:hAnsi="Times New Roman"/>
                <w:sz w:val="18"/>
                <w:szCs w:val="18"/>
                <w:lang w:val="en-US" w:eastAsia="zh-CN"/>
              </w:rPr>
              <w:t>x</w:t>
            </w:r>
            <w:r>
              <w:rPr>
                <w:rFonts w:hint="eastAsia" w:ascii="Times New Roman" w:hAnsi="Times New Roman"/>
                <w:sz w:val="18"/>
                <w:szCs w:val="18"/>
                <w:lang w:eastAsia="zh-CN"/>
              </w:rPr>
              <w:t>＜</w:t>
            </w:r>
            <w:r>
              <w:rPr>
                <w:rFonts w:hint="eastAsia" w:ascii="Times New Roman" w:hAnsi="Times New Roman"/>
                <w:sz w:val="18"/>
                <w:szCs w:val="18"/>
                <w:lang w:val="en-US" w:eastAsia="zh-CN"/>
              </w:rPr>
              <w:t>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8"/>
            <w:tcBorders>
              <w:right w:val="single" w:color="auto" w:sz="8" w:space="0"/>
            </w:tcBorders>
            <w:shd w:val="clear" w:color="auto" w:fill="auto"/>
            <w:vAlign w:val="center"/>
          </w:tcPr>
          <w:p>
            <w:pPr>
              <w:spacing w:line="240" w:lineRule="auto"/>
              <w:jc w:val="left"/>
              <w:rPr>
                <w:rFonts w:ascii="Times New Roman" w:hAnsi="Times New Roman"/>
                <w:sz w:val="18"/>
                <w:szCs w:val="18"/>
              </w:rPr>
            </w:pPr>
            <w:r>
              <w:rPr>
                <w:rFonts w:hint="eastAsia" w:ascii="Times New Roman" w:hAnsi="Times New Roman"/>
                <w:sz w:val="18"/>
                <w:szCs w:val="18"/>
              </w:rPr>
              <w:t>注：“-</w:t>
            </w:r>
            <w:r>
              <w:rPr>
                <w:rFonts w:ascii="Times New Roman" w:hAnsi="Times New Roman"/>
                <w:sz w:val="18"/>
                <w:szCs w:val="18"/>
              </w:rPr>
              <w:t>”</w:t>
            </w:r>
            <w:r>
              <w:rPr>
                <w:rFonts w:hint="eastAsia" w:ascii="Times New Roman" w:hAnsi="Times New Roman"/>
                <w:sz w:val="18"/>
                <w:szCs w:val="18"/>
              </w:rPr>
              <w:t>为没有。</w:t>
            </w:r>
          </w:p>
        </w:tc>
      </w:tr>
    </w:tbl>
    <w:p>
      <w:pPr>
        <w:pStyle w:val="105"/>
        <w:spacing w:before="120" w:after="120"/>
        <w:rPr>
          <w:rFonts w:ascii="Times New Roman"/>
        </w:rPr>
      </w:pPr>
      <w:r>
        <w:rPr>
          <w:rFonts w:ascii="Times New Roman"/>
        </w:rPr>
        <w:t>污染物限量</w:t>
      </w:r>
    </w:p>
    <w:p>
      <w:pPr>
        <w:pStyle w:val="165"/>
        <w:rPr>
          <w:rFonts w:ascii="Times New Roman"/>
        </w:rPr>
      </w:pPr>
      <w:r>
        <w:rPr>
          <w:rFonts w:ascii="Times New Roman"/>
        </w:rPr>
        <w:t>银杏鲜叶的污染物限量指标按照GB 2762蔬菜中叶菜类的相关规定执行。</w:t>
      </w:r>
    </w:p>
    <w:p>
      <w:pPr>
        <w:pStyle w:val="165"/>
        <w:rPr>
          <w:rFonts w:ascii="Times New Roman"/>
        </w:rPr>
      </w:pPr>
      <w:r>
        <w:rPr>
          <w:rFonts w:ascii="Times New Roman"/>
        </w:rPr>
        <w:t>银杏干叶的污染物限量指标按照GB 2762蔬菜制品的相关规定执行。</w:t>
      </w:r>
    </w:p>
    <w:p>
      <w:pPr>
        <w:pStyle w:val="105"/>
        <w:spacing w:before="120" w:after="120"/>
        <w:rPr>
          <w:rFonts w:ascii="Times New Roman"/>
        </w:rPr>
      </w:pPr>
      <w:r>
        <w:rPr>
          <w:rFonts w:ascii="Times New Roman"/>
        </w:rPr>
        <w:t>农药残留</w:t>
      </w:r>
      <w:r>
        <w:rPr>
          <w:rFonts w:hint="eastAsia" w:ascii="Times New Roman"/>
        </w:rPr>
        <w:t>限量</w:t>
      </w:r>
    </w:p>
    <w:p>
      <w:pPr>
        <w:pStyle w:val="165"/>
        <w:rPr>
          <w:rFonts w:ascii="Times New Roman"/>
        </w:rPr>
      </w:pPr>
      <w:r>
        <w:rPr>
          <w:rFonts w:ascii="Times New Roman"/>
        </w:rPr>
        <w:t>银杏鲜叶的农药残留限量指标按照GB 2763叶菜类蔬菜中绿叶类的相关规定执行。</w:t>
      </w:r>
    </w:p>
    <w:p>
      <w:pPr>
        <w:pStyle w:val="165"/>
        <w:rPr>
          <w:rFonts w:ascii="Times New Roman"/>
        </w:rPr>
      </w:pPr>
      <w:r>
        <w:rPr>
          <w:rFonts w:ascii="Times New Roman"/>
        </w:rPr>
        <w:t>银杏干叶的农药残留限量指标按照GB 2763干制蔬菜的相关规定执行。</w:t>
      </w:r>
    </w:p>
    <w:p>
      <w:pPr>
        <w:pStyle w:val="104"/>
        <w:spacing w:before="240" w:after="240"/>
        <w:rPr>
          <w:rFonts w:ascii="Times New Roman"/>
        </w:rPr>
      </w:pPr>
      <w:r>
        <w:rPr>
          <w:rFonts w:ascii="Times New Roman"/>
        </w:rPr>
        <w:t>容许度</w:t>
      </w:r>
    </w:p>
    <w:p>
      <w:pPr>
        <w:pStyle w:val="56"/>
        <w:ind w:firstLine="420"/>
        <w:rPr>
          <w:rFonts w:ascii="Times New Roman"/>
        </w:rPr>
      </w:pPr>
      <w:r>
        <w:rPr>
          <w:rFonts w:ascii="Times New Roman"/>
        </w:rPr>
        <w:t>按数量计，特级允许有5%的产品不符合该等级的要求，但应符合一级的要求；</w:t>
      </w:r>
    </w:p>
    <w:p>
      <w:pPr>
        <w:pStyle w:val="56"/>
        <w:ind w:firstLine="420"/>
        <w:rPr>
          <w:rFonts w:ascii="Times New Roman"/>
        </w:rPr>
      </w:pPr>
      <w:r>
        <w:rPr>
          <w:rFonts w:ascii="Times New Roman"/>
        </w:rPr>
        <w:t>按数量计，一级允许有5%的产品不符合该等级的要求，但应符合二级的要求；</w:t>
      </w:r>
    </w:p>
    <w:p>
      <w:pPr>
        <w:pStyle w:val="56"/>
        <w:ind w:firstLine="420"/>
        <w:rPr>
          <w:rFonts w:ascii="Times New Roman"/>
        </w:rPr>
      </w:pPr>
      <w:r>
        <w:rPr>
          <w:rFonts w:ascii="Times New Roman"/>
        </w:rPr>
        <w:t>按数量计，二级允许有5%的产品不符合该等级的要求，但应符合基本要求。</w:t>
      </w:r>
    </w:p>
    <w:p>
      <w:pPr>
        <w:pStyle w:val="104"/>
        <w:spacing w:before="240" w:after="240"/>
        <w:rPr>
          <w:rFonts w:ascii="Times New Roman"/>
        </w:rPr>
      </w:pPr>
      <w:r>
        <w:rPr>
          <w:rFonts w:ascii="Times New Roman"/>
        </w:rPr>
        <w:t>检验</w:t>
      </w:r>
      <w:r>
        <w:rPr>
          <w:rFonts w:hint="eastAsia" w:ascii="Times New Roman"/>
        </w:rPr>
        <w:t>方法</w:t>
      </w:r>
    </w:p>
    <w:p>
      <w:pPr>
        <w:pStyle w:val="105"/>
        <w:spacing w:before="120" w:after="120"/>
        <w:rPr>
          <w:rFonts w:ascii="Times New Roman"/>
        </w:rPr>
      </w:pPr>
      <w:r>
        <w:rPr>
          <w:rFonts w:hint="eastAsia" w:ascii="Times New Roman"/>
        </w:rPr>
        <w:t>感官指标</w:t>
      </w:r>
    </w:p>
    <w:p>
      <w:pPr>
        <w:pStyle w:val="56"/>
        <w:ind w:firstLine="420"/>
      </w:pPr>
      <w:r>
        <w:rPr>
          <w:rFonts w:hint="eastAsia"/>
        </w:rPr>
        <w:t>随机取适量样品，置于白色瓷盘中，由经验丰富的感官评审员对色泽、气味、完整度、杂质、病斑、虫眼进行感官审评。</w:t>
      </w:r>
    </w:p>
    <w:p>
      <w:pPr>
        <w:pStyle w:val="105"/>
        <w:spacing w:before="120" w:after="120"/>
      </w:pPr>
      <w:r>
        <w:rPr>
          <w:rFonts w:ascii="Times New Roman"/>
        </w:rPr>
        <w:t>理化指标</w:t>
      </w:r>
    </w:p>
    <w:p>
      <w:pPr>
        <w:pStyle w:val="65"/>
        <w:spacing w:before="120" w:after="120"/>
      </w:pPr>
      <w:r>
        <w:rPr>
          <w:rFonts w:hint="eastAsia"/>
        </w:rPr>
        <w:t>水分</w:t>
      </w:r>
    </w:p>
    <w:p>
      <w:pPr>
        <w:pStyle w:val="56"/>
        <w:ind w:firstLine="420"/>
      </w:pPr>
      <w:r>
        <w:rPr>
          <w:rFonts w:hint="eastAsia"/>
        </w:rPr>
        <w:t>按GB 5009.3规定的方法测定。</w:t>
      </w:r>
    </w:p>
    <w:p>
      <w:pPr>
        <w:pStyle w:val="65"/>
        <w:spacing w:before="120" w:after="120"/>
      </w:pPr>
      <w:r>
        <w:rPr>
          <w:rFonts w:hint="eastAsia"/>
        </w:rPr>
        <w:t>灰分</w:t>
      </w:r>
    </w:p>
    <w:p>
      <w:pPr>
        <w:pStyle w:val="56"/>
        <w:ind w:firstLine="420"/>
      </w:pPr>
      <w:r>
        <w:rPr>
          <w:rFonts w:hint="eastAsia"/>
        </w:rPr>
        <w:t>按GB 5009.4规定的方法测定。</w:t>
      </w:r>
    </w:p>
    <w:p>
      <w:pPr>
        <w:pStyle w:val="65"/>
        <w:spacing w:before="120" w:after="120"/>
        <w:rPr>
          <w:rFonts w:ascii="Times New Roman"/>
        </w:rPr>
      </w:pPr>
      <w:r>
        <w:rPr>
          <w:rFonts w:hint="eastAsia" w:ascii="Times New Roman"/>
        </w:rPr>
        <w:t>杂质</w:t>
      </w:r>
    </w:p>
    <w:p>
      <w:pPr>
        <w:pStyle w:val="56"/>
        <w:ind w:firstLine="420"/>
      </w:pPr>
      <w:r>
        <w:rPr>
          <w:rFonts w:hint="eastAsia"/>
        </w:rPr>
        <w:t>按《中华人民共和国药典（2020版）》杂质检查法（通则2301）项下热浸法测定。</w:t>
      </w:r>
    </w:p>
    <w:p>
      <w:pPr>
        <w:pStyle w:val="65"/>
        <w:spacing w:before="120" w:after="120"/>
        <w:rPr>
          <w:rFonts w:ascii="Times New Roman"/>
        </w:rPr>
      </w:pPr>
      <w:r>
        <w:rPr>
          <w:rFonts w:hint="eastAsia" w:ascii="Times New Roman"/>
        </w:rPr>
        <w:t>醇浸出物</w:t>
      </w:r>
    </w:p>
    <w:p>
      <w:pPr>
        <w:pStyle w:val="56"/>
        <w:ind w:firstLine="420"/>
      </w:pPr>
      <w:r>
        <w:rPr>
          <w:rFonts w:hint="eastAsia"/>
        </w:rPr>
        <w:t>按《中华人民共和国药典（2020版）》醇溶性浸出物测定法（通则2201）项下热浸法测定。</w:t>
      </w:r>
    </w:p>
    <w:p>
      <w:pPr>
        <w:pStyle w:val="65"/>
        <w:spacing w:before="120" w:after="120"/>
        <w:rPr>
          <w:rFonts w:ascii="Times New Roman"/>
        </w:rPr>
      </w:pPr>
      <w:r>
        <w:rPr>
          <w:rFonts w:hint="eastAsia" w:ascii="Times New Roman"/>
        </w:rPr>
        <w:t>总黄酮醇苷</w:t>
      </w:r>
    </w:p>
    <w:p>
      <w:pPr>
        <w:pStyle w:val="56"/>
        <w:ind w:firstLine="420"/>
      </w:pPr>
      <w:r>
        <w:rPr>
          <w:rFonts w:hint="eastAsia"/>
        </w:rPr>
        <w:t>按《中华人民共和国药典（2020版）》银杏叶总黄酮醇苷含量测定。</w:t>
      </w:r>
    </w:p>
    <w:p>
      <w:pPr>
        <w:pStyle w:val="65"/>
        <w:spacing w:before="120" w:after="120"/>
        <w:rPr>
          <w:rFonts w:ascii="Times New Roman"/>
        </w:rPr>
      </w:pPr>
      <w:r>
        <w:rPr>
          <w:rFonts w:hint="eastAsia" w:ascii="Times New Roman"/>
        </w:rPr>
        <w:t>萜类内酯</w:t>
      </w:r>
    </w:p>
    <w:p>
      <w:pPr>
        <w:pStyle w:val="56"/>
        <w:ind w:firstLine="420"/>
      </w:pPr>
      <w:r>
        <w:rPr>
          <w:rFonts w:hint="eastAsia"/>
        </w:rPr>
        <w:t>按《中华人民共和国药典（2020版）》银杏叶萜类内酯含量测定。</w:t>
      </w:r>
    </w:p>
    <w:p>
      <w:pPr>
        <w:pStyle w:val="105"/>
        <w:spacing w:before="120" w:after="120"/>
      </w:pPr>
      <w:r>
        <w:t>污染物限量</w:t>
      </w:r>
    </w:p>
    <w:p>
      <w:pPr>
        <w:pStyle w:val="56"/>
        <w:ind w:firstLine="420"/>
      </w:pPr>
      <w:r>
        <w:rPr>
          <w:rFonts w:hint="eastAsia"/>
          <w:lang w:eastAsia="zh-CN"/>
        </w:rPr>
        <w:t>按照</w:t>
      </w:r>
      <w:r>
        <w:rPr>
          <w:rFonts w:hint="eastAsia"/>
        </w:rPr>
        <w:t>GB 2762中相应的检测方法</w:t>
      </w:r>
      <w:r>
        <w:rPr>
          <w:rFonts w:hint="eastAsia"/>
          <w:lang w:eastAsia="zh-CN"/>
        </w:rPr>
        <w:t>执行</w:t>
      </w:r>
      <w:r>
        <w:rPr>
          <w:rFonts w:hint="eastAsia"/>
        </w:rPr>
        <w:t>。</w:t>
      </w:r>
    </w:p>
    <w:p>
      <w:pPr>
        <w:pStyle w:val="105"/>
        <w:spacing w:before="120" w:after="120"/>
        <w:rPr>
          <w:rFonts w:ascii="Times New Roman"/>
        </w:rPr>
      </w:pPr>
      <w:r>
        <w:rPr>
          <w:rFonts w:ascii="Times New Roman"/>
        </w:rPr>
        <w:t>农药残留限量</w:t>
      </w:r>
    </w:p>
    <w:p>
      <w:pPr>
        <w:pStyle w:val="56"/>
        <w:ind w:firstLine="420"/>
      </w:pPr>
      <w:r>
        <w:rPr>
          <w:rFonts w:hint="eastAsia"/>
          <w:lang w:eastAsia="zh-CN"/>
        </w:rPr>
        <w:t>按照</w:t>
      </w:r>
      <w:r>
        <w:rPr>
          <w:rFonts w:hint="eastAsia"/>
        </w:rPr>
        <w:t>GB 2763中相应的检测方法</w:t>
      </w:r>
      <w:r>
        <w:rPr>
          <w:rFonts w:hint="eastAsia"/>
          <w:lang w:eastAsia="zh-CN"/>
        </w:rPr>
        <w:t>执行</w:t>
      </w:r>
      <w:r>
        <w:rPr>
          <w:rFonts w:hint="eastAsia"/>
        </w:rPr>
        <w:t>。</w:t>
      </w:r>
    </w:p>
    <w:p>
      <w:pPr>
        <w:pStyle w:val="104"/>
        <w:spacing w:before="240" w:after="240"/>
        <w:rPr>
          <w:rFonts w:ascii="Times New Roman"/>
        </w:rPr>
      </w:pPr>
      <w:r>
        <w:rPr>
          <w:rFonts w:ascii="Times New Roman"/>
        </w:rPr>
        <w:t>检验规则</w:t>
      </w:r>
    </w:p>
    <w:p>
      <w:pPr>
        <w:pStyle w:val="105"/>
        <w:spacing w:before="120" w:after="120"/>
        <w:rPr>
          <w:rFonts w:ascii="Times New Roman"/>
        </w:rPr>
      </w:pPr>
      <w:r>
        <w:rPr>
          <w:rFonts w:ascii="Times New Roman"/>
        </w:rPr>
        <w:t>抽样方法</w:t>
      </w:r>
    </w:p>
    <w:p>
      <w:pPr>
        <w:pStyle w:val="56"/>
        <w:ind w:firstLine="420"/>
        <w:rPr>
          <w:rFonts w:ascii="Times New Roman"/>
        </w:rPr>
      </w:pPr>
      <w:r>
        <w:rPr>
          <w:rFonts w:ascii="Times New Roman"/>
        </w:rPr>
        <w:t>按照GB/T 8302有关规定执行。</w:t>
      </w:r>
    </w:p>
    <w:p>
      <w:pPr>
        <w:pStyle w:val="105"/>
        <w:spacing w:before="120" w:after="120"/>
        <w:rPr>
          <w:rFonts w:ascii="Times New Roman"/>
        </w:rPr>
      </w:pPr>
      <w:r>
        <w:rPr>
          <w:rFonts w:ascii="Times New Roman"/>
        </w:rPr>
        <w:t>检验批次</w:t>
      </w:r>
    </w:p>
    <w:p>
      <w:pPr>
        <w:pStyle w:val="56"/>
        <w:ind w:firstLine="420"/>
        <w:rPr>
          <w:rFonts w:ascii="Times New Roman"/>
        </w:rPr>
      </w:pPr>
      <w:r>
        <w:rPr>
          <w:rFonts w:ascii="Times New Roman"/>
        </w:rPr>
        <w:t>同一产地、同一采收日期的银杏叶作为一个检验批次。</w:t>
      </w:r>
    </w:p>
    <w:p>
      <w:pPr>
        <w:pStyle w:val="105"/>
        <w:spacing w:before="120" w:after="120"/>
        <w:rPr>
          <w:rFonts w:ascii="Times New Roman"/>
        </w:rPr>
      </w:pPr>
      <w:r>
        <w:rPr>
          <w:rFonts w:ascii="Times New Roman"/>
        </w:rPr>
        <w:t>出厂检验</w:t>
      </w:r>
    </w:p>
    <w:p>
      <w:pPr>
        <w:pStyle w:val="165"/>
        <w:rPr>
          <w:rFonts w:ascii="Times New Roman"/>
        </w:rPr>
      </w:pPr>
      <w:r>
        <w:rPr>
          <w:rFonts w:ascii="Times New Roman"/>
        </w:rPr>
        <w:t>产品须逐批检验，检验合格并签发合格证后产品方可出厂。</w:t>
      </w:r>
    </w:p>
    <w:p>
      <w:pPr>
        <w:pStyle w:val="165"/>
        <w:rPr>
          <w:rFonts w:ascii="Times New Roman"/>
        </w:rPr>
      </w:pPr>
      <w:r>
        <w:rPr>
          <w:rFonts w:ascii="Times New Roman"/>
        </w:rPr>
        <w:t>银杏叶出厂检验项目：外观、水分、灰分、总黄酮醇苷、萜类内酯。</w:t>
      </w:r>
    </w:p>
    <w:p>
      <w:pPr>
        <w:pStyle w:val="105"/>
        <w:spacing w:before="120" w:after="120"/>
        <w:rPr>
          <w:rFonts w:ascii="Times New Roman"/>
        </w:rPr>
      </w:pPr>
      <w:r>
        <w:rPr>
          <w:rFonts w:ascii="Times New Roman"/>
        </w:rPr>
        <w:t>型式检验</w:t>
      </w:r>
    </w:p>
    <w:p>
      <w:pPr>
        <w:pStyle w:val="165"/>
        <w:rPr>
          <w:rFonts w:ascii="Times New Roman"/>
        </w:rPr>
      </w:pPr>
      <w:r>
        <w:rPr>
          <w:rFonts w:ascii="Times New Roman"/>
        </w:rPr>
        <w:t>型式检验是对产品进行全面考核，即对本标准规定的全部要求（指标）进行检验。</w:t>
      </w:r>
    </w:p>
    <w:p>
      <w:pPr>
        <w:pStyle w:val="165"/>
        <w:rPr>
          <w:rFonts w:ascii="Times New Roman"/>
        </w:rPr>
      </w:pPr>
      <w:r>
        <w:rPr>
          <w:rFonts w:ascii="Times New Roman"/>
        </w:rPr>
        <w:t>型式检验每半年进行一次，有下列情况均应进行型式检验：</w:t>
      </w:r>
    </w:p>
    <w:p>
      <w:pPr>
        <w:pStyle w:val="174"/>
        <w:rPr>
          <w:rFonts w:ascii="Times New Roman"/>
        </w:rPr>
      </w:pPr>
      <w:r>
        <w:rPr>
          <w:rFonts w:ascii="Times New Roman"/>
        </w:rPr>
        <w:t>产品定型投产时；</w:t>
      </w:r>
    </w:p>
    <w:p>
      <w:pPr>
        <w:pStyle w:val="174"/>
        <w:rPr>
          <w:rFonts w:ascii="Times New Roman"/>
        </w:rPr>
      </w:pPr>
      <w:r>
        <w:rPr>
          <w:rFonts w:ascii="Times New Roman"/>
        </w:rPr>
        <w:t>人为或自然因素使生产环境发生较大变化；</w:t>
      </w:r>
    </w:p>
    <w:p>
      <w:pPr>
        <w:pStyle w:val="174"/>
        <w:rPr>
          <w:rFonts w:ascii="Times New Roman"/>
        </w:rPr>
      </w:pPr>
      <w:r>
        <w:rPr>
          <w:rFonts w:ascii="Times New Roman"/>
        </w:rPr>
        <w:t>前后两次抽样检验结果差异较大；</w:t>
      </w:r>
    </w:p>
    <w:p>
      <w:pPr>
        <w:pStyle w:val="174"/>
        <w:rPr>
          <w:rFonts w:ascii="Times New Roman"/>
        </w:rPr>
      </w:pPr>
      <w:r>
        <w:rPr>
          <w:rFonts w:ascii="Times New Roman"/>
        </w:rPr>
        <w:t>国家质量监督机构或主管部门提出型式检验要求。</w:t>
      </w:r>
    </w:p>
    <w:p>
      <w:pPr>
        <w:pStyle w:val="105"/>
        <w:spacing w:before="120" w:after="120"/>
        <w:rPr>
          <w:rFonts w:ascii="Times New Roman"/>
        </w:rPr>
      </w:pPr>
      <w:r>
        <w:rPr>
          <w:rFonts w:ascii="Times New Roman"/>
        </w:rPr>
        <w:t>判定规则</w:t>
      </w:r>
    </w:p>
    <w:p>
      <w:pPr>
        <w:pStyle w:val="65"/>
        <w:spacing w:before="120" w:after="120"/>
        <w:rPr>
          <w:rFonts w:ascii="Times New Roman"/>
        </w:rPr>
      </w:pPr>
      <w:r>
        <w:rPr>
          <w:rFonts w:ascii="Times New Roman"/>
        </w:rPr>
        <w:t>等级判定</w:t>
      </w:r>
    </w:p>
    <w:p>
      <w:pPr>
        <w:pStyle w:val="56"/>
        <w:ind w:firstLine="420"/>
        <w:rPr>
          <w:rFonts w:ascii="Times New Roman"/>
        </w:rPr>
      </w:pPr>
      <w:r>
        <w:rPr>
          <w:rFonts w:ascii="Times New Roman"/>
        </w:rPr>
        <w:t>整批产品不超过某等级的容许度，则判为某等级产品。若超过，则按下一级规定的容许度检验，直到判出等级为止。如果容许度超出“二级”的范围，则判为等外产品。</w:t>
      </w:r>
    </w:p>
    <w:p>
      <w:pPr>
        <w:pStyle w:val="65"/>
        <w:spacing w:before="120" w:after="120"/>
        <w:rPr>
          <w:rFonts w:ascii="Times New Roman"/>
        </w:rPr>
      </w:pPr>
      <w:r>
        <w:rPr>
          <w:rFonts w:ascii="Times New Roman"/>
        </w:rPr>
        <w:t>规格判定</w:t>
      </w:r>
    </w:p>
    <w:p>
      <w:pPr>
        <w:pStyle w:val="56"/>
        <w:ind w:firstLine="420"/>
        <w:rPr>
          <w:rFonts w:ascii="Times New Roman"/>
        </w:rPr>
      </w:pPr>
      <w:r>
        <w:rPr>
          <w:rFonts w:ascii="Times New Roman"/>
        </w:rPr>
        <w:t>整批产品不超过某规格规定的容许度，则判为某规格产品。若超过，则按下一级规定的容许度检验，直到判出规格为止。</w:t>
      </w:r>
    </w:p>
    <w:p>
      <w:pPr>
        <w:pStyle w:val="104"/>
        <w:spacing w:before="240" w:after="240"/>
        <w:rPr>
          <w:rFonts w:ascii="Times New Roman"/>
        </w:rPr>
      </w:pPr>
      <w:r>
        <w:rPr>
          <w:rFonts w:ascii="Times New Roman"/>
        </w:rPr>
        <w:t>采收</w:t>
      </w:r>
    </w:p>
    <w:p>
      <w:pPr>
        <w:pStyle w:val="105"/>
        <w:spacing w:before="0" w:beforeLines="0" w:after="0" w:afterLines="0"/>
        <w:rPr>
          <w:rFonts w:ascii="宋体" w:hAnsi="宋体" w:eastAsia="宋体" w:cs="宋体"/>
        </w:rPr>
      </w:pPr>
      <w:r>
        <w:rPr>
          <w:rFonts w:hint="eastAsia" w:ascii="宋体" w:hAnsi="宋体" w:eastAsia="宋体" w:cs="宋体"/>
        </w:rPr>
        <w:t>采摘叶片应选天气晴朗、阳光充足的天气，上午采摘应待叶面露水干之后进行。</w:t>
      </w:r>
    </w:p>
    <w:p>
      <w:pPr>
        <w:pStyle w:val="105"/>
        <w:spacing w:before="0" w:beforeLines="0" w:after="0" w:afterLines="0"/>
        <w:rPr>
          <w:rFonts w:ascii="宋体" w:hAnsi="宋体" w:eastAsia="宋体" w:cs="宋体"/>
        </w:rPr>
      </w:pPr>
      <w:r>
        <w:rPr>
          <w:rFonts w:hint="eastAsia" w:ascii="宋体" w:hAnsi="宋体" w:eastAsia="宋体" w:cs="宋体"/>
        </w:rPr>
        <w:t>机械采收或人工采摘。</w:t>
      </w:r>
    </w:p>
    <w:p>
      <w:pPr>
        <w:pStyle w:val="105"/>
        <w:spacing w:before="0" w:beforeLines="0" w:after="0" w:afterLines="0"/>
        <w:rPr>
          <w:rFonts w:ascii="宋体" w:hAnsi="宋体" w:eastAsia="宋体" w:cs="宋体"/>
        </w:rPr>
      </w:pPr>
      <w:r>
        <w:rPr>
          <w:rFonts w:hint="eastAsia" w:ascii="宋体" w:hAnsi="宋体" w:eastAsia="宋体" w:cs="宋体"/>
        </w:rPr>
        <w:t>7月</w:t>
      </w:r>
      <w:r>
        <w:rPr>
          <w:rFonts w:ascii="Times New Roman" w:eastAsia="宋体"/>
        </w:rPr>
        <w:t>~</w:t>
      </w:r>
      <w:r>
        <w:rPr>
          <w:rFonts w:hint="eastAsia" w:ascii="宋体" w:hAnsi="宋体" w:eastAsia="宋体" w:cs="宋体"/>
        </w:rPr>
        <w:t>8月进行采收。</w:t>
      </w:r>
    </w:p>
    <w:p>
      <w:pPr>
        <w:pStyle w:val="104"/>
        <w:spacing w:before="240" w:after="240"/>
        <w:rPr>
          <w:rFonts w:ascii="Times New Roman"/>
        </w:rPr>
      </w:pPr>
      <w:r>
        <w:rPr>
          <w:rFonts w:ascii="Times New Roman"/>
        </w:rPr>
        <w:t>标签、包装、贮存、运输</w:t>
      </w:r>
    </w:p>
    <w:p>
      <w:pPr>
        <w:pStyle w:val="105"/>
        <w:spacing w:before="120" w:after="120"/>
        <w:rPr>
          <w:rFonts w:ascii="Times New Roman"/>
        </w:rPr>
      </w:pPr>
      <w:r>
        <w:rPr>
          <w:rFonts w:ascii="Times New Roman"/>
        </w:rPr>
        <w:t>标签</w:t>
      </w:r>
    </w:p>
    <w:p>
      <w:pPr>
        <w:pStyle w:val="56"/>
        <w:ind w:firstLine="420"/>
        <w:rPr>
          <w:rFonts w:ascii="Times New Roman"/>
        </w:rPr>
      </w:pPr>
      <w:r>
        <w:rPr>
          <w:rFonts w:ascii="Times New Roman"/>
        </w:rPr>
        <w:t xml:space="preserve">应符合GB/T </w:t>
      </w:r>
      <w:r>
        <w:rPr>
          <w:rFonts w:hint="eastAsia" w:ascii="Times New Roman"/>
        </w:rPr>
        <w:t xml:space="preserve">32950 </w:t>
      </w:r>
      <w:r>
        <w:rPr>
          <w:rFonts w:ascii="Times New Roman"/>
        </w:rPr>
        <w:t>的规定，并标明质量等级。</w:t>
      </w:r>
    </w:p>
    <w:p>
      <w:pPr>
        <w:pStyle w:val="105"/>
        <w:spacing w:before="120" w:after="120"/>
        <w:rPr>
          <w:rFonts w:ascii="Times New Roman"/>
        </w:rPr>
      </w:pPr>
      <w:r>
        <w:rPr>
          <w:rFonts w:ascii="Times New Roman"/>
        </w:rPr>
        <w:t>包装</w:t>
      </w:r>
    </w:p>
    <w:p>
      <w:pPr>
        <w:pStyle w:val="165"/>
        <w:rPr>
          <w:rFonts w:ascii="Times New Roman"/>
        </w:rPr>
      </w:pPr>
      <w:r>
        <w:rPr>
          <w:rFonts w:ascii="Times New Roman"/>
        </w:rPr>
        <w:t>银杏鲜叶、银杏干叶运输包装图示标志应符合GB/T 191的规定。</w:t>
      </w:r>
    </w:p>
    <w:p>
      <w:pPr>
        <w:pStyle w:val="165"/>
        <w:rPr>
          <w:rFonts w:ascii="Times New Roman"/>
        </w:rPr>
      </w:pPr>
      <w:r>
        <w:rPr>
          <w:rFonts w:ascii="Times New Roman"/>
        </w:rPr>
        <w:t>银杏鲜叶一般用保鲜专用袋包装，松扎袋口，放入纸箱和塑料周转箱内。</w:t>
      </w:r>
    </w:p>
    <w:p>
      <w:pPr>
        <w:pStyle w:val="165"/>
        <w:rPr>
          <w:rFonts w:ascii="Times New Roman"/>
        </w:rPr>
      </w:pPr>
      <w:r>
        <w:rPr>
          <w:rFonts w:ascii="Times New Roman"/>
        </w:rPr>
        <w:t>银杏干叶包装</w:t>
      </w:r>
      <w:r>
        <w:rPr>
          <w:rFonts w:hint="eastAsia" w:ascii="Times New Roman"/>
        </w:rPr>
        <w:t>每包50</w:t>
      </w:r>
      <w:r>
        <w:rPr>
          <w:rFonts w:hint="eastAsia" w:ascii="Times New Roman"/>
          <w:lang w:val="en-US" w:eastAsia="zh-CN"/>
        </w:rPr>
        <w:t xml:space="preserve"> </w:t>
      </w:r>
      <w:r>
        <w:rPr>
          <w:rFonts w:hint="eastAsia" w:ascii="Times New Roman"/>
        </w:rPr>
        <w:t>kg~65</w:t>
      </w:r>
      <w:r>
        <w:rPr>
          <w:rFonts w:hint="eastAsia" w:ascii="Times New Roman"/>
          <w:lang w:val="en-US" w:eastAsia="zh-CN"/>
        </w:rPr>
        <w:t xml:space="preserve"> </w:t>
      </w:r>
      <w:r>
        <w:rPr>
          <w:rFonts w:hint="eastAsia" w:ascii="Times New Roman"/>
        </w:rPr>
        <w:t>kg，方形。</w:t>
      </w:r>
      <w:r>
        <w:rPr>
          <w:rFonts w:ascii="Times New Roman"/>
        </w:rPr>
        <w:t>应避光、密封、防潮包装，能保护产品品质。</w:t>
      </w:r>
    </w:p>
    <w:p>
      <w:pPr>
        <w:pStyle w:val="165"/>
        <w:rPr>
          <w:rFonts w:ascii="Times New Roman"/>
        </w:rPr>
      </w:pPr>
      <w:r>
        <w:rPr>
          <w:rFonts w:ascii="Times New Roman"/>
        </w:rPr>
        <w:t>包装材料应干燥、清洁，无异味，无毒无害，且应符合食品包装材料卫生标准的要求。</w:t>
      </w:r>
    </w:p>
    <w:p>
      <w:pPr>
        <w:pStyle w:val="105"/>
        <w:spacing w:before="120" w:after="120"/>
        <w:rPr>
          <w:rFonts w:ascii="Times New Roman"/>
        </w:rPr>
      </w:pPr>
      <w:r>
        <w:rPr>
          <w:rFonts w:ascii="Times New Roman"/>
        </w:rPr>
        <w:t>运输</w:t>
      </w:r>
    </w:p>
    <w:p>
      <w:pPr>
        <w:pStyle w:val="165"/>
        <w:spacing w:before="120" w:beforeLines="50" w:after="120" w:afterLines="50"/>
        <w:rPr>
          <w:rFonts w:ascii="黑体" w:hAnsi="黑体" w:eastAsia="黑体"/>
        </w:rPr>
      </w:pPr>
      <w:r>
        <w:rPr>
          <w:rFonts w:hint="eastAsia" w:ascii="黑体" w:hAnsi="黑体" w:eastAsia="黑体"/>
        </w:rPr>
        <w:t>鲜叶</w:t>
      </w:r>
    </w:p>
    <w:p>
      <w:pPr>
        <w:pStyle w:val="165"/>
        <w:numPr>
          <w:ilvl w:val="0"/>
          <w:numId w:val="0"/>
        </w:numPr>
        <w:ind w:firstLine="420" w:firstLineChars="200"/>
        <w:rPr>
          <w:rFonts w:ascii="Times New Roman"/>
        </w:rPr>
      </w:pPr>
      <w:r>
        <w:rPr>
          <w:rFonts w:hint="eastAsia" w:ascii="Times New Roman"/>
        </w:rPr>
        <w:t>长途运输银杏鲜叶要在阴凉处放置，用麻袋或塑料编织袋装运。装运时松紧适宜，不宜挤压太紧，运达目的地后，及时打开包装，晾晒或烘干。</w:t>
      </w:r>
    </w:p>
    <w:p>
      <w:pPr>
        <w:pStyle w:val="165"/>
        <w:spacing w:before="120" w:beforeLines="50" w:after="120" w:afterLines="50"/>
        <w:rPr>
          <w:rFonts w:ascii="黑体" w:hAnsi="黑体" w:eastAsia="黑体"/>
        </w:rPr>
      </w:pPr>
      <w:r>
        <w:rPr>
          <w:rFonts w:hint="eastAsia" w:ascii="黑体" w:hAnsi="黑体" w:eastAsia="黑体"/>
        </w:rPr>
        <w:t>干叶</w:t>
      </w:r>
    </w:p>
    <w:p>
      <w:pPr>
        <w:pStyle w:val="56"/>
        <w:ind w:firstLine="420"/>
        <w:rPr>
          <w:rFonts w:ascii="Times New Roman"/>
        </w:rPr>
      </w:pPr>
      <w:r>
        <w:rPr>
          <w:rFonts w:hint="eastAsia" w:ascii="Times New Roman"/>
        </w:rPr>
        <w:t>干叶应尽快打捆包装运输。</w:t>
      </w:r>
      <w:r>
        <w:rPr>
          <w:rFonts w:ascii="Times New Roman"/>
        </w:rPr>
        <w:t>运输工具应清洁卫生，不</w:t>
      </w:r>
      <w:r>
        <w:rPr>
          <w:rFonts w:hint="eastAsia" w:ascii="Times New Roman"/>
        </w:rPr>
        <w:t>应</w:t>
      </w:r>
      <w:r>
        <w:rPr>
          <w:rFonts w:ascii="Times New Roman"/>
        </w:rPr>
        <w:t>与有毒、有异味、有腐蚀性等污染性货物混运。运输中应防止挤压、碰撞、日晒、雨淋。装卸时应轻搬轻放。</w:t>
      </w:r>
    </w:p>
    <w:p>
      <w:pPr>
        <w:pStyle w:val="105"/>
        <w:spacing w:before="120" w:after="120"/>
        <w:rPr>
          <w:rFonts w:ascii="Times New Roman"/>
        </w:rPr>
      </w:pPr>
      <w:r>
        <w:rPr>
          <w:rFonts w:ascii="Times New Roman"/>
        </w:rPr>
        <w:t>贮存</w:t>
      </w:r>
    </w:p>
    <w:p>
      <w:pPr>
        <w:pStyle w:val="165"/>
        <w:spacing w:before="120" w:beforeLines="50" w:after="120" w:afterLines="50"/>
        <w:rPr>
          <w:rFonts w:ascii="黑体" w:hAnsi="黑体" w:eastAsia="黑体"/>
        </w:rPr>
      </w:pPr>
      <w:r>
        <w:rPr>
          <w:rFonts w:hint="eastAsia" w:ascii="黑体" w:hAnsi="黑体" w:eastAsia="黑体"/>
        </w:rPr>
        <w:t>鲜叶</w:t>
      </w:r>
    </w:p>
    <w:p>
      <w:pPr>
        <w:pStyle w:val="165"/>
        <w:numPr>
          <w:ilvl w:val="0"/>
          <w:numId w:val="0"/>
        </w:numPr>
        <w:spacing w:before="120" w:beforeLines="50" w:after="120" w:afterLines="50"/>
        <w:ind w:firstLine="420" w:firstLineChars="200"/>
        <w:rPr>
          <w:rFonts w:ascii="Times New Roman"/>
        </w:rPr>
      </w:pPr>
      <w:r>
        <w:rPr>
          <w:rFonts w:hint="eastAsia" w:ascii="Times New Roman"/>
        </w:rPr>
        <w:t>采收后要随时运到室内或阴凉处暂存，堆放厚度一般为15cm~20cm左右，经常翻动。</w:t>
      </w:r>
    </w:p>
    <w:p>
      <w:pPr>
        <w:pStyle w:val="165"/>
        <w:spacing w:before="120" w:beforeLines="50" w:after="120" w:afterLines="50"/>
        <w:rPr>
          <w:rFonts w:ascii="黑体" w:hAnsi="黑体" w:eastAsia="黑体"/>
        </w:rPr>
      </w:pPr>
      <w:r>
        <w:rPr>
          <w:rFonts w:hint="eastAsia" w:ascii="黑体" w:hAnsi="黑体" w:eastAsia="黑体"/>
        </w:rPr>
        <w:t>干叶</w:t>
      </w:r>
    </w:p>
    <w:p>
      <w:pPr>
        <w:pStyle w:val="56"/>
        <w:ind w:firstLine="420"/>
        <w:rPr>
          <w:rFonts w:ascii="Times New Roman"/>
        </w:rPr>
      </w:pPr>
      <w:r>
        <w:rPr>
          <w:rFonts w:ascii="Times New Roman"/>
        </w:rPr>
        <w:t>应贮存在阴凉、干燥、通风的室内，离地、离墙存放，有防蝇、防鼠、防虫设施，不</w:t>
      </w:r>
      <w:r>
        <w:rPr>
          <w:rFonts w:hint="eastAsia" w:ascii="Times New Roman"/>
        </w:rPr>
        <w:t>应</w:t>
      </w:r>
      <w:r>
        <w:rPr>
          <w:rFonts w:ascii="Times New Roman"/>
        </w:rPr>
        <w:t>与有毒、有害、有异味、易挥发、易腐蚀的物品混储。</w:t>
      </w:r>
    </w:p>
    <w:p>
      <w:pPr>
        <w:pStyle w:val="56"/>
        <w:ind w:firstLine="420"/>
        <w:rPr>
          <w:rFonts w:ascii="Times New Roman"/>
        </w:rPr>
        <w:sectPr>
          <w:pgSz w:w="11906" w:h="16838"/>
          <w:pgMar w:top="2410" w:right="1134" w:bottom="1134" w:left="1134" w:header="1418" w:footer="1134" w:gutter="284"/>
          <w:pgNumType w:start="1"/>
          <w:cols w:space="425" w:num="1"/>
          <w:formProt w:val="0"/>
          <w:docGrid w:linePitch="312" w:charSpace="0"/>
        </w:sectPr>
      </w:pPr>
      <w:r>
        <w:rPr>
          <w:rFonts w:hint="eastAsia" w:ascii="Times New Roman"/>
        </w:rPr>
        <w:t>空气湿度较高时，银杏叶片易回潮，贮藏期间，应经常检查，发现回潮要及时晾晒。</w:t>
      </w:r>
    </w:p>
    <w:bookmarkEnd w:id="23"/>
    <w:p>
      <w:pPr>
        <w:pStyle w:val="198"/>
        <w:rPr>
          <w:rFonts w:ascii="Times New Roman" w:hAnsi="Times New Roman"/>
          <w:vanish w:val="0"/>
        </w:rPr>
      </w:pPr>
      <w:bookmarkStart w:id="42" w:name="BookMark5"/>
    </w:p>
    <w:bookmarkEnd w:id="42"/>
    <w:p>
      <w:pPr>
        <w:pStyle w:val="63"/>
        <w:spacing w:before="96" w:after="120"/>
        <w:rPr>
          <w:rFonts w:ascii="Times New Roman" w:hAnsi="Times New Roman"/>
        </w:rPr>
      </w:pPr>
      <w:bookmarkStart w:id="43" w:name="BookMark6"/>
      <w:r>
        <w:rPr>
          <w:rFonts w:ascii="Times New Roman" w:hAnsi="Times New Roman"/>
          <w:spacing w:val="105"/>
        </w:rPr>
        <w:t>参考文</w:t>
      </w:r>
      <w:r>
        <w:rPr>
          <w:rFonts w:ascii="Times New Roman" w:hAnsi="Times New Roman"/>
        </w:rPr>
        <w:t>献</w:t>
      </w:r>
    </w:p>
    <w:p>
      <w:pPr>
        <w:pStyle w:val="56"/>
        <w:numPr>
          <w:ilvl w:val="3"/>
          <w:numId w:val="6"/>
        </w:numPr>
        <w:ind w:left="0" w:firstLine="0" w:firstLineChars="0"/>
        <w:rPr>
          <w:rFonts w:ascii="Times New Roman"/>
        </w:rPr>
      </w:pPr>
      <w:r>
        <w:rPr>
          <w:rFonts w:ascii="Times New Roman"/>
        </w:rPr>
        <w:t>《中华人民共和国药典（2020版）》第一部  银杏叶</w:t>
      </w:r>
    </w:p>
    <w:p>
      <w:pPr>
        <w:pStyle w:val="56"/>
        <w:numPr>
          <w:ilvl w:val="3"/>
          <w:numId w:val="6"/>
        </w:numPr>
        <w:ind w:left="0" w:firstLine="0" w:firstLineChars="0"/>
        <w:rPr>
          <w:rFonts w:ascii="Times New Roman"/>
        </w:rPr>
      </w:pPr>
      <w:r>
        <w:rPr>
          <w:rFonts w:ascii="Times New Roman"/>
        </w:rPr>
        <w:t>定量包装商品计量监督管理办法 国家质量监督检验检疫总局第75号（2005）</w:t>
      </w:r>
    </w:p>
    <w:bookmarkEnd w:id="43"/>
    <w:p>
      <w:pPr>
        <w:pStyle w:val="56"/>
        <w:ind w:firstLine="0" w:firstLineChars="0"/>
        <w:jc w:val="center"/>
      </w:pPr>
      <w:bookmarkStart w:id="4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GH/T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GH/T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ZDlmZTNjNGQxNDEzYmFmY2U3OGQwNTgxZTAyYTYifQ=="/>
  </w:docVars>
  <w:rsids>
    <w:rsidRoot w:val="00362D0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C7A"/>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5619"/>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3C8"/>
    <w:rsid w:val="001F092D"/>
    <w:rsid w:val="001F143A"/>
    <w:rsid w:val="001F1605"/>
    <w:rsid w:val="001F2508"/>
    <w:rsid w:val="001F3BAA"/>
    <w:rsid w:val="001F4816"/>
    <w:rsid w:val="001F69B4"/>
    <w:rsid w:val="001F77C7"/>
    <w:rsid w:val="00200183"/>
    <w:rsid w:val="0020107D"/>
    <w:rsid w:val="00202AA4"/>
    <w:rsid w:val="002031F7"/>
    <w:rsid w:val="002040E6"/>
    <w:rsid w:val="0020527B"/>
    <w:rsid w:val="00205F2C"/>
    <w:rsid w:val="00206967"/>
    <w:rsid w:val="00210B15"/>
    <w:rsid w:val="00211B1A"/>
    <w:rsid w:val="002142EA"/>
    <w:rsid w:val="002204BB"/>
    <w:rsid w:val="00220937"/>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3A8"/>
    <w:rsid w:val="003615D2"/>
    <w:rsid w:val="00362D09"/>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D6E"/>
    <w:rsid w:val="00392AD7"/>
    <w:rsid w:val="003938D9"/>
    <w:rsid w:val="00394376"/>
    <w:rsid w:val="003943FF"/>
    <w:rsid w:val="003974EB"/>
    <w:rsid w:val="00397CC5"/>
    <w:rsid w:val="003A1582"/>
    <w:rsid w:val="003A4077"/>
    <w:rsid w:val="003B09AD"/>
    <w:rsid w:val="003B0BD9"/>
    <w:rsid w:val="003B1F18"/>
    <w:rsid w:val="003B4C00"/>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59AB"/>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18A0"/>
    <w:rsid w:val="00672060"/>
    <w:rsid w:val="00672BFD"/>
    <w:rsid w:val="006770F4"/>
    <w:rsid w:val="00677A84"/>
    <w:rsid w:val="0068026D"/>
    <w:rsid w:val="00680A16"/>
    <w:rsid w:val="00680A27"/>
    <w:rsid w:val="006816A4"/>
    <w:rsid w:val="006819B8"/>
    <w:rsid w:val="006840A6"/>
    <w:rsid w:val="006850CD"/>
    <w:rsid w:val="00685AAB"/>
    <w:rsid w:val="006A07AA"/>
    <w:rsid w:val="006A25E5"/>
    <w:rsid w:val="006A2B46"/>
    <w:rsid w:val="006A336D"/>
    <w:rsid w:val="006A37B9"/>
    <w:rsid w:val="006A690E"/>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4F6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C728F"/>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46D"/>
    <w:rsid w:val="009429D5"/>
    <w:rsid w:val="00942BF1"/>
    <w:rsid w:val="00945180"/>
    <w:rsid w:val="00945428"/>
    <w:rsid w:val="0094607B"/>
    <w:rsid w:val="0095098C"/>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6CD3"/>
    <w:rsid w:val="00A30EFC"/>
    <w:rsid w:val="00A31984"/>
    <w:rsid w:val="00A32D73"/>
    <w:rsid w:val="00A3367B"/>
    <w:rsid w:val="00A34339"/>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5BD8"/>
    <w:rsid w:val="00A76D03"/>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301B"/>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83F"/>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228C"/>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11BA"/>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3F78"/>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6D9F"/>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4C0"/>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FA2D68"/>
    <w:rsid w:val="07482B3C"/>
    <w:rsid w:val="0CAF1F0E"/>
    <w:rsid w:val="0FB33BFA"/>
    <w:rsid w:val="13836830"/>
    <w:rsid w:val="1B211399"/>
    <w:rsid w:val="1E3F304C"/>
    <w:rsid w:val="233C1021"/>
    <w:rsid w:val="27BA6A3B"/>
    <w:rsid w:val="27D2089B"/>
    <w:rsid w:val="2B940DA8"/>
    <w:rsid w:val="339F04B3"/>
    <w:rsid w:val="3420702C"/>
    <w:rsid w:val="345010CF"/>
    <w:rsid w:val="38085FF7"/>
    <w:rsid w:val="3C28687E"/>
    <w:rsid w:val="3E0A5F14"/>
    <w:rsid w:val="3E882245"/>
    <w:rsid w:val="41B845BF"/>
    <w:rsid w:val="432828D4"/>
    <w:rsid w:val="47307948"/>
    <w:rsid w:val="4B770CD1"/>
    <w:rsid w:val="4C6205A3"/>
    <w:rsid w:val="57BF3EA4"/>
    <w:rsid w:val="5E863B9B"/>
    <w:rsid w:val="60B86EF3"/>
    <w:rsid w:val="67CE0498"/>
    <w:rsid w:val="6A5F488C"/>
    <w:rsid w:val="72542608"/>
    <w:rsid w:val="74230A02"/>
    <w:rsid w:val="77844DA7"/>
    <w:rsid w:val="77F4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6"/>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autoRedefine/>
    <w:qFormat/>
    <w:uiPriority w:val="0"/>
    <w:pPr>
      <w:ind w:firstLine="4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3"/>
    <w:autoRedefine/>
    <w:qFormat/>
    <w:uiPriority w:val="0"/>
    <w:rPr>
      <w:rFonts w:ascii="Times New Roman" w:hAnsi="Times New Roman" w:eastAsia="宋体" w:cs="Times New Roman"/>
      <w:b/>
      <w:bCs/>
      <w:kern w:val="44"/>
      <w:sz w:val="44"/>
      <w:szCs w:val="44"/>
    </w:rPr>
  </w:style>
  <w:style w:type="character" w:customStyle="1" w:styleId="35">
    <w:name w:val="标题 2 字符"/>
    <w:link w:val="4"/>
    <w:autoRedefine/>
    <w:qFormat/>
    <w:uiPriority w:val="0"/>
    <w:rPr>
      <w:rFonts w:ascii="Arial" w:hAnsi="Arial" w:eastAsia="黑体" w:cs="Times New Roman"/>
      <w:b/>
      <w:bCs/>
      <w:sz w:val="32"/>
      <w:szCs w:val="32"/>
    </w:rPr>
  </w:style>
  <w:style w:type="character" w:customStyle="1" w:styleId="36">
    <w:name w:val="标题 3 字符"/>
    <w:link w:val="5"/>
    <w:autoRedefine/>
    <w:qFormat/>
    <w:uiPriority w:val="0"/>
    <w:rPr>
      <w:rFonts w:ascii="Times New Roman" w:hAnsi="Times New Roman" w:eastAsia="宋体" w:cs="Times New Roman"/>
      <w:b/>
      <w:bCs/>
      <w:sz w:val="32"/>
      <w:szCs w:val="32"/>
    </w:rPr>
  </w:style>
  <w:style w:type="character" w:customStyle="1" w:styleId="37">
    <w:name w:val="标题 4 字符"/>
    <w:link w:val="6"/>
    <w:autoRedefine/>
    <w:qFormat/>
    <w:uiPriority w:val="0"/>
    <w:rPr>
      <w:rFonts w:ascii="Arial" w:hAnsi="Arial" w:eastAsia="黑体" w:cs="Times New Roman"/>
      <w:b/>
      <w:bCs/>
      <w:sz w:val="28"/>
      <w:szCs w:val="28"/>
    </w:rPr>
  </w:style>
  <w:style w:type="character" w:customStyle="1" w:styleId="38">
    <w:name w:val="标题 5 字符"/>
    <w:link w:val="7"/>
    <w:autoRedefine/>
    <w:qFormat/>
    <w:uiPriority w:val="0"/>
    <w:rPr>
      <w:rFonts w:ascii="Times New Roman" w:hAnsi="Times New Roman" w:eastAsia="宋体" w:cs="Times New Roman"/>
      <w:b/>
      <w:bCs/>
      <w:sz w:val="28"/>
      <w:szCs w:val="28"/>
    </w:rPr>
  </w:style>
  <w:style w:type="character" w:customStyle="1" w:styleId="39">
    <w:name w:val="标题 6 字符"/>
    <w:link w:val="8"/>
    <w:qFormat/>
    <w:uiPriority w:val="0"/>
    <w:rPr>
      <w:rFonts w:ascii="Arial" w:hAnsi="Arial" w:eastAsia="黑体" w:cs="Times New Roman"/>
      <w:b/>
      <w:bCs/>
      <w:sz w:val="24"/>
      <w:szCs w:val="24"/>
    </w:rPr>
  </w:style>
  <w:style w:type="character" w:customStyle="1" w:styleId="40">
    <w:name w:val="标题 7 字符"/>
    <w:link w:val="9"/>
    <w:qFormat/>
    <w:uiPriority w:val="0"/>
    <w:rPr>
      <w:rFonts w:ascii="Times New Roman" w:hAnsi="Times New Roman" w:eastAsia="宋体" w:cs="Times New Roman"/>
      <w:b/>
      <w:bCs/>
      <w:sz w:val="24"/>
      <w:szCs w:val="24"/>
    </w:rPr>
  </w:style>
  <w:style w:type="character" w:customStyle="1" w:styleId="41">
    <w:name w:val="标题 8 字符"/>
    <w:link w:val="10"/>
    <w:qFormat/>
    <w:uiPriority w:val="0"/>
    <w:rPr>
      <w:rFonts w:ascii="Arial" w:hAnsi="Arial" w:eastAsia="黑体" w:cs="Times New Roman"/>
      <w:sz w:val="24"/>
      <w:szCs w:val="24"/>
    </w:rPr>
  </w:style>
  <w:style w:type="character" w:customStyle="1" w:styleId="42">
    <w:name w:val="标题 9 字符"/>
    <w:link w:val="11"/>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2"/>
    <w:autoRedefine/>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98AB1769DC41A59D0B1C4FF1FE4D09"/>
        <w:style w:val=""/>
        <w:category>
          <w:name w:val="常规"/>
          <w:gallery w:val="placeholder"/>
        </w:category>
        <w:types>
          <w:type w:val="bbPlcHdr"/>
        </w:types>
        <w:behaviors>
          <w:behavior w:val="content"/>
        </w:behaviors>
        <w:description w:val=""/>
        <w:guid w:val="{99FF9062-DFE9-4FE0-AE11-9ECF5F1B708F}"/>
      </w:docPartPr>
      <w:docPartBody>
        <w:p>
          <w:pPr>
            <w:pStyle w:val="5"/>
          </w:pPr>
          <w:r>
            <w:rPr>
              <w:rStyle w:val="4"/>
              <w:rFonts w:hint="eastAsia"/>
            </w:rPr>
            <w:t>单击或点击此处输入文字。</w:t>
          </w:r>
        </w:p>
      </w:docPartBody>
    </w:docPart>
    <w:docPart>
      <w:docPartPr>
        <w:name w:val="19A21ACAC66246C0AC6A5FF0D434C7CB"/>
        <w:style w:val=""/>
        <w:category>
          <w:name w:val="常规"/>
          <w:gallery w:val="placeholder"/>
        </w:category>
        <w:types>
          <w:type w:val="bbPlcHdr"/>
        </w:types>
        <w:behaviors>
          <w:behavior w:val="content"/>
        </w:behaviors>
        <w:description w:val=""/>
        <w:guid w:val="{5D8D0C24-145D-4DF8-8F05-9157339E3501}"/>
      </w:docPartPr>
      <w:docPartBody>
        <w:p>
          <w:pPr>
            <w:pStyle w:val="6"/>
          </w:pPr>
          <w:r>
            <w:rPr>
              <w:rStyle w:val="4"/>
              <w:rFonts w:hint="eastAsia"/>
            </w:rPr>
            <w:t>选择一项。</w:t>
          </w:r>
        </w:p>
      </w:docPartBody>
    </w:docPart>
    <w:docPart>
      <w:docPartPr>
        <w:name w:val="E430F6B55A13412F8C85AA9DA4062738"/>
        <w:style w:val=""/>
        <w:category>
          <w:name w:val="常规"/>
          <w:gallery w:val="placeholder"/>
        </w:category>
        <w:types>
          <w:type w:val="bbPlcHdr"/>
        </w:types>
        <w:behaviors>
          <w:behavior w:val="content"/>
        </w:behaviors>
        <w:description w:val=""/>
        <w:guid w:val="{AA0B8553-3D2D-4A2F-804E-11965B302B9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48"/>
    <w:rsid w:val="00403B6E"/>
    <w:rsid w:val="00496248"/>
    <w:rsid w:val="004E2D7F"/>
    <w:rsid w:val="005D72E4"/>
    <w:rsid w:val="005F4474"/>
    <w:rsid w:val="00763933"/>
    <w:rsid w:val="00B268AB"/>
    <w:rsid w:val="00D14A5E"/>
    <w:rsid w:val="00D3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98AB1769DC41A59D0B1C4FF1FE4D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9A21ACAC66246C0AC6A5FF0D434C7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430F6B55A13412F8C85AA9DA406273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89F1B-DAB3-4D9D-831B-D8E93E3C6D08}">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7</Pages>
  <Words>2498</Words>
  <Characters>2814</Characters>
  <Lines>24</Lines>
  <Paragraphs>6</Paragraphs>
  <TotalTime>1</TotalTime>
  <ScaleCrop>false</ScaleCrop>
  <LinksUpToDate>false</LinksUpToDate>
  <CharactersWithSpaces>2894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2023-05-05T02:08:00Z</dcterms:created>
  <dc:creator>席兴军</dc:creator>
  <dc:description>&lt;config cover="true" show_menu="true" version="1.0.0" doctype="SDKXY"&gt;_x000d_
&lt;/config&gt;</dc:description>
  <cp:lastModifiedBy>席兴军</cp:lastModifiedBy>
  <cp:lastPrinted>2022-04-20T02:07:00Z</cp:lastPrinted>
  <dcterms:modified xsi:type="dcterms:W3CDTF">2024-09-30T07:49:09Z</dcterms:modified>
  <dc:title>行业标准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2052-12.1.0.16894</vt:lpwstr>
  </property>
  <property fmtid="{D5CDD505-2E9C-101B-9397-08002B2CF9AE}" pid="15" name="ICV">
    <vt:lpwstr>49A1085A750941AD98F837FF566C38BB_13</vt:lpwstr>
  </property>
  <property fmtid="{D5CDD505-2E9C-101B-9397-08002B2CF9AE}" pid="16" name="commondata">
    <vt:lpwstr>eyJoZGlkIjoiN2FiZDlmZTNjNGQxNDEzYmFmY2U3OGQwNTgxZTAyYTYifQ==</vt:lpwstr>
  </property>
</Properties>
</file>