
<file path=[Content_Types].xml><?xml version="1.0" encoding="utf-8"?>
<Types xmlns="http://schemas.openxmlformats.org/package/2006/content-types">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12535">
      <w:pPr>
        <w:ind w:firstLine="480"/>
        <w:jc w:val="center"/>
        <w:rPr>
          <w:rFonts w:ascii="宋体" w:hAnsi="宋体"/>
          <w:color w:val="000000"/>
        </w:rPr>
      </w:pPr>
      <w:r>
        <w:rPr>
          <w:rFonts w:hint="eastAsia" w:ascii="宋体" w:hAnsi="宋体"/>
          <w:color w:val="000000"/>
        </w:rPr>
        <w:t xml:space="preserve"> </w:t>
      </w:r>
    </w:p>
    <w:p w14:paraId="2EB570F0">
      <w:pPr>
        <w:ind w:firstLine="1040"/>
        <w:rPr>
          <w:rFonts w:ascii="黑体" w:eastAsia="黑体"/>
          <w:sz w:val="52"/>
          <w:szCs w:val="52"/>
        </w:rPr>
      </w:pPr>
    </w:p>
    <w:p w14:paraId="18A57E33">
      <w:pPr>
        <w:ind w:firstLine="960"/>
        <w:jc w:val="center"/>
        <w:rPr>
          <w:rFonts w:ascii="黑体" w:hAnsi="黑体" w:eastAsia="黑体"/>
          <w:sz w:val="48"/>
          <w:szCs w:val="48"/>
          <w:highlight w:val="none"/>
        </w:rPr>
      </w:pPr>
      <w:r>
        <w:rPr>
          <w:rFonts w:hint="eastAsia" w:ascii="黑体" w:hAnsi="黑体" w:eastAsia="黑体"/>
          <w:sz w:val="48"/>
          <w:szCs w:val="48"/>
          <w:highlight w:val="none"/>
        </w:rPr>
        <w:t>《进入二氧化碳管道</w:t>
      </w:r>
      <w:r>
        <w:rPr>
          <w:rFonts w:hint="eastAsia" w:ascii="黑体" w:hAnsi="黑体" w:eastAsia="黑体"/>
          <w:sz w:val="48"/>
          <w:szCs w:val="48"/>
          <w:highlight w:val="none"/>
          <w:lang w:val="en-US" w:eastAsia="zh-CN"/>
        </w:rPr>
        <w:t>的</w:t>
      </w:r>
      <w:r>
        <w:rPr>
          <w:rFonts w:hint="eastAsia" w:ascii="黑体" w:hAnsi="黑体" w:eastAsia="黑体"/>
          <w:sz w:val="48"/>
          <w:szCs w:val="48"/>
          <w:highlight w:val="none"/>
        </w:rPr>
        <w:t>介质质量要求》国家标准</w:t>
      </w:r>
      <w:r>
        <w:rPr>
          <w:rFonts w:hint="eastAsia" w:ascii="黑体" w:hAnsi="黑体" w:eastAsia="黑体"/>
          <w:sz w:val="48"/>
          <w:szCs w:val="48"/>
          <w:highlight w:val="none"/>
          <w:lang w:val="en-US" w:eastAsia="zh-CN"/>
        </w:rPr>
        <w:t>征求意见</w:t>
      </w:r>
      <w:r>
        <w:rPr>
          <w:rFonts w:hint="eastAsia" w:ascii="黑体" w:hAnsi="黑体" w:eastAsia="黑体"/>
          <w:sz w:val="48"/>
          <w:szCs w:val="48"/>
          <w:highlight w:val="none"/>
        </w:rPr>
        <w:t>稿编制说明</w:t>
      </w:r>
    </w:p>
    <w:p w14:paraId="6EFA26D3">
      <w:pPr>
        <w:ind w:firstLine="562"/>
        <w:rPr>
          <w:rFonts w:ascii="宋体" w:hAnsi="宋体"/>
          <w:b/>
          <w:color w:val="000000"/>
          <w:sz w:val="28"/>
        </w:rPr>
      </w:pPr>
    </w:p>
    <w:p w14:paraId="18E69EC4">
      <w:pPr>
        <w:ind w:firstLine="562"/>
        <w:rPr>
          <w:rFonts w:ascii="宋体" w:hAnsi="宋体"/>
          <w:b/>
          <w:color w:val="000000"/>
          <w:sz w:val="28"/>
        </w:rPr>
      </w:pPr>
    </w:p>
    <w:p w14:paraId="25721922">
      <w:pPr>
        <w:ind w:firstLine="562"/>
        <w:rPr>
          <w:rFonts w:ascii="宋体" w:hAnsi="宋体"/>
          <w:b/>
          <w:color w:val="000000"/>
          <w:sz w:val="28"/>
        </w:rPr>
      </w:pPr>
    </w:p>
    <w:p w14:paraId="2532056E">
      <w:pPr>
        <w:ind w:firstLine="562"/>
        <w:rPr>
          <w:rFonts w:ascii="宋体" w:hAnsi="宋体"/>
          <w:b/>
          <w:color w:val="000000"/>
          <w:sz w:val="28"/>
        </w:rPr>
      </w:pPr>
    </w:p>
    <w:p w14:paraId="6C5EA4B9">
      <w:pPr>
        <w:ind w:firstLine="562"/>
        <w:rPr>
          <w:rFonts w:ascii="宋体" w:hAnsi="宋体"/>
          <w:b/>
          <w:color w:val="000000"/>
          <w:sz w:val="28"/>
        </w:rPr>
      </w:pPr>
    </w:p>
    <w:p w14:paraId="56B4F9A5">
      <w:pPr>
        <w:ind w:firstLine="562"/>
        <w:rPr>
          <w:rFonts w:ascii="宋体" w:hAnsi="宋体"/>
          <w:b/>
          <w:color w:val="000000"/>
          <w:sz w:val="28"/>
        </w:rPr>
      </w:pPr>
    </w:p>
    <w:p w14:paraId="2BBD6EE0">
      <w:pPr>
        <w:ind w:firstLine="562"/>
        <w:rPr>
          <w:rFonts w:ascii="宋体" w:hAnsi="宋体"/>
          <w:b/>
          <w:color w:val="000000"/>
          <w:sz w:val="28"/>
        </w:rPr>
      </w:pPr>
    </w:p>
    <w:p w14:paraId="6974FF66">
      <w:pPr>
        <w:ind w:firstLine="562"/>
        <w:rPr>
          <w:rFonts w:ascii="宋体" w:hAnsi="宋体"/>
          <w:b/>
          <w:color w:val="000000"/>
          <w:sz w:val="28"/>
        </w:rPr>
      </w:pPr>
    </w:p>
    <w:p w14:paraId="02946A74">
      <w:pPr>
        <w:ind w:firstLine="562"/>
        <w:rPr>
          <w:rFonts w:ascii="宋体" w:hAnsi="宋体"/>
          <w:b/>
          <w:color w:val="000000"/>
          <w:sz w:val="28"/>
        </w:rPr>
      </w:pPr>
    </w:p>
    <w:p w14:paraId="6D1BD80A">
      <w:pPr>
        <w:ind w:firstLine="562"/>
        <w:rPr>
          <w:rFonts w:ascii="宋体" w:hAnsi="宋体"/>
          <w:b/>
          <w:color w:val="000000"/>
          <w:sz w:val="28"/>
        </w:rPr>
      </w:pPr>
    </w:p>
    <w:p w14:paraId="5B257B6F">
      <w:pPr>
        <w:ind w:firstLine="562"/>
        <w:rPr>
          <w:rFonts w:ascii="宋体" w:hAnsi="宋体"/>
          <w:b/>
          <w:color w:val="000000"/>
          <w:sz w:val="28"/>
        </w:rPr>
      </w:pPr>
    </w:p>
    <w:p w14:paraId="516FA0CA">
      <w:pPr>
        <w:ind w:firstLine="562"/>
        <w:rPr>
          <w:rFonts w:ascii="宋体" w:hAnsi="宋体"/>
          <w:b/>
          <w:color w:val="000000"/>
          <w:sz w:val="28"/>
        </w:rPr>
      </w:pPr>
    </w:p>
    <w:p w14:paraId="4586AD59">
      <w:pPr>
        <w:ind w:firstLine="562"/>
        <w:rPr>
          <w:rFonts w:ascii="宋体" w:hAnsi="宋体"/>
          <w:b/>
          <w:color w:val="000000"/>
          <w:sz w:val="28"/>
        </w:rPr>
      </w:pPr>
    </w:p>
    <w:p w14:paraId="76D525B6">
      <w:pPr>
        <w:ind w:firstLine="562"/>
        <w:rPr>
          <w:rFonts w:ascii="宋体" w:hAnsi="宋体"/>
          <w:b/>
          <w:color w:val="000000"/>
          <w:sz w:val="28"/>
        </w:rPr>
      </w:pPr>
    </w:p>
    <w:p w14:paraId="416FF536">
      <w:pPr>
        <w:ind w:firstLine="562"/>
        <w:rPr>
          <w:rFonts w:ascii="宋体" w:hAnsi="宋体"/>
          <w:b/>
          <w:color w:val="000000"/>
          <w:sz w:val="28"/>
        </w:rPr>
      </w:pPr>
    </w:p>
    <w:p w14:paraId="26AF4F5F">
      <w:pPr>
        <w:ind w:firstLine="640"/>
        <w:jc w:val="center"/>
        <w:rPr>
          <w:rFonts w:ascii="宋体" w:hAnsi="宋体"/>
          <w:color w:val="000000"/>
          <w:sz w:val="32"/>
          <w:szCs w:val="32"/>
        </w:rPr>
      </w:pPr>
      <w:r>
        <w:rPr>
          <w:rFonts w:hint="eastAsia" w:ascii="宋体" w:hAnsi="宋体"/>
          <w:color w:val="000000"/>
          <w:sz w:val="32"/>
          <w:szCs w:val="32"/>
        </w:rPr>
        <w:t>二</w:t>
      </w:r>
      <w:r>
        <w:rPr>
          <w:rFonts w:ascii="宋体" w:hAnsi="宋体"/>
          <w:bCs/>
          <w:color w:val="000000"/>
          <w:sz w:val="32"/>
          <w:szCs w:val="32"/>
        </w:rPr>
        <w:t>〇</w:t>
      </w:r>
      <w:r>
        <w:rPr>
          <w:rFonts w:hint="eastAsia" w:ascii="宋体" w:hAnsi="宋体"/>
          <w:bCs/>
          <w:color w:val="000000"/>
          <w:sz w:val="32"/>
          <w:szCs w:val="32"/>
        </w:rPr>
        <w:t>二四</w:t>
      </w:r>
      <w:r>
        <w:rPr>
          <w:rFonts w:hint="eastAsia" w:ascii="宋体" w:hAnsi="宋体"/>
          <w:color w:val="000000"/>
          <w:sz w:val="32"/>
          <w:szCs w:val="32"/>
        </w:rPr>
        <w:t>年十</w:t>
      </w:r>
      <w:r>
        <w:rPr>
          <w:rFonts w:hint="eastAsia" w:ascii="宋体" w:hAnsi="宋体"/>
          <w:color w:val="000000"/>
          <w:sz w:val="32"/>
          <w:szCs w:val="32"/>
          <w:lang w:val="en-US" w:eastAsia="zh-CN"/>
        </w:rPr>
        <w:t>二</w:t>
      </w:r>
      <w:r>
        <w:rPr>
          <w:rFonts w:hint="eastAsia" w:ascii="宋体" w:hAnsi="宋体"/>
          <w:color w:val="000000"/>
          <w:sz w:val="32"/>
          <w:szCs w:val="32"/>
        </w:rPr>
        <w:t>月</w:t>
      </w:r>
    </w:p>
    <w:p w14:paraId="2DA0D2C7">
      <w:pPr>
        <w:ind w:firstLine="482"/>
        <w:rPr>
          <w:rFonts w:ascii="宋体" w:hAnsi="宋体"/>
          <w:b/>
          <w:color w:val="000000"/>
          <w:szCs w:val="21"/>
        </w:rPr>
        <w:sectPr>
          <w:footerReference r:id="rId5" w:type="default"/>
          <w:footerReference r:id="rId6" w:type="even"/>
          <w:pgSz w:w="11907" w:h="16840"/>
          <w:pgMar w:top="1701" w:right="1418" w:bottom="1247" w:left="1418" w:header="851" w:footer="992" w:gutter="0"/>
          <w:pgNumType w:start="1"/>
          <w:cols w:space="720" w:num="1"/>
          <w:titlePg/>
          <w:docGrid w:type="linesAndChars" w:linePitch="312" w:charSpace="0"/>
        </w:sectPr>
      </w:pPr>
    </w:p>
    <w:p w14:paraId="21BD93C8">
      <w:pPr>
        <w:pStyle w:val="18"/>
        <w:ind w:firstLine="643"/>
        <w:jc w:val="center"/>
        <w:rPr>
          <w:rFonts w:ascii="黑体" w:hAnsi="宋体" w:eastAsia="黑体"/>
          <w:color w:val="000000"/>
          <w:sz w:val="32"/>
          <w:szCs w:val="32"/>
        </w:rPr>
      </w:pPr>
      <w:r>
        <w:rPr>
          <w:rFonts w:hint="eastAsia" w:ascii="黑体" w:hAnsi="宋体" w:eastAsia="黑体"/>
          <w:color w:val="000000"/>
          <w:sz w:val="32"/>
          <w:szCs w:val="32"/>
        </w:rPr>
        <w:t>目次</w:t>
      </w:r>
    </w:p>
    <w:p w14:paraId="7229B48D">
      <w:pPr>
        <w:pStyle w:val="18"/>
        <w:keepNext w:val="0"/>
        <w:keepLines w:val="0"/>
        <w:pageBreakBefore w:val="0"/>
        <w:widowControl w:val="0"/>
        <w:tabs>
          <w:tab w:val="right" w:leader="dot" w:pos="8302"/>
        </w:tabs>
        <w:kinsoku/>
        <w:wordWrap/>
        <w:overflowPunct/>
        <w:topLinePunct w:val="0"/>
        <w:autoSpaceDE/>
        <w:autoSpaceDN/>
        <w:bidi w:val="0"/>
        <w:adjustRightInd/>
        <w:snapToGrid/>
        <w:ind w:left="0" w:leftChars="0" w:firstLine="360" w:firstLineChars="150"/>
        <w:textAlignment w:val="auto"/>
        <w:rPr>
          <w:rFonts w:asciiTheme="minorHAnsi" w:hAnsiTheme="minorHAnsi" w:eastAsiaTheme="minorEastAsia" w:cstheme="minorBidi"/>
          <w:b w:val="0"/>
          <w:bCs w:val="0"/>
          <w:caps w:val="0"/>
          <w:sz w:val="21"/>
          <w:szCs w:val="22"/>
          <w14:ligatures w14:val="standardContextual"/>
        </w:rPr>
      </w:pPr>
      <w:r>
        <w:rPr>
          <w:rStyle w:val="32"/>
          <w:rFonts w:ascii="宋体" w:hAnsi="宋体"/>
          <w:bCs w:val="0"/>
          <w:caps w:val="0"/>
          <w:sz w:val="24"/>
          <w:szCs w:val="24"/>
        </w:rPr>
        <w:fldChar w:fldCharType="begin"/>
      </w:r>
      <w:r>
        <w:rPr>
          <w:rStyle w:val="32"/>
          <w:rFonts w:ascii="宋体" w:hAnsi="宋体"/>
          <w:bCs w:val="0"/>
          <w:caps w:val="0"/>
          <w:sz w:val="24"/>
          <w:szCs w:val="24"/>
        </w:rPr>
        <w:instrText xml:space="preserve"> TOC \o "1-1" \h \z \u </w:instrText>
      </w:r>
      <w:r>
        <w:rPr>
          <w:rStyle w:val="32"/>
          <w:rFonts w:ascii="宋体" w:hAnsi="宋体"/>
          <w:bCs w:val="0"/>
          <w:caps w:val="0"/>
          <w:sz w:val="24"/>
          <w:szCs w:val="24"/>
        </w:rPr>
        <w:fldChar w:fldCharType="separate"/>
      </w:r>
      <w:r>
        <w:fldChar w:fldCharType="begin"/>
      </w:r>
      <w:r>
        <w:instrText xml:space="preserve"> HYPERLINK \l "_Toc186037012" </w:instrText>
      </w:r>
      <w:r>
        <w:fldChar w:fldCharType="separate"/>
      </w:r>
      <w:r>
        <w:rPr>
          <w:rStyle w:val="32"/>
          <w:rFonts w:hint="eastAsia"/>
        </w:rPr>
        <w:t>一、工作简况</w:t>
      </w:r>
      <w:r>
        <w:tab/>
      </w:r>
      <w:r>
        <w:fldChar w:fldCharType="begin"/>
      </w:r>
      <w:r>
        <w:instrText xml:space="preserve"> PAGEREF _Toc186037012 \h </w:instrText>
      </w:r>
      <w:r>
        <w:fldChar w:fldCharType="separate"/>
      </w:r>
      <w:r>
        <w:t>2</w:t>
      </w:r>
      <w:r>
        <w:fldChar w:fldCharType="end"/>
      </w:r>
      <w:r>
        <w:fldChar w:fldCharType="end"/>
      </w:r>
    </w:p>
    <w:p w14:paraId="2170ECF4">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"_Toc186037013" </w:instrText>
      </w:r>
      <w:r>
        <w:fldChar w:fldCharType="separate"/>
      </w:r>
      <w:r>
        <w:rPr>
          <w:rStyle w:val="32"/>
          <w:rFonts w:hint="eastAsia"/>
        </w:rPr>
        <w:t>二、国家标准编制原则和确定国家标准主要内容</w:t>
      </w:r>
      <w:r>
        <w:tab/>
      </w:r>
      <w:r>
        <w:fldChar w:fldCharType="begin"/>
      </w:r>
      <w:r>
        <w:instrText xml:space="preserve"> PAGEREF _Toc186037013 \h </w:instrText>
      </w:r>
      <w:r>
        <w:fldChar w:fldCharType="separate"/>
      </w:r>
      <w:r>
        <w:t>5</w:t>
      </w:r>
      <w:r>
        <w:fldChar w:fldCharType="end"/>
      </w:r>
      <w:r>
        <w:fldChar w:fldCharType="end"/>
      </w:r>
    </w:p>
    <w:p w14:paraId="7D24ECA7">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"_Toc186037014" </w:instrText>
      </w:r>
      <w:r>
        <w:fldChar w:fldCharType="separate"/>
      </w:r>
      <w:r>
        <w:rPr>
          <w:rStyle w:val="32"/>
          <w:rFonts w:hint="eastAsia"/>
        </w:rPr>
        <w:t>三、主要试验（或验证）的分析、综述报告，技术经济论证，预期的经济效果</w:t>
      </w:r>
      <w:r>
        <w:tab/>
      </w:r>
      <w:r>
        <w:fldChar w:fldCharType="begin"/>
      </w:r>
      <w:r>
        <w:instrText xml:space="preserve"> PAGEREF _Toc186037014 \h </w:instrText>
      </w:r>
      <w:r>
        <w:fldChar w:fldCharType="separate"/>
      </w:r>
      <w:r>
        <w:t>12</w:t>
      </w:r>
      <w:r>
        <w:fldChar w:fldCharType="end"/>
      </w:r>
      <w:r>
        <w:fldChar w:fldCharType="end"/>
      </w:r>
    </w:p>
    <w:p w14:paraId="7337F7EC">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"_Toc186037015" </w:instrText>
      </w:r>
      <w:r>
        <w:fldChar w:fldCharType="separate"/>
      </w:r>
      <w:r>
        <w:rPr>
          <w:rStyle w:val="32"/>
          <w:rFonts w:hint="eastAsia"/>
        </w:rPr>
        <w:t>四、采用国际标准和国外先进标准的程度，以及与国际、国外同类标准水平的对比情况，或与测试的国外样品、样机的有关数据对比情况</w:t>
      </w:r>
      <w:r>
        <w:tab/>
      </w:r>
      <w:r>
        <w:fldChar w:fldCharType="begin"/>
      </w:r>
      <w:r>
        <w:instrText xml:space="preserve"> PAGEREF _Toc186037015 \h </w:instrText>
      </w:r>
      <w:r>
        <w:fldChar w:fldCharType="separate"/>
      </w:r>
      <w:r>
        <w:t>13</w:t>
      </w:r>
      <w:r>
        <w:fldChar w:fldCharType="end"/>
      </w:r>
      <w:r>
        <w:fldChar w:fldCharType="end"/>
      </w:r>
    </w:p>
    <w:p w14:paraId="257F2D18">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"_Toc186037016" </w:instrText>
      </w:r>
      <w:r>
        <w:fldChar w:fldCharType="separate"/>
      </w:r>
      <w:r>
        <w:rPr>
          <w:rStyle w:val="32"/>
          <w:rFonts w:hint="eastAsia"/>
        </w:rPr>
        <w:t>五、与有关的现行法律、法规和强制性国家标准的关系</w:t>
      </w:r>
      <w:r>
        <w:tab/>
      </w:r>
      <w:r>
        <w:fldChar w:fldCharType="begin"/>
      </w:r>
      <w:r>
        <w:instrText xml:space="preserve"> PAGEREF _Toc186037016 \h </w:instrText>
      </w:r>
      <w:r>
        <w:fldChar w:fldCharType="separate"/>
      </w:r>
      <w:r>
        <w:t>16</w:t>
      </w:r>
      <w:r>
        <w:fldChar w:fldCharType="end"/>
      </w:r>
      <w:r>
        <w:fldChar w:fldCharType="end"/>
      </w:r>
    </w:p>
    <w:p w14:paraId="432C4762">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"_Toc186037017" </w:instrText>
      </w:r>
      <w:r>
        <w:fldChar w:fldCharType="separate"/>
      </w:r>
      <w:r>
        <w:rPr>
          <w:rStyle w:val="32"/>
          <w:rFonts w:hint="eastAsia"/>
        </w:rPr>
        <w:t>六、重大分歧意见的处理经过和依据</w:t>
      </w:r>
      <w:r>
        <w:tab/>
      </w:r>
      <w:r>
        <w:fldChar w:fldCharType="begin"/>
      </w:r>
      <w:r>
        <w:instrText xml:space="preserve"> PAGEREF _Toc186037017 \h </w:instrText>
      </w:r>
      <w:r>
        <w:fldChar w:fldCharType="separate"/>
      </w:r>
      <w:r>
        <w:t>16</w:t>
      </w:r>
      <w:r>
        <w:fldChar w:fldCharType="end"/>
      </w:r>
      <w:r>
        <w:fldChar w:fldCharType="end"/>
      </w:r>
    </w:p>
    <w:p w14:paraId="4E2B5D81">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"_Toc186037018" </w:instrText>
      </w:r>
      <w:r>
        <w:fldChar w:fldCharType="separate"/>
      </w:r>
      <w:r>
        <w:rPr>
          <w:rStyle w:val="32"/>
          <w:rFonts w:hint="eastAsia"/>
        </w:rPr>
        <w:t>七、国家标准作为强制性国家标准或推荐性国家标准的建议</w:t>
      </w:r>
      <w:r>
        <w:tab/>
      </w:r>
      <w:r>
        <w:fldChar w:fldCharType="begin"/>
      </w:r>
      <w:r>
        <w:instrText xml:space="preserve"> PAGEREF _Toc186037018 \h </w:instrText>
      </w:r>
      <w:r>
        <w:fldChar w:fldCharType="separate"/>
      </w:r>
      <w:r>
        <w:t>16</w:t>
      </w:r>
      <w:r>
        <w:fldChar w:fldCharType="end"/>
      </w:r>
      <w:r>
        <w:fldChar w:fldCharType="end"/>
      </w:r>
    </w:p>
    <w:p w14:paraId="1A6ECAC1">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"_Toc186037019" </w:instrText>
      </w:r>
      <w:r>
        <w:fldChar w:fldCharType="separate"/>
      </w:r>
      <w:r>
        <w:rPr>
          <w:rStyle w:val="32"/>
          <w:rFonts w:hint="eastAsia"/>
        </w:rPr>
        <w:t>八、贯彻国家标准的要求和措施建议（包括组织措施、技术措施、过渡办法等内容）</w:t>
      </w:r>
      <w:r>
        <w:tab/>
      </w:r>
      <w:r>
        <w:fldChar w:fldCharType="begin"/>
      </w:r>
      <w:r>
        <w:instrText xml:space="preserve"> PAGEREF _Toc186037019 \h </w:instrText>
      </w:r>
      <w:r>
        <w:fldChar w:fldCharType="separate"/>
      </w:r>
      <w:r>
        <w:t>16</w:t>
      </w:r>
      <w:r>
        <w:fldChar w:fldCharType="end"/>
      </w:r>
      <w:r>
        <w:fldChar w:fldCharType="end"/>
      </w:r>
    </w:p>
    <w:p w14:paraId="162BE70D">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"_Toc186037020" </w:instrText>
      </w:r>
      <w:r>
        <w:fldChar w:fldCharType="separate"/>
      </w:r>
      <w:r>
        <w:rPr>
          <w:rStyle w:val="32"/>
          <w:rFonts w:hint="eastAsia"/>
        </w:rPr>
        <w:t>九、废止现行有关标准的建议</w:t>
      </w:r>
      <w:r>
        <w:tab/>
      </w:r>
      <w:r>
        <w:fldChar w:fldCharType="begin"/>
      </w:r>
      <w:r>
        <w:instrText xml:space="preserve"> PAGEREF _Toc186037020 \h </w:instrText>
      </w:r>
      <w:r>
        <w:fldChar w:fldCharType="separate"/>
      </w:r>
      <w:r>
        <w:t>17</w:t>
      </w:r>
      <w:r>
        <w:fldChar w:fldCharType="end"/>
      </w:r>
      <w:r>
        <w:fldChar w:fldCharType="end"/>
      </w:r>
    </w:p>
    <w:p w14:paraId="3290059A">
      <w:pPr>
        <w:pStyle w:val="18"/>
        <w:tabs>
          <w:tab w:val="right" w:leader="dot" w:pos="8302"/>
        </w:tabs>
        <w:ind w:firstLine="402"/>
        <w:rPr>
          <w:rFonts w:asciiTheme="minorHAnsi" w:hAnsiTheme="minorHAnsi" w:eastAsiaTheme="minorEastAsia" w:cstheme="minorBidi"/>
          <w:b w:val="0"/>
          <w:bCs w:val="0"/>
          <w:caps w:val="0"/>
          <w:sz w:val="21"/>
          <w:szCs w:val="22"/>
          <w14:ligatures w14:val="standardContextual"/>
        </w:rPr>
      </w:pPr>
      <w:r>
        <w:fldChar w:fldCharType="begin"/>
      </w:r>
      <w:r>
        <w:instrText xml:space="preserve"> HYPERLINK \l "_Toc186037021" </w:instrText>
      </w:r>
      <w:r>
        <w:fldChar w:fldCharType="separate"/>
      </w:r>
      <w:r>
        <w:rPr>
          <w:rStyle w:val="32"/>
          <w:rFonts w:hint="eastAsia"/>
        </w:rPr>
        <w:t>十、其他应予说明的事项</w:t>
      </w:r>
      <w:r>
        <w:tab/>
      </w:r>
      <w:r>
        <w:fldChar w:fldCharType="begin"/>
      </w:r>
      <w:r>
        <w:instrText xml:space="preserve"> PAGEREF _Toc186037021 \h </w:instrText>
      </w:r>
      <w:r>
        <w:fldChar w:fldCharType="separate"/>
      </w:r>
      <w:r>
        <w:t>17</w:t>
      </w:r>
      <w:r>
        <w:fldChar w:fldCharType="end"/>
      </w:r>
      <w:r>
        <w:fldChar w:fldCharType="end"/>
      </w:r>
    </w:p>
    <w:p w14:paraId="366D7F61">
      <w:pPr>
        <w:ind w:firstLine="199" w:firstLineChars="83"/>
        <w:sectPr>
          <w:pgSz w:w="11906" w:h="16838"/>
          <w:pgMar w:top="1440" w:right="1797" w:bottom="1440" w:left="1797" w:header="851" w:footer="992" w:gutter="0"/>
          <w:pgNumType w:start="1"/>
          <w:cols w:space="720" w:num="1"/>
          <w:titlePg/>
          <w:docGrid w:type="linesAndChars" w:linePitch="312" w:charSpace="0"/>
        </w:sectPr>
      </w:pPr>
      <w:r>
        <w:rPr>
          <w:rStyle w:val="32"/>
          <w:rFonts w:ascii="宋体" w:hAnsi="宋体"/>
          <w:bCs/>
          <w:caps/>
          <w:szCs w:val="24"/>
        </w:rPr>
        <w:fldChar w:fldCharType="end"/>
      </w:r>
    </w:p>
    <w:p w14:paraId="0576DED8">
      <w:pPr>
        <w:pStyle w:val="25"/>
        <w:ind w:firstLine="0" w:firstLineChars="0"/>
      </w:pPr>
      <w:bookmarkStart w:id="0" w:name="_Toc186037012"/>
      <w:r>
        <w:rPr>
          <w:rFonts w:hint="eastAsia"/>
        </w:rPr>
        <w:t>一、工作简况</w:t>
      </w:r>
      <w:bookmarkEnd w:id="0"/>
    </w:p>
    <w:p w14:paraId="0054B390">
      <w:pPr>
        <w:ind w:firstLine="482"/>
        <w:rPr>
          <w:b/>
          <w:bCs/>
        </w:rPr>
      </w:pPr>
      <w:r>
        <w:rPr>
          <w:rFonts w:hint="eastAsia"/>
          <w:b/>
          <w:bCs/>
          <w:lang w:val="en-US" w:eastAsia="zh-CN"/>
        </w:rPr>
        <w:t xml:space="preserve">1.1 </w:t>
      </w:r>
      <w:r>
        <w:rPr>
          <w:rFonts w:hint="eastAsia"/>
          <w:b/>
          <w:bCs/>
        </w:rPr>
        <w:t>任务来源</w:t>
      </w:r>
    </w:p>
    <w:p w14:paraId="5BAC6CB4">
      <w:pPr>
        <w:ind w:firstLine="480"/>
        <w:rPr>
          <w:rFonts w:hint="eastAsia"/>
          <w:color w:val="auto"/>
        </w:rPr>
      </w:pPr>
      <w:r>
        <w:rPr>
          <w:rFonts w:hint="eastAsia"/>
          <w:color w:val="auto"/>
        </w:rPr>
        <w:t>本国家标准由中国标准化研究院归口并执行，主管部门为国家市场监督管理总局。按照国家标准化管理委员会</w:t>
      </w:r>
      <w:r>
        <w:rPr>
          <w:rFonts w:hint="eastAsia"/>
          <w:color w:val="auto"/>
          <w:lang w:val="en-US" w:eastAsia="zh-CN"/>
        </w:rPr>
        <w:t>2023年12月碳达峰、碳中和</w:t>
      </w:r>
      <w:r>
        <w:rPr>
          <w:rFonts w:hint="eastAsia"/>
          <w:color w:val="auto"/>
        </w:rPr>
        <w:t>国家标准</w:t>
      </w:r>
      <w:r>
        <w:rPr>
          <w:rFonts w:hint="eastAsia"/>
          <w:color w:val="auto"/>
          <w:lang w:val="en-US" w:eastAsia="zh-CN"/>
        </w:rPr>
        <w:t>专项</w:t>
      </w:r>
      <w:r>
        <w:rPr>
          <w:rFonts w:hint="eastAsia"/>
          <w:color w:val="auto"/>
        </w:rPr>
        <w:t>计划</w:t>
      </w:r>
      <w:r>
        <w:rPr>
          <w:rFonts w:hint="eastAsia"/>
          <w:color w:val="auto"/>
          <w:lang w:val="en-US" w:eastAsia="zh-CN"/>
        </w:rPr>
        <w:t>和国家标准外文版计划</w:t>
      </w:r>
      <w:r>
        <w:rPr>
          <w:rFonts w:hint="eastAsia"/>
          <w:color w:val="auto"/>
        </w:rPr>
        <w:t>的要求，本标准的修订工作拟于202</w:t>
      </w:r>
      <w:r>
        <w:rPr>
          <w:rFonts w:hint="eastAsia"/>
          <w:color w:val="auto"/>
          <w:lang w:val="en-US" w:eastAsia="zh-CN"/>
        </w:rPr>
        <w:t>5</w:t>
      </w:r>
      <w:r>
        <w:rPr>
          <w:rFonts w:hint="eastAsia"/>
          <w:color w:val="auto"/>
        </w:rPr>
        <w:t>年</w:t>
      </w:r>
      <w:r>
        <w:rPr>
          <w:rFonts w:hint="eastAsia"/>
          <w:color w:val="auto"/>
          <w:lang w:val="en-US" w:eastAsia="zh-CN"/>
        </w:rPr>
        <w:t>6</w:t>
      </w:r>
      <w:r>
        <w:rPr>
          <w:rFonts w:hint="eastAsia"/>
          <w:color w:val="auto"/>
        </w:rPr>
        <w:t>月完成。</w:t>
      </w:r>
    </w:p>
    <w:p w14:paraId="6F504CE8">
      <w:pPr>
        <w:ind w:firstLine="480"/>
        <w:rPr>
          <w:rFonts w:hint="eastAsia"/>
          <w:color w:val="auto"/>
        </w:rPr>
      </w:pPr>
      <w:r>
        <w:rPr>
          <w:rFonts w:hint="eastAsia"/>
          <w:color w:val="auto"/>
        </w:rPr>
        <w:t>标准立项信息如下，</w:t>
      </w:r>
    </w:p>
    <w:p w14:paraId="011651F7">
      <w:pPr>
        <w:ind w:firstLine="480"/>
        <w:rPr>
          <w:rFonts w:hint="eastAsia"/>
          <w:color w:val="auto"/>
        </w:rPr>
      </w:pPr>
      <w:r>
        <w:rPr>
          <w:rFonts w:hint="eastAsia"/>
          <w:color w:val="auto"/>
        </w:rPr>
        <w:t>项目编号：20232499-T-424</w:t>
      </w:r>
    </w:p>
    <w:p w14:paraId="36311EE9">
      <w:pPr>
        <w:ind w:firstLine="480"/>
      </w:pPr>
      <w:r>
        <w:rPr>
          <w:rFonts w:hint="eastAsia"/>
        </w:rPr>
        <w:t>项目名称：进入二氧化碳管道</w:t>
      </w:r>
      <w:r>
        <w:rPr>
          <w:rFonts w:hint="eastAsia"/>
          <w:lang w:val="en-US" w:eastAsia="zh-CN"/>
        </w:rPr>
        <w:t>的</w:t>
      </w:r>
      <w:r>
        <w:rPr>
          <w:rFonts w:hint="eastAsia"/>
        </w:rPr>
        <w:t>介质质量要求</w:t>
      </w:r>
    </w:p>
    <w:p w14:paraId="6EE76B0F">
      <w:pPr>
        <w:ind w:firstLine="480"/>
        <w:rPr>
          <w:rFonts w:hint="eastAsia"/>
        </w:rPr>
      </w:pPr>
      <w:r>
        <w:rPr>
          <w:rFonts w:hint="eastAsia"/>
        </w:rPr>
        <w:t>制、修订：制订</w:t>
      </w:r>
    </w:p>
    <w:p w14:paraId="427DFE4D">
      <w:pPr>
        <w:ind w:firstLine="480"/>
      </w:pPr>
      <w:r>
        <w:rPr>
          <w:rFonts w:hint="eastAsia"/>
        </w:rPr>
        <w:t>标准性质：推荐性国家标准</w:t>
      </w:r>
    </w:p>
    <w:p w14:paraId="77F7C1E6">
      <w:pPr>
        <w:numPr>
          <w:ilvl w:val="0"/>
          <w:numId w:val="0"/>
        </w:numPr>
        <w:ind w:firstLine="482" w:firstLineChars="200"/>
        <w:rPr>
          <w:rFonts w:hint="default" w:eastAsia="宋体"/>
          <w:b/>
          <w:bCs/>
          <w:lang w:val="en-US" w:eastAsia="zh-CN"/>
        </w:rPr>
      </w:pPr>
      <w:r>
        <w:rPr>
          <w:rFonts w:hint="eastAsia"/>
          <w:b/>
          <w:bCs/>
          <w:lang w:val="en-US" w:eastAsia="zh-CN"/>
        </w:rPr>
        <w:t>1.2 制定背景</w:t>
      </w:r>
    </w:p>
    <w:p w14:paraId="60D9EC13">
      <w:pPr>
        <w:ind w:firstLine="482"/>
        <w:rPr>
          <w:rFonts w:hint="eastAsia"/>
          <w:szCs w:val="21"/>
          <w:lang w:eastAsia="zh-CN"/>
        </w:rPr>
      </w:pPr>
      <w:r>
        <w:rPr>
          <w:rFonts w:hint="eastAsia"/>
          <w:szCs w:val="21"/>
          <w:lang w:eastAsia="zh-CN"/>
        </w:rPr>
        <w:t>目前我国年碳排放量超过105亿吨，约占全球三分之一。为实现我国2030年碳达峰，2060年碳中和目标，CCUS是必不可少的技术手段。管道输送二氧化碳是实现长距离、规模化运输最有效的方式。</w:t>
      </w:r>
    </w:p>
    <w:p w14:paraId="1045E04F">
      <w:pPr>
        <w:ind w:firstLine="482"/>
        <w:rPr>
          <w:rFonts w:hint="eastAsia"/>
          <w:szCs w:val="21"/>
        </w:rPr>
      </w:pPr>
      <w:r>
        <w:rPr>
          <w:rFonts w:hint="eastAsia"/>
          <w:szCs w:val="21"/>
          <w:lang w:eastAsia="zh-CN"/>
        </w:rPr>
        <w:t>我国碳源分散，来源多样，捕集的二氧化碳含有不同类型的杂质（如N</w:t>
      </w:r>
      <w:r>
        <w:rPr>
          <w:rFonts w:hint="eastAsia"/>
          <w:szCs w:val="21"/>
          <w:vertAlign w:val="subscript"/>
          <w:lang w:eastAsia="zh-CN"/>
        </w:rPr>
        <w:t>2</w:t>
      </w:r>
      <w:r>
        <w:rPr>
          <w:rFonts w:hint="eastAsia"/>
          <w:szCs w:val="21"/>
          <w:lang w:eastAsia="zh-CN"/>
        </w:rPr>
        <w:t>、H</w:t>
      </w:r>
      <w:r>
        <w:rPr>
          <w:rFonts w:hint="eastAsia"/>
          <w:szCs w:val="21"/>
          <w:vertAlign w:val="subscript"/>
          <w:lang w:eastAsia="zh-CN"/>
        </w:rPr>
        <w:t>2</w:t>
      </w:r>
      <w:r>
        <w:rPr>
          <w:rFonts w:hint="eastAsia"/>
          <w:szCs w:val="21"/>
          <w:lang w:eastAsia="zh-CN"/>
        </w:rPr>
        <w:t>、O</w:t>
      </w:r>
      <w:r>
        <w:rPr>
          <w:rFonts w:hint="eastAsia"/>
          <w:szCs w:val="21"/>
          <w:vertAlign w:val="subscript"/>
          <w:lang w:eastAsia="zh-CN"/>
        </w:rPr>
        <w:t>2</w:t>
      </w:r>
      <w:r>
        <w:rPr>
          <w:rFonts w:hint="eastAsia"/>
          <w:szCs w:val="21"/>
          <w:lang w:eastAsia="zh-CN"/>
        </w:rPr>
        <w:t>、CH</w:t>
      </w:r>
      <w:r>
        <w:rPr>
          <w:rFonts w:hint="eastAsia"/>
          <w:szCs w:val="21"/>
          <w:vertAlign w:val="subscript"/>
          <w:lang w:eastAsia="zh-CN"/>
        </w:rPr>
        <w:t>4</w:t>
      </w:r>
      <w:r>
        <w:rPr>
          <w:rFonts w:hint="eastAsia"/>
          <w:szCs w:val="21"/>
          <w:lang w:eastAsia="zh-CN"/>
        </w:rPr>
        <w:t>、H</w:t>
      </w:r>
      <w:r>
        <w:rPr>
          <w:rFonts w:hint="eastAsia"/>
          <w:szCs w:val="21"/>
          <w:vertAlign w:val="subscript"/>
          <w:lang w:eastAsia="zh-CN"/>
        </w:rPr>
        <w:t>2</w:t>
      </w:r>
      <w:r>
        <w:rPr>
          <w:rFonts w:hint="eastAsia"/>
          <w:szCs w:val="21"/>
          <w:lang w:eastAsia="zh-CN"/>
        </w:rPr>
        <w:t>S和H</w:t>
      </w:r>
      <w:r>
        <w:rPr>
          <w:rFonts w:hint="eastAsia"/>
          <w:szCs w:val="21"/>
          <w:vertAlign w:val="subscript"/>
          <w:lang w:eastAsia="zh-CN"/>
        </w:rPr>
        <w:t>2</w:t>
      </w:r>
      <w:r>
        <w:rPr>
          <w:rFonts w:hint="eastAsia"/>
          <w:szCs w:val="21"/>
          <w:lang w:eastAsia="zh-CN"/>
        </w:rPr>
        <w:t>O等）。杂质种类和含量的不同直接影响二氧化碳相态变化和减压波特性。二氧化碳</w:t>
      </w:r>
      <w:r>
        <w:rPr>
          <w:rFonts w:hint="eastAsia"/>
          <w:szCs w:val="21"/>
        </w:rPr>
        <w:t>管道运输是一种高效的大规模运输方式，但</w:t>
      </w:r>
      <w:r>
        <w:rPr>
          <w:rFonts w:hint="eastAsia"/>
          <w:szCs w:val="21"/>
          <w:lang w:val="en-US" w:eastAsia="zh-CN"/>
        </w:rPr>
        <w:t>含不同杂质的</w:t>
      </w:r>
      <w:r>
        <w:rPr>
          <w:rFonts w:hint="eastAsia"/>
          <w:szCs w:val="21"/>
          <w:lang w:eastAsia="zh-CN"/>
        </w:rPr>
        <w:t>二氧化碳</w:t>
      </w:r>
      <w:r>
        <w:rPr>
          <w:rFonts w:hint="eastAsia"/>
          <w:szCs w:val="21"/>
        </w:rPr>
        <w:t>也可能带来安全风险。</w:t>
      </w:r>
      <w:r>
        <w:rPr>
          <w:rFonts w:hint="eastAsia"/>
          <w:szCs w:val="21"/>
          <w:lang w:eastAsia="zh-CN"/>
        </w:rPr>
        <w:t>如果二氧化碳</w:t>
      </w:r>
      <w:r>
        <w:rPr>
          <w:rFonts w:hint="eastAsia"/>
          <w:szCs w:val="21"/>
        </w:rPr>
        <w:t>介质质量</w:t>
      </w:r>
      <w:r>
        <w:rPr>
          <w:rFonts w:hint="eastAsia"/>
          <w:szCs w:val="21"/>
          <w:lang w:eastAsia="zh-CN"/>
        </w:rPr>
        <w:t>不符合质量要求，管道可能发生气阻、段塞、泄漏、长程破裂，引起窒息、中毒等严重威胁公众安全的事故。目前国内没有统一的标准对管输二氧化碳</w:t>
      </w:r>
      <w:r>
        <w:rPr>
          <w:rFonts w:hint="eastAsia"/>
          <w:szCs w:val="21"/>
          <w:lang w:val="en-US" w:eastAsia="zh-CN"/>
        </w:rPr>
        <w:t>介质</w:t>
      </w:r>
      <w:r>
        <w:rPr>
          <w:rFonts w:hint="eastAsia"/>
          <w:szCs w:val="21"/>
          <w:lang w:eastAsia="zh-CN"/>
        </w:rPr>
        <w:t>质量进行约束，编制《进入二氧化碳长输管道的</w:t>
      </w:r>
      <w:r>
        <w:rPr>
          <w:rFonts w:hint="eastAsia"/>
          <w:szCs w:val="21"/>
          <w:lang w:val="en-US" w:eastAsia="zh-CN"/>
        </w:rPr>
        <w:t>介质</w:t>
      </w:r>
      <w:r>
        <w:rPr>
          <w:rFonts w:hint="eastAsia"/>
          <w:szCs w:val="21"/>
          <w:lang w:eastAsia="zh-CN"/>
        </w:rPr>
        <w:t>质量要求》十分必要且急需。《进入二氧化碳长输管道的</w:t>
      </w:r>
      <w:r>
        <w:rPr>
          <w:rFonts w:hint="eastAsia"/>
          <w:szCs w:val="21"/>
          <w:lang w:val="en-US" w:eastAsia="zh-CN"/>
        </w:rPr>
        <w:t>介质</w:t>
      </w:r>
      <w:r>
        <w:rPr>
          <w:rFonts w:hint="eastAsia"/>
          <w:szCs w:val="21"/>
          <w:lang w:eastAsia="zh-CN"/>
        </w:rPr>
        <w:t>质量要求》</w:t>
      </w:r>
      <w:r>
        <w:rPr>
          <w:rFonts w:hint="eastAsia"/>
          <w:szCs w:val="21"/>
          <w:lang w:val="en-US" w:eastAsia="zh-CN"/>
        </w:rPr>
        <w:t>标准不仅要满足</w:t>
      </w:r>
      <w:r>
        <w:rPr>
          <w:rFonts w:hint="eastAsia"/>
          <w:szCs w:val="21"/>
        </w:rPr>
        <w:t>二氧化碳在管道运输过程中的合规性，</w:t>
      </w:r>
      <w:r>
        <w:rPr>
          <w:rFonts w:hint="eastAsia"/>
          <w:szCs w:val="21"/>
          <w:lang w:val="en-US" w:eastAsia="zh-CN"/>
        </w:rPr>
        <w:t>同时也要满足碳捕集技术、</w:t>
      </w:r>
      <w:r>
        <w:rPr>
          <w:rFonts w:hint="eastAsia"/>
          <w:szCs w:val="21"/>
        </w:rPr>
        <w:t>工业应用</w:t>
      </w:r>
      <w:r>
        <w:rPr>
          <w:rFonts w:hint="eastAsia"/>
          <w:szCs w:val="21"/>
          <w:lang w:val="en-US" w:eastAsia="zh-CN"/>
        </w:rPr>
        <w:t>和CCUS驱油和封存</w:t>
      </w:r>
      <w:r>
        <w:rPr>
          <w:rFonts w:hint="eastAsia"/>
          <w:szCs w:val="21"/>
        </w:rPr>
        <w:t>对</w:t>
      </w:r>
      <w:r>
        <w:rPr>
          <w:rFonts w:hint="eastAsia"/>
          <w:szCs w:val="21"/>
          <w:lang w:eastAsia="zh-CN"/>
        </w:rPr>
        <w:t>二氧化碳</w:t>
      </w:r>
      <w:r>
        <w:rPr>
          <w:rFonts w:hint="eastAsia"/>
          <w:szCs w:val="21"/>
          <w:lang w:val="en-US" w:eastAsia="zh-CN"/>
        </w:rPr>
        <w:t>介质质量的</w:t>
      </w:r>
      <w:r>
        <w:rPr>
          <w:rFonts w:hint="eastAsia"/>
          <w:szCs w:val="21"/>
        </w:rPr>
        <w:t>特殊要求</w:t>
      </w:r>
      <w:r>
        <w:rPr>
          <w:rFonts w:hint="eastAsia"/>
          <w:szCs w:val="21"/>
          <w:lang w:eastAsia="zh-CN"/>
        </w:rPr>
        <w:t>。</w:t>
      </w:r>
    </w:p>
    <w:p w14:paraId="48A8732D">
      <w:pPr>
        <w:ind w:firstLine="482"/>
        <w:rPr>
          <w:rFonts w:hint="eastAsia"/>
          <w:b/>
          <w:bCs/>
        </w:rPr>
      </w:pPr>
      <w:r>
        <w:rPr>
          <w:rFonts w:hint="eastAsia"/>
          <w:b/>
          <w:bCs/>
          <w:lang w:val="en-US" w:eastAsia="zh-CN"/>
        </w:rPr>
        <w:t>1.3 起草</w:t>
      </w:r>
      <w:r>
        <w:rPr>
          <w:rFonts w:hint="eastAsia"/>
          <w:b/>
          <w:bCs/>
        </w:rPr>
        <w:t>过程</w:t>
      </w:r>
    </w:p>
    <w:p w14:paraId="17A7D3F5">
      <w:pPr>
        <w:ind w:firstLine="480"/>
        <w:rPr>
          <w:rFonts w:hint="eastAsia"/>
        </w:rPr>
      </w:pPr>
      <w:r>
        <w:rPr>
          <w:rFonts w:hint="eastAsia"/>
        </w:rPr>
        <w:t>2024年1月-2024年3月</w:t>
      </w:r>
    </w:p>
    <w:p w14:paraId="690298EF">
      <w:pPr>
        <w:ind w:firstLine="480"/>
        <w:rPr>
          <w:rFonts w:hint="eastAsia"/>
        </w:rPr>
      </w:pPr>
      <w:r>
        <w:rPr>
          <w:rFonts w:hint="eastAsia"/>
        </w:rPr>
        <w:t>组织召开了本标准启动会，有关单位介绍了标准制定背景、技术进展、标准内容，成立了标准起草组，确定标准制定工作计划。</w:t>
      </w:r>
    </w:p>
    <w:p w14:paraId="2F738267">
      <w:pPr>
        <w:ind w:firstLine="480"/>
        <w:rPr>
          <w:rFonts w:hint="eastAsia"/>
        </w:rPr>
      </w:pPr>
      <w:r>
        <w:rPr>
          <w:rFonts w:hint="eastAsia"/>
        </w:rPr>
        <w:t>202</w:t>
      </w:r>
      <w:r>
        <w:rPr>
          <w:rFonts w:hint="eastAsia"/>
          <w:lang w:val="en-US" w:eastAsia="zh-CN"/>
        </w:rPr>
        <w:t>4</w:t>
      </w:r>
      <w:r>
        <w:rPr>
          <w:rFonts w:hint="eastAsia"/>
        </w:rPr>
        <w:t>年</w:t>
      </w:r>
      <w:r>
        <w:rPr>
          <w:rFonts w:hint="eastAsia"/>
          <w:lang w:val="en-US" w:eastAsia="zh-CN"/>
        </w:rPr>
        <w:t>3</w:t>
      </w:r>
      <w:r>
        <w:rPr>
          <w:rFonts w:hint="eastAsia"/>
        </w:rPr>
        <w:t>月-</w:t>
      </w:r>
      <w:r>
        <w:rPr>
          <w:rFonts w:hint="eastAsia"/>
          <w:lang w:val="en-US" w:eastAsia="zh-CN"/>
        </w:rPr>
        <w:t>12</w:t>
      </w:r>
      <w:r>
        <w:rPr>
          <w:rFonts w:hint="eastAsia"/>
        </w:rPr>
        <w:t>月</w:t>
      </w:r>
    </w:p>
    <w:p w14:paraId="61E12A2A">
      <w:pPr>
        <w:ind w:firstLine="480"/>
      </w:pPr>
      <w:r>
        <w:rPr>
          <w:rFonts w:hint="eastAsia"/>
          <w:szCs w:val="21"/>
          <w:lang w:eastAsia="zh-CN"/>
        </w:rPr>
        <w:t>（</w:t>
      </w:r>
      <w:r>
        <w:rPr>
          <w:rFonts w:hint="eastAsia"/>
          <w:szCs w:val="21"/>
          <w:lang w:val="en-US" w:eastAsia="zh-CN"/>
        </w:rPr>
        <w:t>1</w:t>
      </w:r>
      <w:r>
        <w:rPr>
          <w:rFonts w:hint="eastAsia"/>
          <w:szCs w:val="21"/>
          <w:lang w:eastAsia="zh-CN"/>
        </w:rPr>
        <w:t>）</w:t>
      </w:r>
      <w:r>
        <w:rPr>
          <w:rFonts w:hint="eastAsia"/>
        </w:rPr>
        <w:t>首先对国内外现有的二氧化碳长输管道项目</w:t>
      </w:r>
      <w:r>
        <w:rPr>
          <w:rFonts w:hint="eastAsia"/>
          <w:lang w:val="en-US" w:eastAsia="zh-CN"/>
        </w:rPr>
        <w:t>和CCUS上下游需求</w:t>
      </w:r>
      <w:r>
        <w:rPr>
          <w:rFonts w:hint="eastAsia"/>
        </w:rPr>
        <w:t>进行了全面深入的调研，收集了大量关于管道运行数据、介质质量影响因素以及事故案例等资料。同时，参考了国际上先进的二氧化碳介质质量标准，如国际标准组织（ISO）的部分标准等。在此基础上，结合我国的实际国情和管道建设运营特点，初步拟定了</w:t>
      </w:r>
      <w:r>
        <w:rPr>
          <w:rFonts w:hint="eastAsia"/>
          <w:szCs w:val="21"/>
        </w:rPr>
        <w:t>《</w:t>
      </w:r>
      <w:r>
        <w:rPr>
          <w:rFonts w:hint="eastAsia"/>
          <w:lang w:eastAsia="zh-CN"/>
        </w:rPr>
        <w:t>进入二氧化碳管道的介质质量要求</w:t>
      </w:r>
      <w:r>
        <w:rPr>
          <w:rFonts w:hint="eastAsia"/>
          <w:szCs w:val="21"/>
        </w:rPr>
        <w:t>》</w:t>
      </w:r>
      <w:r>
        <w:rPr>
          <w:rFonts w:hint="eastAsia"/>
        </w:rPr>
        <w:t>的各项指标和技术要求，包括二氧化碳纯度、杂质含量、含水量等关键参数，形成了标准草案初稿。</w:t>
      </w:r>
    </w:p>
    <w:p w14:paraId="56B753A5">
      <w:pPr>
        <w:ind w:firstLine="480"/>
        <w:rPr>
          <w:rFonts w:hint="default" w:eastAsia="宋体"/>
          <w:highlight w:val="none"/>
          <w:lang w:val="en-US" w:eastAsia="zh-CN"/>
        </w:rPr>
      </w:pPr>
      <w:r>
        <w:rPr>
          <w:rFonts w:hint="eastAsia"/>
          <w:highlight w:val="none"/>
        </w:rPr>
        <w:t>（</w:t>
      </w:r>
      <w:r>
        <w:rPr>
          <w:rFonts w:hint="eastAsia"/>
          <w:highlight w:val="none"/>
          <w:lang w:val="en-US" w:eastAsia="zh-CN"/>
        </w:rPr>
        <w:t>2</w:t>
      </w:r>
      <w:r>
        <w:rPr>
          <w:rFonts w:hint="eastAsia"/>
          <w:highlight w:val="none"/>
        </w:rPr>
        <w:t>）</w:t>
      </w:r>
      <w:r>
        <w:rPr>
          <w:rFonts w:hint="eastAsia"/>
          <w:szCs w:val="21"/>
          <w:highlight w:val="none"/>
        </w:rPr>
        <w:t>明确指标及对应参数确定</w:t>
      </w:r>
      <w:r>
        <w:rPr>
          <w:rFonts w:hint="eastAsia"/>
          <w:szCs w:val="21"/>
          <w:highlight w:val="none"/>
          <w:lang w:eastAsia="zh-CN"/>
        </w:rPr>
        <w:t>，</w:t>
      </w:r>
      <w:r>
        <w:rPr>
          <w:rFonts w:hint="eastAsia"/>
          <w:szCs w:val="21"/>
          <w:highlight w:val="none"/>
          <w:lang w:val="en-US" w:eastAsia="zh-CN"/>
        </w:rPr>
        <w:t>完善</w:t>
      </w:r>
      <w:r>
        <w:rPr>
          <w:rFonts w:hint="eastAsia"/>
          <w:szCs w:val="21"/>
          <w:highlight w:val="none"/>
        </w:rPr>
        <w:t>标准</w:t>
      </w:r>
      <w:r>
        <w:rPr>
          <w:rFonts w:hint="eastAsia"/>
          <w:highlight w:val="none"/>
        </w:rPr>
        <w:t>草案</w:t>
      </w:r>
      <w:r>
        <w:rPr>
          <w:rFonts w:hint="eastAsia"/>
          <w:highlight w:val="none"/>
          <w:lang w:eastAsia="zh-CN"/>
        </w:rPr>
        <w:t>，</w:t>
      </w:r>
      <w:r>
        <w:rPr>
          <w:rFonts w:hint="eastAsia"/>
          <w:highlight w:val="none"/>
          <w:lang w:val="en-US" w:eastAsia="zh-CN"/>
        </w:rPr>
        <w:t>形成</w:t>
      </w:r>
      <w:r>
        <w:rPr>
          <w:rFonts w:hint="eastAsia"/>
          <w:szCs w:val="21"/>
          <w:highlight w:val="none"/>
        </w:rPr>
        <w:t>《</w:t>
      </w:r>
      <w:r>
        <w:rPr>
          <w:rFonts w:hint="eastAsia"/>
          <w:highlight w:val="none"/>
          <w:lang w:eastAsia="zh-CN"/>
        </w:rPr>
        <w:t>进入二氧化碳管道的介质质量要求</w:t>
      </w:r>
      <w:r>
        <w:rPr>
          <w:rFonts w:hint="eastAsia"/>
          <w:szCs w:val="21"/>
          <w:highlight w:val="none"/>
        </w:rPr>
        <w:t>》</w:t>
      </w:r>
      <w:r>
        <w:rPr>
          <w:rFonts w:hint="eastAsia"/>
          <w:highlight w:val="none"/>
          <w:lang w:val="en-US" w:eastAsia="zh-CN"/>
        </w:rPr>
        <w:t>征求意见稿</w:t>
      </w:r>
      <w:r>
        <w:rPr>
          <w:rFonts w:hint="eastAsia"/>
          <w:szCs w:val="21"/>
          <w:highlight w:val="none"/>
        </w:rPr>
        <w:t>。</w:t>
      </w:r>
      <w:r>
        <w:rPr>
          <w:rFonts w:hint="eastAsia"/>
          <w:highlight w:val="none"/>
          <w:lang w:val="en-US" w:eastAsia="zh-CN"/>
        </w:rPr>
        <w:t>开展理论、数值模拟及试验验证研究，</w:t>
      </w:r>
      <w:r>
        <w:rPr>
          <w:highlight w:val="none"/>
        </w:rPr>
        <w:t>为</w:t>
      </w:r>
      <w:r>
        <w:rPr>
          <w:rFonts w:hint="eastAsia"/>
          <w:highlight w:val="none"/>
          <w:lang w:val="en-US" w:eastAsia="zh-CN"/>
        </w:rPr>
        <w:t>管输CO</w:t>
      </w:r>
      <w:r>
        <w:rPr>
          <w:rFonts w:hint="eastAsia"/>
          <w:highlight w:val="none"/>
          <w:vertAlign w:val="subscript"/>
          <w:lang w:val="en-US" w:eastAsia="zh-CN"/>
        </w:rPr>
        <w:t>2</w:t>
      </w:r>
      <w:r>
        <w:rPr>
          <w:rFonts w:hint="eastAsia"/>
          <w:highlight w:val="none"/>
          <w:lang w:val="en-US" w:eastAsia="zh-CN"/>
        </w:rPr>
        <w:t>流体介质</w:t>
      </w:r>
      <w:r>
        <w:rPr>
          <w:highlight w:val="none"/>
        </w:rPr>
        <w:t>质量</w:t>
      </w:r>
      <w:r>
        <w:rPr>
          <w:rFonts w:hint="eastAsia"/>
          <w:highlight w:val="none"/>
          <w:lang w:val="en-US" w:eastAsia="zh-CN"/>
        </w:rPr>
        <w:t>与输送工艺、管材、安全等方面的</w:t>
      </w:r>
      <w:r>
        <w:rPr>
          <w:highlight w:val="none"/>
        </w:rPr>
        <w:t>兼容性要求提供依据</w:t>
      </w:r>
      <w:r>
        <w:rPr>
          <w:rFonts w:hint="eastAsia"/>
          <w:highlight w:val="none"/>
        </w:rPr>
        <w:t>；同时结合</w:t>
      </w:r>
      <w:r>
        <w:rPr>
          <w:highlight w:val="none"/>
        </w:rPr>
        <w:t>工程建设实际，对与介质质量相关内容提出措施建议，满足多样化需求</w:t>
      </w:r>
      <w:r>
        <w:rPr>
          <w:rFonts w:hint="eastAsia"/>
          <w:highlight w:val="none"/>
        </w:rPr>
        <w:t>。</w:t>
      </w:r>
    </w:p>
    <w:p w14:paraId="0031F036">
      <w:pPr>
        <w:pStyle w:val="25"/>
        <w:ind w:firstLine="0" w:firstLineChars="0"/>
        <w:rPr>
          <w:highlight w:val="none"/>
        </w:rPr>
      </w:pPr>
      <w:bookmarkStart w:id="1" w:name="_Toc186037013"/>
      <w:r>
        <w:rPr>
          <w:rFonts w:hint="eastAsia"/>
          <w:highlight w:val="none"/>
        </w:rPr>
        <w:t>二、国家标准编制原则和确定国家标准主要内容</w:t>
      </w:r>
      <w:bookmarkEnd w:id="1"/>
    </w:p>
    <w:p w14:paraId="275106C0">
      <w:pPr>
        <w:ind w:firstLine="482"/>
        <w:rPr>
          <w:b/>
          <w:bCs/>
          <w:highlight w:val="none"/>
        </w:rPr>
      </w:pPr>
      <w:r>
        <w:rPr>
          <w:rFonts w:hint="eastAsia"/>
          <w:b/>
          <w:bCs/>
          <w:highlight w:val="none"/>
        </w:rPr>
        <w:t>2.1 标准编制原则</w:t>
      </w:r>
    </w:p>
    <w:p w14:paraId="13AAAC15">
      <w:pPr>
        <w:ind w:firstLine="480"/>
        <w:rPr>
          <w:rFonts w:hint="eastAsia"/>
          <w:szCs w:val="24"/>
          <w:highlight w:val="none"/>
        </w:rPr>
      </w:pPr>
      <w:r>
        <w:rPr>
          <w:rFonts w:hint="eastAsia"/>
          <w:szCs w:val="24"/>
          <w:highlight w:val="none"/>
        </w:rPr>
        <w:t>本标准按照 GB/T 1.1-2020《标准化工作导则 第 1 部分：标准的结构和编写规则》的要求和规定进行编写。</w:t>
      </w:r>
    </w:p>
    <w:p w14:paraId="519F627C">
      <w:pPr>
        <w:ind w:firstLine="480"/>
        <w:rPr>
          <w:szCs w:val="24"/>
          <w:highlight w:val="none"/>
        </w:rPr>
      </w:pPr>
      <w:r>
        <w:rPr>
          <w:rFonts w:hint="eastAsia"/>
          <w:szCs w:val="24"/>
          <w:highlight w:val="none"/>
        </w:rPr>
        <w:t>本标准编制的指导思想为科学性、完整性、准确性和可操作性。本标准经过了科学的研究，进行了预先设计，在制定标准过程中遵守制定程序和编写规则。本标准的编制充分考虑与我国现行法律法规和国家节能政策等相符合性，充分考虑可操作性，便于标准的实施。</w:t>
      </w:r>
    </w:p>
    <w:p w14:paraId="48AF71D6">
      <w:pPr>
        <w:ind w:firstLine="482"/>
        <w:rPr>
          <w:rFonts w:hint="eastAsia"/>
          <w:szCs w:val="24"/>
          <w:highlight w:val="none"/>
        </w:rPr>
      </w:pPr>
      <w:r>
        <w:rPr>
          <w:rFonts w:hint="eastAsia"/>
          <w:b/>
          <w:bCs/>
          <w:highlight w:val="none"/>
        </w:rPr>
        <w:t>2.</w:t>
      </w:r>
      <w:r>
        <w:rPr>
          <w:rFonts w:hint="eastAsia"/>
          <w:b/>
          <w:bCs/>
          <w:highlight w:val="none"/>
          <w:lang w:val="en-US" w:eastAsia="zh-CN"/>
        </w:rPr>
        <w:t>2</w:t>
      </w:r>
      <w:r>
        <w:rPr>
          <w:rFonts w:hint="eastAsia"/>
          <w:b/>
          <w:bCs/>
          <w:highlight w:val="none"/>
        </w:rPr>
        <w:t xml:space="preserve"> 主要内容</w:t>
      </w:r>
    </w:p>
    <w:p w14:paraId="0086E8E4">
      <w:pPr>
        <w:ind w:firstLine="480"/>
        <w:rPr>
          <w:rFonts w:hint="eastAsia"/>
          <w:szCs w:val="24"/>
          <w:highlight w:val="none"/>
        </w:rPr>
      </w:pPr>
      <w:r>
        <w:rPr>
          <w:rFonts w:hint="eastAsia"/>
          <w:szCs w:val="24"/>
          <w:highlight w:val="none"/>
        </w:rPr>
        <w:t>本标准主要包括：范围、规范性引用文件、术语和定义、</w:t>
      </w:r>
      <w:r>
        <w:rPr>
          <w:rFonts w:hint="eastAsia"/>
          <w:szCs w:val="24"/>
          <w:highlight w:val="none"/>
          <w:lang w:val="en-US" w:eastAsia="zh-CN"/>
        </w:rPr>
        <w:t>质量要求</w:t>
      </w:r>
      <w:r>
        <w:rPr>
          <w:rFonts w:hint="eastAsia"/>
          <w:szCs w:val="24"/>
          <w:highlight w:val="none"/>
        </w:rPr>
        <w:t>、</w:t>
      </w:r>
      <w:r>
        <w:rPr>
          <w:rFonts w:hint="eastAsia" w:hAnsi="Times New Roman"/>
          <w:highlight w:val="none"/>
        </w:rPr>
        <w:t>试验方法</w:t>
      </w:r>
      <w:r>
        <w:rPr>
          <w:rFonts w:hint="eastAsia"/>
          <w:szCs w:val="24"/>
          <w:highlight w:val="none"/>
        </w:rPr>
        <w:t>、</w:t>
      </w:r>
      <w:r>
        <w:rPr>
          <w:rFonts w:hint="eastAsia" w:hAnsi="Times New Roman"/>
          <w:highlight w:val="none"/>
        </w:rPr>
        <w:t>检验规则</w:t>
      </w:r>
      <w:r>
        <w:rPr>
          <w:rFonts w:hint="eastAsia"/>
          <w:szCs w:val="24"/>
          <w:highlight w:val="none"/>
        </w:rPr>
        <w:t>、</w:t>
      </w:r>
      <w:r>
        <w:rPr>
          <w:rFonts w:hint="eastAsia" w:hAnsi="Times New Roman"/>
          <w:highlight w:val="none"/>
        </w:rPr>
        <w:t>输送和使用</w:t>
      </w:r>
      <w:r>
        <w:rPr>
          <w:rFonts w:hint="eastAsia"/>
          <w:highlight w:val="none"/>
          <w:lang w:eastAsia="zh-CN"/>
        </w:rPr>
        <w:t>、</w:t>
      </w:r>
      <w:r>
        <w:rPr>
          <w:rFonts w:hint="eastAsia"/>
          <w:szCs w:val="24"/>
          <w:highlight w:val="none"/>
        </w:rPr>
        <w:t>附录 A 二氧化碳在不同含水量、压力下的水露点温度</w:t>
      </w:r>
      <w:r>
        <w:rPr>
          <w:rFonts w:hint="eastAsia"/>
          <w:szCs w:val="24"/>
          <w:highlight w:val="none"/>
          <w:lang w:eastAsia="zh-CN"/>
        </w:rPr>
        <w:t>、</w:t>
      </w:r>
      <w:r>
        <w:rPr>
          <w:rFonts w:hint="eastAsia"/>
          <w:szCs w:val="24"/>
          <w:highlight w:val="none"/>
        </w:rPr>
        <w:t xml:space="preserve">附录 </w:t>
      </w:r>
      <w:r>
        <w:rPr>
          <w:rFonts w:hint="eastAsia"/>
          <w:szCs w:val="24"/>
          <w:highlight w:val="none"/>
          <w:lang w:val="en-US" w:eastAsia="zh-CN"/>
        </w:rPr>
        <w:t>B</w:t>
      </w:r>
      <w:r>
        <w:rPr>
          <w:rFonts w:hint="eastAsia"/>
          <w:highlight w:val="none"/>
        </w:rPr>
        <w:t>二氧化碳化学品安全技术说明书</w:t>
      </w:r>
      <w:r>
        <w:rPr>
          <w:rFonts w:hint="eastAsia"/>
          <w:highlight w:val="none"/>
          <w:lang w:val="en-US" w:eastAsia="zh-CN"/>
        </w:rPr>
        <w:t>和</w:t>
      </w:r>
      <w:r>
        <w:rPr>
          <w:rFonts w:hint="eastAsia"/>
          <w:szCs w:val="24"/>
          <w:highlight w:val="none"/>
          <w:lang w:val="en-US" w:eastAsia="zh-CN"/>
        </w:rPr>
        <w:t>参考文献</w:t>
      </w:r>
      <w:r>
        <w:rPr>
          <w:rFonts w:hint="eastAsia"/>
          <w:szCs w:val="24"/>
          <w:highlight w:val="none"/>
        </w:rPr>
        <w:t>等部分，各部分主要内容如下：</w:t>
      </w:r>
    </w:p>
    <w:p w14:paraId="72A8177D">
      <w:pPr>
        <w:ind w:firstLine="480"/>
        <w:rPr>
          <w:rFonts w:hint="eastAsia"/>
          <w:szCs w:val="24"/>
          <w:highlight w:val="none"/>
        </w:rPr>
      </w:pPr>
      <w:r>
        <w:rPr>
          <w:rFonts w:ascii="宋体" w:hAnsi="宋体" w:eastAsia="宋体" w:cs="宋体"/>
          <w:sz w:val="24"/>
          <w:szCs w:val="24"/>
          <w:highlight w:val="none"/>
        </w:rPr>
        <w:t>（1）范围</w:t>
      </w:r>
    </w:p>
    <w:p w14:paraId="2F0BA79F">
      <w:pPr>
        <w:ind w:firstLine="480"/>
        <w:rPr>
          <w:rFonts w:hint="default"/>
          <w:highlight w:val="none"/>
        </w:rPr>
      </w:pPr>
      <w:r>
        <w:rPr>
          <w:rFonts w:hint="default"/>
          <w:highlight w:val="none"/>
        </w:rPr>
        <w:t>本文件规定</w:t>
      </w:r>
      <w:r>
        <w:rPr>
          <w:rFonts w:hint="eastAsia" w:ascii="宋体" w:hAnsi="宋体" w:eastAsia="宋体" w:cs="宋体"/>
          <w:sz w:val="24"/>
          <w:szCs w:val="24"/>
          <w:highlight w:val="none"/>
        </w:rPr>
        <w:t>试验方法</w:t>
      </w:r>
      <w:r>
        <w:rPr>
          <w:rFonts w:hint="default"/>
          <w:highlight w:val="none"/>
        </w:rPr>
        <w:t>了进入二氧化碳长输管道介质的质量要求和试验方法。</w:t>
      </w:r>
    </w:p>
    <w:p w14:paraId="0DB4977B">
      <w:pPr>
        <w:ind w:firstLine="480"/>
        <w:rPr>
          <w:rFonts w:hint="default"/>
          <w:highlight w:val="none"/>
        </w:rPr>
      </w:pPr>
      <w:r>
        <w:rPr>
          <w:rFonts w:hint="default"/>
          <w:highlight w:val="none"/>
        </w:rPr>
        <w:t>本</w:t>
      </w:r>
      <w:r>
        <w:rPr>
          <w:rFonts w:hint="eastAsia"/>
          <w:highlight w:val="none"/>
          <w:lang w:val="en-US" w:eastAsia="zh-CN"/>
        </w:rPr>
        <w:t>文件</w:t>
      </w:r>
      <w:r>
        <w:rPr>
          <w:rFonts w:hint="default"/>
          <w:highlight w:val="none"/>
        </w:rPr>
        <w:t>适用于经过处理的通过长输管道进行输送的二氧化碳介质。</w:t>
      </w:r>
    </w:p>
    <w:p w14:paraId="410CEC1B">
      <w:pPr>
        <w:numPr>
          <w:ilvl w:val="0"/>
          <w:numId w:val="3"/>
        </w:numPr>
        <w:ind w:firstLine="480"/>
        <w:rPr>
          <w:rFonts w:ascii="宋体" w:hAnsi="宋体" w:eastAsia="宋体" w:cs="宋体"/>
          <w:sz w:val="24"/>
          <w:szCs w:val="24"/>
          <w:highlight w:val="none"/>
        </w:rPr>
      </w:pPr>
      <w:r>
        <w:rPr>
          <w:rFonts w:ascii="宋体" w:hAnsi="宋体" w:eastAsia="宋体" w:cs="宋体"/>
          <w:sz w:val="24"/>
          <w:szCs w:val="24"/>
          <w:highlight w:val="none"/>
        </w:rPr>
        <w:t xml:space="preserve">规范性引用文件 </w:t>
      </w:r>
    </w:p>
    <w:p w14:paraId="3429C285">
      <w:pPr>
        <w:numPr>
          <w:ilvl w:val="0"/>
          <w:numId w:val="0"/>
        </w:numPr>
        <w:ind w:firstLine="480" w:firstLineChars="200"/>
        <w:rPr>
          <w:rFonts w:ascii="宋体" w:hAnsi="宋体" w:eastAsia="宋体" w:cs="宋体"/>
          <w:sz w:val="24"/>
          <w:szCs w:val="24"/>
          <w:highlight w:val="none"/>
        </w:rPr>
      </w:pPr>
      <w:r>
        <w:rPr>
          <w:rFonts w:ascii="宋体" w:hAnsi="宋体" w:eastAsia="宋体" w:cs="宋体"/>
          <w:sz w:val="24"/>
          <w:szCs w:val="24"/>
          <w:highlight w:val="none"/>
        </w:rPr>
        <w:t>本标准的规范性引用文件包括：</w:t>
      </w:r>
    </w:p>
    <w:p w14:paraId="41ABC0E6">
      <w:pPr>
        <w:pStyle w:val="47"/>
        <w:spacing w:line="360" w:lineRule="auto"/>
        <w:ind w:firstLine="420"/>
        <w:rPr>
          <w:rFonts w:ascii="Times New Roman"/>
          <w:sz w:val="24"/>
          <w:szCs w:val="24"/>
          <w:highlight w:val="none"/>
        </w:rPr>
      </w:pPr>
      <w:r>
        <w:rPr>
          <w:rFonts w:ascii="Times New Roman"/>
          <w:sz w:val="24"/>
          <w:szCs w:val="24"/>
          <w:highlight w:val="none"/>
        </w:rPr>
        <w:t>GB/T 5832.1 气体分析 微量水分的测定 第1部分：电解法</w:t>
      </w:r>
    </w:p>
    <w:p w14:paraId="73235A1B">
      <w:pPr>
        <w:pStyle w:val="47"/>
        <w:spacing w:line="360" w:lineRule="auto"/>
        <w:ind w:firstLine="420"/>
        <w:rPr>
          <w:rFonts w:hint="eastAsia" w:ascii="Times New Roman" w:eastAsia="宋体"/>
          <w:sz w:val="24"/>
          <w:szCs w:val="24"/>
          <w:highlight w:val="none"/>
          <w:lang w:val="en-US" w:eastAsia="zh-CN"/>
        </w:rPr>
      </w:pPr>
      <w:r>
        <w:rPr>
          <w:rFonts w:hint="default" w:ascii="Times New Roman" w:hAnsi="Times New Roman" w:cs="Times New Roman"/>
          <w:snapToGrid w:val="0"/>
          <w:color w:val="auto"/>
          <w:sz w:val="24"/>
          <w:szCs w:val="24"/>
          <w:highlight w:val="none"/>
        </w:rPr>
        <w:t>GB/T 6285</w:t>
      </w:r>
      <w:r>
        <w:rPr>
          <w:rFonts w:hint="eastAsia" w:ascii="Times New Roman" w:cs="Times New Roman"/>
          <w:snapToGrid w:val="0"/>
          <w:color w:val="auto"/>
          <w:sz w:val="24"/>
          <w:szCs w:val="24"/>
          <w:highlight w:val="none"/>
          <w:lang w:val="en-US" w:eastAsia="zh-CN"/>
        </w:rPr>
        <w:t xml:space="preserve"> 气体中微量氧的测定 电化学法</w:t>
      </w:r>
    </w:p>
    <w:p w14:paraId="6838D4B6">
      <w:pPr>
        <w:pStyle w:val="47"/>
        <w:spacing w:line="360" w:lineRule="auto"/>
        <w:ind w:firstLine="420"/>
        <w:rPr>
          <w:rFonts w:hint="eastAsia" w:ascii="Times New Roman" w:hAnsi="Times New Roman" w:eastAsia="宋体" w:cs="Times New Roman"/>
          <w:snapToGrid w:val="0"/>
          <w:sz w:val="24"/>
          <w:szCs w:val="24"/>
          <w:highlight w:val="none"/>
          <w:lang w:val="en-US" w:eastAsia="zh-CN"/>
        </w:rPr>
      </w:pPr>
      <w:r>
        <w:rPr>
          <w:rFonts w:hint="default" w:ascii="Times New Roman" w:hAnsi="Times New Roman" w:cs="Times New Roman"/>
          <w:snapToGrid w:val="0"/>
          <w:color w:val="auto"/>
          <w:sz w:val="24"/>
          <w:szCs w:val="24"/>
          <w:highlight w:val="none"/>
        </w:rPr>
        <w:t>GB/T 28726</w:t>
      </w:r>
      <w:r>
        <w:rPr>
          <w:rFonts w:hint="eastAsia" w:ascii="Times New Roman" w:cs="Times New Roman"/>
          <w:snapToGrid w:val="0"/>
          <w:color w:val="auto"/>
          <w:sz w:val="24"/>
          <w:szCs w:val="24"/>
          <w:highlight w:val="none"/>
          <w:lang w:val="en-US" w:eastAsia="zh-CN"/>
        </w:rPr>
        <w:t xml:space="preserve"> </w:t>
      </w:r>
      <w:r>
        <w:rPr>
          <w:rFonts w:ascii="Times New Roman"/>
          <w:sz w:val="24"/>
          <w:szCs w:val="24"/>
          <w:highlight w:val="none"/>
        </w:rPr>
        <w:t>气体分析 氦离子化气相色谱</w:t>
      </w:r>
    </w:p>
    <w:p w14:paraId="0879B3CE">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GB/T 3723 工业用化学产品采样安全通则</w:t>
      </w:r>
    </w:p>
    <w:p w14:paraId="00A7B40A">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color w:val="auto"/>
          <w:sz w:val="24"/>
          <w:szCs w:val="24"/>
          <w:highlight w:val="none"/>
        </w:rPr>
        <w:t>GB/T 13609 天然气取样导则</w:t>
      </w:r>
    </w:p>
    <w:p w14:paraId="21216651">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GB/T 6681 气体化工产品采样通则</w:t>
      </w:r>
    </w:p>
    <w:p w14:paraId="3858B31F">
      <w:pPr>
        <w:pStyle w:val="47"/>
        <w:spacing w:line="360" w:lineRule="auto"/>
        <w:ind w:firstLine="420"/>
        <w:rPr>
          <w:rFonts w:hint="eastAsia" w:ascii="Times New Roman" w:hAnsi="Times New Roman" w:eastAsia="宋体" w:cs="Times New Roman"/>
          <w:snapToGrid w:val="0"/>
          <w:sz w:val="24"/>
          <w:szCs w:val="24"/>
          <w:highlight w:val="none"/>
          <w:lang w:val="en-US" w:eastAsia="zh-CN"/>
        </w:rPr>
      </w:pPr>
      <w:r>
        <w:rPr>
          <w:rFonts w:hint="default" w:ascii="Times New Roman" w:hAnsi="Times New Roman" w:cs="Times New Roman"/>
          <w:color w:val="auto"/>
          <w:sz w:val="24"/>
          <w:szCs w:val="24"/>
          <w:highlight w:val="none"/>
        </w:rPr>
        <w:t>GB/T</w:t>
      </w:r>
      <w:r>
        <w:rPr>
          <w:rFonts w:hint="eastAsia" w:ascii="Times New Roman" w:cs="Times New Roman"/>
          <w:color w:val="auto"/>
          <w:sz w:val="24"/>
          <w:szCs w:val="24"/>
          <w:highlight w:val="none"/>
          <w:lang w:val="en-US" w:eastAsia="zh-CN"/>
        </w:rPr>
        <w:t xml:space="preserve"> </w:t>
      </w:r>
      <w:r>
        <w:rPr>
          <w:rFonts w:hint="default" w:ascii="Times New Roman" w:hAnsi="Times New Roman" w:cs="Times New Roman"/>
          <w:color w:val="auto"/>
          <w:sz w:val="24"/>
          <w:szCs w:val="24"/>
          <w:highlight w:val="none"/>
        </w:rPr>
        <w:t>27893</w:t>
      </w:r>
      <w:r>
        <w:rPr>
          <w:rFonts w:hint="eastAsia" w:ascii="Times New Roman" w:cs="Times New Roman"/>
          <w:color w:val="auto"/>
          <w:sz w:val="24"/>
          <w:szCs w:val="24"/>
          <w:highlight w:val="none"/>
          <w:lang w:val="en-US" w:eastAsia="zh-CN"/>
        </w:rPr>
        <w:t xml:space="preserve"> 天然气中颗粒物含量的测定 称量法</w:t>
      </w:r>
    </w:p>
    <w:p w14:paraId="1B2C52E8">
      <w:pPr>
        <w:numPr>
          <w:ilvl w:val="0"/>
          <w:numId w:val="3"/>
        </w:numPr>
        <w:ind w:firstLine="480"/>
        <w:rPr>
          <w:rFonts w:ascii="宋体" w:hAnsi="宋体" w:eastAsia="宋体" w:cs="宋体"/>
          <w:sz w:val="24"/>
          <w:szCs w:val="24"/>
          <w:highlight w:val="none"/>
        </w:rPr>
      </w:pPr>
      <w:r>
        <w:rPr>
          <w:rFonts w:ascii="宋体" w:hAnsi="宋体" w:eastAsia="宋体" w:cs="宋体"/>
          <w:sz w:val="24"/>
          <w:szCs w:val="24"/>
          <w:highlight w:val="none"/>
        </w:rPr>
        <w:t>术语和定义</w:t>
      </w:r>
    </w:p>
    <w:p w14:paraId="0F7A42FE">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二氧化碳介质 carbon dioxide medium</w:t>
      </w:r>
    </w:p>
    <w:p w14:paraId="7A957C1B">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管输二氧化碳不凝气 non-condensable gases of carbon dioxide pipeline transportation</w:t>
      </w:r>
    </w:p>
    <w:p w14:paraId="6CCFE40D">
      <w:pPr>
        <w:pStyle w:val="47"/>
        <w:spacing w:line="360" w:lineRule="auto"/>
        <w:ind w:firstLine="420"/>
        <w:rPr>
          <w:rFonts w:hint="default" w:ascii="Times New Roman" w:hAnsi="Times New Roman" w:cs="Times New Roman"/>
          <w:snapToGrid w:val="0"/>
          <w:sz w:val="24"/>
          <w:szCs w:val="24"/>
          <w:highlight w:val="none"/>
        </w:rPr>
      </w:pPr>
      <w:bookmarkStart w:id="2" w:name="_Toc466553390"/>
      <w:bookmarkStart w:id="3" w:name="_Toc481172334"/>
      <w:bookmarkStart w:id="4" w:name="_Toc481090354"/>
      <w:r>
        <w:rPr>
          <w:rFonts w:hint="default" w:ascii="Times New Roman" w:hAnsi="Times New Roman" w:cs="Times New Roman"/>
          <w:snapToGrid w:val="0"/>
          <w:sz w:val="24"/>
          <w:szCs w:val="24"/>
          <w:highlight w:val="none"/>
        </w:rPr>
        <w:t>二氧化碳输送管道工程 engineering of carbon dioxide pipeline transportation</w:t>
      </w:r>
      <w:bookmarkEnd w:id="2"/>
      <w:bookmarkEnd w:id="3"/>
      <w:bookmarkEnd w:id="4"/>
    </w:p>
    <w:p w14:paraId="5C3EEEF5">
      <w:pPr>
        <w:pStyle w:val="47"/>
        <w:spacing w:line="360" w:lineRule="auto"/>
        <w:ind w:firstLine="420"/>
        <w:rPr>
          <w:rFonts w:hint="default" w:ascii="Times New Roman" w:hAnsi="Times New Roman" w:cs="Times New Roman"/>
          <w:snapToGrid w:val="0"/>
          <w:sz w:val="24"/>
          <w:szCs w:val="24"/>
          <w:highlight w:val="none"/>
        </w:rPr>
      </w:pPr>
      <w:bookmarkStart w:id="5" w:name="_Toc481090355"/>
      <w:bookmarkStart w:id="6" w:name="_Toc481172335"/>
      <w:bookmarkStart w:id="7" w:name="_Toc466553391"/>
      <w:r>
        <w:rPr>
          <w:rFonts w:hint="default" w:ascii="Times New Roman" w:hAnsi="Times New Roman" w:cs="Times New Roman"/>
          <w:snapToGrid w:val="0"/>
          <w:sz w:val="24"/>
          <w:szCs w:val="24"/>
          <w:highlight w:val="none"/>
        </w:rPr>
        <w:t>超临界二氧化碳输送 supercritical carbon dioxide transportation</w:t>
      </w:r>
      <w:bookmarkEnd w:id="5"/>
      <w:bookmarkEnd w:id="6"/>
      <w:bookmarkEnd w:id="7"/>
    </w:p>
    <w:p w14:paraId="6BC9BC0D">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二氧化碳捕集埋存与提高采收率(CCUS-EOR) carbon dioxide capture</w:t>
      </w:r>
      <w:r>
        <w:rPr>
          <w:rFonts w:hint="eastAsia" w:ascii="Times New Roman" w:hAnsi="Times New Roman" w:cs="Times New Roman"/>
          <w:snapToGrid w:val="0"/>
          <w:sz w:val="24"/>
          <w:szCs w:val="24"/>
          <w:highlight w:val="none"/>
          <w:lang w:eastAsia="zh-CN"/>
        </w:rPr>
        <w:t>，</w:t>
      </w:r>
      <w:r>
        <w:rPr>
          <w:rFonts w:hint="default" w:ascii="Times New Roman" w:hAnsi="Times New Roman" w:cs="Times New Roman"/>
          <w:snapToGrid w:val="0"/>
          <w:sz w:val="24"/>
          <w:szCs w:val="24"/>
          <w:highlight w:val="none"/>
        </w:rPr>
        <w:t>storage and enhanced oil recovery</w:t>
      </w:r>
    </w:p>
    <w:p w14:paraId="746038DF">
      <w:pPr>
        <w:pStyle w:val="47"/>
        <w:spacing w:line="360" w:lineRule="auto"/>
        <w:ind w:firstLine="420"/>
        <w:rPr>
          <w:rFonts w:hint="default" w:ascii="Times New Roman" w:hAnsi="Times New Roman" w:cs="Times New Roman"/>
          <w:snapToGrid w:val="0"/>
          <w:sz w:val="24"/>
          <w:szCs w:val="24"/>
          <w:highlight w:val="none"/>
        </w:rPr>
      </w:pPr>
      <w:r>
        <w:rPr>
          <w:rFonts w:hint="default" w:ascii="Times New Roman" w:hAnsi="Times New Roman" w:cs="Times New Roman"/>
          <w:snapToGrid w:val="0"/>
          <w:sz w:val="24"/>
          <w:szCs w:val="24"/>
          <w:highlight w:val="none"/>
        </w:rPr>
        <w:t>二氧化碳捕集与封存(CCS) carbon capture and storage</w:t>
      </w:r>
    </w:p>
    <w:p w14:paraId="7192ED96">
      <w:pPr>
        <w:numPr>
          <w:ilvl w:val="0"/>
          <w:numId w:val="3"/>
        </w:numPr>
        <w:ind w:firstLine="480"/>
        <w:rPr>
          <w:rFonts w:hint="default" w:ascii="宋体" w:hAnsi="宋体" w:eastAsia="宋体" w:cs="宋体"/>
          <w:sz w:val="24"/>
          <w:szCs w:val="24"/>
          <w:highlight w:val="none"/>
        </w:rPr>
      </w:pPr>
      <w:r>
        <w:rPr>
          <w:rFonts w:hint="default" w:ascii="宋体" w:hAnsi="宋体" w:eastAsia="宋体" w:cs="宋体"/>
          <w:sz w:val="24"/>
          <w:szCs w:val="24"/>
          <w:highlight w:val="none"/>
        </w:rPr>
        <w:t>质量要求</w:t>
      </w:r>
    </w:p>
    <w:p w14:paraId="3CFD58E1">
      <w:pPr>
        <w:pStyle w:val="47"/>
        <w:spacing w:line="360" w:lineRule="auto"/>
        <w:ind w:firstLine="420"/>
        <w:rPr>
          <w:rFonts w:hint="default" w:ascii="Times New Roman" w:hAnsi="Times New Roman" w:eastAsia="宋体" w:cs="Times New Roman"/>
          <w:snapToGrid w:val="0"/>
          <w:sz w:val="24"/>
          <w:szCs w:val="24"/>
          <w:highlight w:val="none"/>
          <w:lang w:val="en-US" w:eastAsia="zh-CN"/>
        </w:rPr>
      </w:pPr>
      <w:r>
        <w:rPr>
          <w:rFonts w:hint="default" w:ascii="Times New Roman" w:hAnsi="Times New Roman" w:eastAsia="宋体" w:cs="Times New Roman"/>
          <w:snapToGrid w:val="0"/>
          <w:sz w:val="24"/>
          <w:szCs w:val="24"/>
          <w:highlight w:val="none"/>
          <w:lang w:val="en-US" w:eastAsia="zh-CN"/>
        </w:rPr>
        <w:t>规定了</w:t>
      </w:r>
      <w:r>
        <w:rPr>
          <w:rFonts w:hint="eastAsia" w:ascii="Times New Roman" w:cs="Times New Roman"/>
          <w:snapToGrid w:val="0"/>
          <w:sz w:val="24"/>
          <w:szCs w:val="24"/>
          <w:highlight w:val="none"/>
          <w:lang w:val="en-US" w:eastAsia="zh-CN"/>
        </w:rPr>
        <w:t>进入二氧化碳管道的介质中二氧化碳、水、总硫、硫化氢、不凝气的含量</w:t>
      </w:r>
      <w:r>
        <w:rPr>
          <w:rFonts w:hint="default" w:ascii="Times New Roman" w:hAnsi="Times New Roman" w:eastAsia="宋体" w:cs="Times New Roman"/>
          <w:snapToGrid w:val="0"/>
          <w:sz w:val="24"/>
          <w:szCs w:val="24"/>
          <w:highlight w:val="none"/>
          <w:lang w:val="en-US" w:eastAsia="zh-CN"/>
        </w:rPr>
        <w:t>要求</w:t>
      </w:r>
      <w:r>
        <w:rPr>
          <w:rFonts w:hint="eastAsia" w:ascii="Times New Roman" w:cs="Times New Roman"/>
          <w:snapToGrid w:val="0"/>
          <w:sz w:val="24"/>
          <w:szCs w:val="24"/>
          <w:highlight w:val="none"/>
          <w:lang w:val="en-US" w:eastAsia="zh-CN"/>
        </w:rPr>
        <w:t>。</w:t>
      </w:r>
    </w:p>
    <w:p w14:paraId="2FE8AB18">
      <w:pPr>
        <w:numPr>
          <w:ilvl w:val="0"/>
          <w:numId w:val="3"/>
        </w:numPr>
        <w:ind w:firstLine="48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试验方法</w:t>
      </w:r>
    </w:p>
    <w:p w14:paraId="097D1D60">
      <w:pPr>
        <w:pStyle w:val="47"/>
        <w:spacing w:line="360" w:lineRule="auto"/>
        <w:ind w:firstLine="420"/>
        <w:rPr>
          <w:rFonts w:hint="eastAsia" w:ascii="Times New Roman" w:cs="Times New Roman"/>
          <w:snapToGrid w:val="0"/>
          <w:sz w:val="24"/>
          <w:szCs w:val="24"/>
          <w:highlight w:val="none"/>
          <w:lang w:val="en-US" w:eastAsia="zh-CN"/>
        </w:rPr>
      </w:pPr>
      <w:r>
        <w:rPr>
          <w:rFonts w:hint="eastAsia" w:ascii="Times New Roman" w:cs="Times New Roman"/>
          <w:snapToGrid w:val="0"/>
          <w:sz w:val="24"/>
          <w:szCs w:val="24"/>
          <w:highlight w:val="none"/>
          <w:lang w:val="en-US" w:eastAsia="zh-CN"/>
        </w:rPr>
        <w:t>规定了管输</w:t>
      </w:r>
      <w:r>
        <w:rPr>
          <w:rFonts w:hint="default" w:ascii="Times New Roman" w:hAnsi="Times New Roman" w:cs="Times New Roman"/>
          <w:snapToGrid w:val="0"/>
          <w:color w:val="auto"/>
          <w:sz w:val="24"/>
          <w:szCs w:val="24"/>
          <w:highlight w:val="none"/>
        </w:rPr>
        <w:t>二氧</w:t>
      </w:r>
      <w:r>
        <w:rPr>
          <w:rFonts w:hint="default" w:ascii="Times New Roman" w:cs="Times New Roman"/>
          <w:snapToGrid w:val="0"/>
          <w:sz w:val="24"/>
          <w:szCs w:val="24"/>
          <w:highlight w:val="none"/>
          <w:lang w:val="en-US" w:eastAsia="zh-CN"/>
        </w:rPr>
        <w:t>化碳</w:t>
      </w:r>
      <w:r>
        <w:rPr>
          <w:rFonts w:hint="eastAsia" w:ascii="Times New Roman" w:cs="Times New Roman"/>
          <w:snapToGrid w:val="0"/>
          <w:sz w:val="24"/>
          <w:szCs w:val="24"/>
          <w:highlight w:val="none"/>
          <w:lang w:val="en-US" w:eastAsia="zh-CN"/>
        </w:rPr>
        <w:t>介质组分的试验方法、</w:t>
      </w:r>
      <w:r>
        <w:rPr>
          <w:rFonts w:hint="default" w:ascii="Times New Roman" w:cs="Times New Roman"/>
          <w:snapToGrid w:val="0"/>
          <w:sz w:val="24"/>
          <w:szCs w:val="24"/>
          <w:highlight w:val="none"/>
          <w:lang w:val="en-US" w:eastAsia="zh-CN"/>
        </w:rPr>
        <w:t>采样操作安全</w:t>
      </w:r>
      <w:r>
        <w:rPr>
          <w:rFonts w:hint="eastAsia" w:ascii="Times New Roman" w:cs="Times New Roman"/>
          <w:snapToGrid w:val="0"/>
          <w:sz w:val="24"/>
          <w:szCs w:val="24"/>
          <w:highlight w:val="none"/>
          <w:lang w:val="en-US" w:eastAsia="zh-CN"/>
        </w:rPr>
        <w:t>、</w:t>
      </w:r>
      <w:r>
        <w:rPr>
          <w:rFonts w:hint="default" w:ascii="Times New Roman" w:cs="Times New Roman"/>
          <w:snapToGrid w:val="0"/>
          <w:sz w:val="24"/>
          <w:szCs w:val="24"/>
          <w:highlight w:val="none"/>
          <w:lang w:val="en-US" w:eastAsia="zh-CN"/>
        </w:rPr>
        <w:t>采样步骤</w:t>
      </w:r>
      <w:r>
        <w:rPr>
          <w:rFonts w:hint="eastAsia" w:ascii="Times New Roman" w:cs="Times New Roman"/>
          <w:snapToGrid w:val="0"/>
          <w:sz w:val="24"/>
          <w:szCs w:val="24"/>
          <w:highlight w:val="none"/>
          <w:lang w:val="en-US" w:eastAsia="zh-CN"/>
        </w:rPr>
        <w:t>。</w:t>
      </w:r>
    </w:p>
    <w:p w14:paraId="134CEDE6">
      <w:pPr>
        <w:numPr>
          <w:ilvl w:val="0"/>
          <w:numId w:val="3"/>
        </w:numPr>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rPr>
        <w:t>检验规则</w:t>
      </w:r>
    </w:p>
    <w:p w14:paraId="5969665A">
      <w:pPr>
        <w:pStyle w:val="47"/>
        <w:spacing w:line="360" w:lineRule="auto"/>
        <w:ind w:firstLine="420"/>
        <w:rPr>
          <w:rFonts w:hint="eastAsia" w:ascii="Times New Roman" w:cs="Times New Roman"/>
          <w:snapToGrid w:val="0"/>
          <w:sz w:val="24"/>
          <w:szCs w:val="24"/>
          <w:highlight w:val="none"/>
          <w:lang w:val="en-US" w:eastAsia="zh-CN"/>
        </w:rPr>
      </w:pPr>
      <w:r>
        <w:rPr>
          <w:rFonts w:hint="eastAsia" w:ascii="Times New Roman" w:cs="Times New Roman"/>
          <w:snapToGrid w:val="0"/>
          <w:sz w:val="24"/>
          <w:szCs w:val="24"/>
          <w:highlight w:val="none"/>
          <w:lang w:val="en-US" w:eastAsia="zh-CN"/>
        </w:rPr>
        <w:t>规定了管输</w:t>
      </w:r>
      <w:r>
        <w:rPr>
          <w:rFonts w:hint="default" w:ascii="Times New Roman" w:cs="Times New Roman"/>
          <w:snapToGrid w:val="0"/>
          <w:sz w:val="24"/>
          <w:szCs w:val="24"/>
          <w:highlight w:val="none"/>
          <w:lang w:val="en-US" w:eastAsia="zh-CN"/>
        </w:rPr>
        <w:t>二氧化碳</w:t>
      </w:r>
      <w:r>
        <w:rPr>
          <w:rFonts w:hint="eastAsia" w:ascii="Times New Roman" w:cs="Times New Roman"/>
          <w:snapToGrid w:val="0"/>
          <w:sz w:val="24"/>
          <w:szCs w:val="24"/>
          <w:highlight w:val="none"/>
          <w:lang w:val="en-US" w:eastAsia="zh-CN"/>
        </w:rPr>
        <w:t>介质组分的全面检测、抽检或在线检测的要求。</w:t>
      </w:r>
    </w:p>
    <w:p w14:paraId="77C1BDA2">
      <w:pPr>
        <w:pStyle w:val="47"/>
        <w:spacing w:line="360" w:lineRule="auto"/>
        <w:ind w:firstLine="420"/>
        <w:rPr>
          <w:rFonts w:hint="default" w:ascii="Times New Roman" w:cs="Times New Roman"/>
          <w:snapToGrid w:val="0"/>
          <w:sz w:val="24"/>
          <w:szCs w:val="24"/>
          <w:highlight w:val="none"/>
          <w:lang w:val="en-US" w:eastAsia="zh-CN"/>
        </w:rPr>
      </w:pPr>
      <w:r>
        <w:rPr>
          <w:rFonts w:hint="eastAsia" w:ascii="Times New Roman" w:cs="Times New Roman"/>
          <w:snapToGrid w:val="0"/>
          <w:sz w:val="24"/>
          <w:szCs w:val="24"/>
          <w:highlight w:val="none"/>
          <w:lang w:val="en-US" w:eastAsia="zh-CN"/>
        </w:rPr>
        <w:t>（7）输送和使用</w:t>
      </w:r>
    </w:p>
    <w:p w14:paraId="50E3EE86">
      <w:pPr>
        <w:pStyle w:val="47"/>
        <w:spacing w:line="360" w:lineRule="auto"/>
        <w:ind w:firstLine="420"/>
        <w:rPr>
          <w:rFonts w:hint="default" w:ascii="Times New Roman" w:hAnsi="Times New Roman" w:eastAsia="宋体" w:cs="Times New Roman"/>
          <w:snapToGrid w:val="0"/>
          <w:sz w:val="24"/>
          <w:szCs w:val="24"/>
          <w:highlight w:val="none"/>
          <w:lang w:val="en-US" w:eastAsia="zh-CN"/>
        </w:rPr>
      </w:pPr>
      <w:r>
        <w:rPr>
          <w:rFonts w:hint="eastAsia" w:ascii="Times New Roman" w:cs="Times New Roman"/>
          <w:snapToGrid w:val="0"/>
          <w:sz w:val="24"/>
          <w:szCs w:val="24"/>
          <w:highlight w:val="none"/>
          <w:lang w:val="en-US" w:eastAsia="zh-CN"/>
        </w:rPr>
        <w:t>规定了二氧化碳流体在管道输送和使用中需要遵守的组分要求。</w:t>
      </w:r>
    </w:p>
    <w:p w14:paraId="1AC89248">
      <w:pPr>
        <w:ind w:firstLine="482"/>
        <w:rPr>
          <w:rFonts w:hint="eastAsia"/>
          <w:b/>
          <w:bCs/>
          <w:highlight w:val="none"/>
        </w:rPr>
      </w:pPr>
      <w:r>
        <w:rPr>
          <w:rFonts w:hint="eastAsia"/>
          <w:b/>
          <w:bCs/>
          <w:highlight w:val="none"/>
        </w:rPr>
        <w:t xml:space="preserve">2.3 修订前后技术内容的对比（如适用） </w:t>
      </w:r>
    </w:p>
    <w:p w14:paraId="54F65855">
      <w:pPr>
        <w:numPr>
          <w:ilvl w:val="0"/>
          <w:numId w:val="0"/>
        </w:numPr>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本标准为首次制订</w:t>
      </w:r>
    </w:p>
    <w:p w14:paraId="3CE37224">
      <w:pPr>
        <w:numPr>
          <w:ilvl w:val="0"/>
          <w:numId w:val="0"/>
        </w:numPr>
        <w:rPr>
          <w:rFonts w:hint="eastAsia"/>
          <w:szCs w:val="24"/>
        </w:rPr>
      </w:pPr>
    </w:p>
    <w:p w14:paraId="1663B1C8">
      <w:pPr>
        <w:pStyle w:val="25"/>
        <w:ind w:firstLine="0" w:firstLineChars="0"/>
      </w:pPr>
      <w:bookmarkStart w:id="8" w:name="_Toc186037014"/>
      <w:r>
        <w:rPr>
          <w:rFonts w:hint="eastAsia"/>
        </w:rPr>
        <w:t>三、主要试验（或验证）的分析、综述报告，技术经济论证，预期的经济效果</w:t>
      </w:r>
      <w:bookmarkEnd w:id="8"/>
    </w:p>
    <w:p w14:paraId="17238517">
      <w:pPr>
        <w:keepNext w:val="0"/>
        <w:keepLines w:val="0"/>
        <w:pageBreakBefore w:val="0"/>
        <w:widowControl w:val="0"/>
        <w:kinsoku/>
        <w:wordWrap/>
        <w:overflowPunct/>
        <w:topLinePunct w:val="0"/>
        <w:autoSpaceDE/>
        <w:autoSpaceDN/>
        <w:bidi w:val="0"/>
        <w:adjustRightInd w:val="0"/>
        <w:snapToGrid w:val="0"/>
        <w:spacing w:line="480" w:lineRule="auto"/>
        <w:ind w:firstLine="482"/>
        <w:textAlignment w:val="auto"/>
        <w:rPr>
          <w:b/>
          <w:bCs/>
        </w:rPr>
      </w:pPr>
      <w:r>
        <w:rPr>
          <w:rFonts w:hint="eastAsia"/>
          <w:b/>
          <w:bCs/>
          <w:lang w:val="en-US" w:eastAsia="zh-CN"/>
        </w:rPr>
        <w:t>3.</w:t>
      </w:r>
      <w:r>
        <w:rPr>
          <w:rFonts w:hint="eastAsia"/>
          <w:b/>
          <w:bCs/>
        </w:rPr>
        <w:t>1试验验证情况：</w:t>
      </w:r>
    </w:p>
    <w:p w14:paraId="65194022">
      <w:pPr>
        <w:keepNext w:val="0"/>
        <w:keepLines w:val="0"/>
        <w:pageBreakBefore w:val="0"/>
        <w:widowControl w:val="0"/>
        <w:kinsoku/>
        <w:wordWrap/>
        <w:overflowPunct/>
        <w:topLinePunct w:val="0"/>
        <w:autoSpaceDE/>
        <w:autoSpaceDN/>
        <w:bidi w:val="0"/>
        <w:adjustRightInd w:val="0"/>
        <w:snapToGrid w:val="0"/>
        <w:spacing w:line="480" w:lineRule="auto"/>
        <w:ind w:firstLine="482"/>
        <w:textAlignment w:val="auto"/>
        <w:rPr>
          <w:rFonts w:hint="eastAsia"/>
          <w:b/>
          <w:bCs/>
        </w:rPr>
      </w:pPr>
      <w:r>
        <w:rPr>
          <w:rFonts w:hint="eastAsia"/>
          <w:b/>
          <w:bCs/>
          <w:lang w:val="en-US" w:eastAsia="zh-CN"/>
        </w:rPr>
        <w:t>3.</w:t>
      </w:r>
      <w:r>
        <w:rPr>
          <w:rFonts w:hint="eastAsia"/>
          <w:b/>
          <w:bCs/>
        </w:rPr>
        <w:t>1.</w:t>
      </w:r>
      <w:r>
        <w:rPr>
          <w:rFonts w:hint="eastAsia"/>
          <w:b/>
          <w:bCs/>
          <w:lang w:val="en-US" w:eastAsia="zh-CN"/>
        </w:rPr>
        <w:t>1</w:t>
      </w:r>
      <w:r>
        <w:rPr>
          <w:rFonts w:hint="eastAsia"/>
          <w:b/>
          <w:bCs/>
        </w:rPr>
        <w:t xml:space="preserve"> 确定技术指标</w:t>
      </w:r>
    </w:p>
    <w:p w14:paraId="26278CA5">
      <w:pPr>
        <w:ind w:firstLine="480"/>
        <w:rPr>
          <w:szCs w:val="24"/>
        </w:rPr>
      </w:pPr>
      <w:r>
        <w:rPr>
          <w:rFonts w:hint="eastAsia"/>
          <w:szCs w:val="24"/>
        </w:rPr>
        <w:t>（1）二氧化碳纯度指标</w:t>
      </w:r>
    </w:p>
    <w:p w14:paraId="7140ECCA">
      <w:pPr>
        <w:ind w:firstLine="480"/>
        <w:rPr>
          <w:szCs w:val="24"/>
        </w:rPr>
      </w:pPr>
      <w:r>
        <w:rPr>
          <w:szCs w:val="24"/>
        </w:rPr>
        <w:t>长输管道输送气态二氧化碳时，二氧化碳介质含量宜大于75%（质量分数）；超临界/密相输送时，二氧化碳介质含量宜大于95%（质量分数）。</w:t>
      </w:r>
    </w:p>
    <w:p w14:paraId="0F27EE5D">
      <w:pPr>
        <w:ind w:firstLine="480"/>
        <w:rPr>
          <w:szCs w:val="24"/>
        </w:rPr>
      </w:pPr>
      <w:r>
        <w:rPr>
          <w:szCs w:val="24"/>
        </w:rPr>
        <w:t>国内目前大部分输送管道的二氧化碳纯度在99%以上，其中，吉林油田</w:t>
      </w:r>
      <w:r>
        <w:rPr>
          <w:rFonts w:hint="eastAsia"/>
          <w:szCs w:val="24"/>
        </w:rPr>
        <w:t>CO</w:t>
      </w:r>
      <w:r>
        <w:rPr>
          <w:rFonts w:hint="eastAsia"/>
          <w:szCs w:val="24"/>
          <w:vertAlign w:val="subscript"/>
        </w:rPr>
        <w:t>2</w:t>
      </w:r>
      <w:r>
        <w:rPr>
          <w:szCs w:val="24"/>
        </w:rPr>
        <w:t>体积分数75.01-78.95；国外除个别管道低于95%以外，总体二氧化碳纯度均高于95%。国内二氧化碳输送管道二氧化碳质量详细指标见表</w:t>
      </w:r>
      <w:r>
        <w:rPr>
          <w:rFonts w:hint="eastAsia"/>
          <w:szCs w:val="24"/>
        </w:rPr>
        <w:t>2</w:t>
      </w:r>
      <w:r>
        <w:rPr>
          <w:szCs w:val="24"/>
        </w:rPr>
        <w:t>所示。中国石化首条</w:t>
      </w:r>
      <w:r>
        <w:rPr>
          <w:rFonts w:hint="eastAsia"/>
          <w:szCs w:val="24"/>
        </w:rPr>
        <w:t>“</w:t>
      </w:r>
      <w:r>
        <w:rPr>
          <w:szCs w:val="24"/>
        </w:rPr>
        <w:t>百公里、百万吨</w:t>
      </w:r>
      <w:r>
        <w:rPr>
          <w:rFonts w:hint="eastAsia"/>
          <w:szCs w:val="24"/>
        </w:rPr>
        <w:t>”</w:t>
      </w:r>
      <w:r>
        <w:rPr>
          <w:szCs w:val="24"/>
        </w:rPr>
        <w:t>二氧化碳长输管道，二氧化碳纯度为99.2931%。延长油田一期36×10</w:t>
      </w:r>
      <w:r>
        <w:rPr>
          <w:szCs w:val="24"/>
          <w:vertAlign w:val="superscript"/>
        </w:rPr>
        <w:t>4</w:t>
      </w:r>
      <w:r>
        <w:rPr>
          <w:rFonts w:hint="eastAsia"/>
          <w:szCs w:val="24"/>
          <w:vertAlign w:val="superscript"/>
        </w:rPr>
        <w:t xml:space="preserve"> </w:t>
      </w:r>
      <w:r>
        <w:rPr>
          <w:szCs w:val="24"/>
        </w:rPr>
        <w:t>t/a输送管网中，二氧化碳纯度为98.8042%。新疆油田超临界二氧化碳管道示范工程，二氧化碳纯度为99.5%。中海油某项目海管气体的二氧化碳纯度为97.29%。中海油针对我国南海东方1-1气田终端二氧化碳特点，即二氧化碳纯度为99.6139%，考虑采用管道输送。国内目前大部分输送管道的二氧化碳纯度在99%以上。</w:t>
      </w:r>
    </w:p>
    <w:p w14:paraId="7E4A2F8C">
      <w:pPr>
        <w:ind w:firstLine="420"/>
        <w:jc w:val="center"/>
      </w:pPr>
      <w:r>
        <w:rPr>
          <w:sz w:val="21"/>
        </w:rPr>
        <w:t>表</w:t>
      </w:r>
      <w:r>
        <w:rPr>
          <w:rFonts w:hint="eastAsia"/>
          <w:sz w:val="21"/>
        </w:rPr>
        <w:t>2</w:t>
      </w:r>
      <w:r>
        <w:rPr>
          <w:sz w:val="21"/>
        </w:rPr>
        <w:t xml:space="preserve"> 国内CO</w:t>
      </w:r>
      <w:r>
        <w:rPr>
          <w:sz w:val="21"/>
          <w:vertAlign w:val="subscript"/>
        </w:rPr>
        <w:t>2</w:t>
      </w:r>
      <w:r>
        <w:rPr>
          <w:sz w:val="21"/>
        </w:rPr>
        <w:t>管道气体组成汇总表（mol%）</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108" w:type="dxa"/>
          <w:bottom w:w="28" w:type="dxa"/>
          <w:right w:w="108" w:type="dxa"/>
        </w:tblCellMar>
      </w:tblPr>
      <w:tblGrid>
        <w:gridCol w:w="880"/>
        <w:gridCol w:w="1533"/>
        <w:gridCol w:w="1367"/>
        <w:gridCol w:w="1683"/>
        <w:gridCol w:w="899"/>
        <w:gridCol w:w="1255"/>
        <w:gridCol w:w="899"/>
      </w:tblGrid>
      <w:tr w14:paraId="2673E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shd w:val="clear" w:color="auto" w:fill="auto"/>
            <w:vAlign w:val="center"/>
          </w:tcPr>
          <w:p w14:paraId="1EC17162">
            <w:pPr>
              <w:pStyle w:val="46"/>
              <w:rPr>
                <w:color w:val="000000"/>
                <w:szCs w:val="18"/>
              </w:rPr>
            </w:pPr>
            <w:r>
              <w:rPr>
                <w:color w:val="000000"/>
                <w:szCs w:val="18"/>
              </w:rPr>
              <w:t>组分</w:t>
            </w:r>
          </w:p>
        </w:tc>
        <w:tc>
          <w:tcPr>
            <w:tcW w:w="948" w:type="pct"/>
            <w:shd w:val="clear" w:color="auto" w:fill="auto"/>
            <w:vAlign w:val="center"/>
          </w:tcPr>
          <w:p w14:paraId="5B15FBAC">
            <w:pPr>
              <w:pStyle w:val="46"/>
              <w:rPr>
                <w:color w:val="000000"/>
                <w:szCs w:val="18"/>
              </w:rPr>
            </w:pPr>
            <w:r>
              <w:rPr>
                <w:color w:val="000000"/>
                <w:szCs w:val="18"/>
              </w:rPr>
              <w:t>齐鲁石化-胜利油田百万吨级CO</w:t>
            </w:r>
            <w:r>
              <w:rPr>
                <w:color w:val="000000"/>
                <w:szCs w:val="18"/>
                <w:vertAlign w:val="subscript"/>
              </w:rPr>
              <w:t>2</w:t>
            </w:r>
            <w:r>
              <w:rPr>
                <w:color w:val="000000"/>
                <w:szCs w:val="18"/>
              </w:rPr>
              <w:t>管道</w:t>
            </w:r>
          </w:p>
        </w:tc>
        <w:tc>
          <w:tcPr>
            <w:tcW w:w="851" w:type="pct"/>
            <w:shd w:val="clear" w:color="auto" w:fill="auto"/>
            <w:vAlign w:val="center"/>
          </w:tcPr>
          <w:p w14:paraId="3824930A">
            <w:pPr>
              <w:pStyle w:val="46"/>
              <w:rPr>
                <w:color w:val="000000"/>
                <w:szCs w:val="18"/>
              </w:rPr>
            </w:pPr>
            <w:r>
              <w:rPr>
                <w:color w:val="000000"/>
                <w:szCs w:val="18"/>
              </w:rPr>
              <w:t>延长油田超临界含杂质CO</w:t>
            </w:r>
            <w:r>
              <w:rPr>
                <w:color w:val="000000"/>
                <w:szCs w:val="18"/>
                <w:vertAlign w:val="subscript"/>
              </w:rPr>
              <w:t>2</w:t>
            </w:r>
            <w:r>
              <w:rPr>
                <w:color w:val="000000"/>
                <w:szCs w:val="18"/>
              </w:rPr>
              <w:t>管网</w:t>
            </w:r>
          </w:p>
        </w:tc>
        <w:tc>
          <w:tcPr>
            <w:tcW w:w="1036" w:type="pct"/>
            <w:shd w:val="clear" w:color="auto" w:fill="auto"/>
            <w:vAlign w:val="center"/>
          </w:tcPr>
          <w:p w14:paraId="1190643C">
            <w:pPr>
              <w:pStyle w:val="46"/>
              <w:rPr>
                <w:color w:val="000000"/>
                <w:szCs w:val="18"/>
              </w:rPr>
            </w:pPr>
            <w:r>
              <w:rPr>
                <w:color w:val="000000"/>
                <w:szCs w:val="18"/>
              </w:rPr>
              <w:t>新疆油田百万吨级超临界CO</w:t>
            </w:r>
            <w:r>
              <w:rPr>
                <w:color w:val="000000"/>
                <w:szCs w:val="18"/>
                <w:vertAlign w:val="subscript"/>
              </w:rPr>
              <w:t>2</w:t>
            </w:r>
            <w:r>
              <w:rPr>
                <w:color w:val="000000"/>
                <w:szCs w:val="18"/>
              </w:rPr>
              <w:t>管道示范工程</w:t>
            </w:r>
          </w:p>
        </w:tc>
        <w:tc>
          <w:tcPr>
            <w:tcW w:w="486" w:type="pct"/>
            <w:shd w:val="clear" w:color="auto" w:fill="auto"/>
            <w:vAlign w:val="center"/>
          </w:tcPr>
          <w:p w14:paraId="14A4B2DC">
            <w:pPr>
              <w:pStyle w:val="46"/>
              <w:rPr>
                <w:color w:val="000000"/>
                <w:szCs w:val="18"/>
              </w:rPr>
            </w:pPr>
            <w:r>
              <w:rPr>
                <w:color w:val="000000"/>
                <w:szCs w:val="18"/>
              </w:rPr>
              <w:t>某油田管道</w:t>
            </w:r>
          </w:p>
        </w:tc>
        <w:tc>
          <w:tcPr>
            <w:tcW w:w="773" w:type="pct"/>
            <w:shd w:val="clear" w:color="auto" w:fill="auto"/>
            <w:vAlign w:val="center"/>
          </w:tcPr>
          <w:p w14:paraId="240302FC">
            <w:pPr>
              <w:pStyle w:val="46"/>
              <w:rPr>
                <w:color w:val="000000"/>
                <w:szCs w:val="18"/>
              </w:rPr>
            </w:pPr>
            <w:r>
              <w:rPr>
                <w:color w:val="000000"/>
                <w:szCs w:val="18"/>
              </w:rPr>
              <w:t>中海油某项目海管气体</w:t>
            </w:r>
          </w:p>
        </w:tc>
        <w:tc>
          <w:tcPr>
            <w:tcW w:w="500" w:type="pct"/>
            <w:shd w:val="clear" w:color="auto" w:fill="auto"/>
            <w:vAlign w:val="center"/>
          </w:tcPr>
          <w:p w14:paraId="5C17E0DB">
            <w:pPr>
              <w:pStyle w:val="46"/>
              <w:rPr>
                <w:color w:val="000000"/>
                <w:szCs w:val="18"/>
              </w:rPr>
            </w:pPr>
            <w:r>
              <w:rPr>
                <w:color w:val="000000"/>
                <w:szCs w:val="18"/>
              </w:rPr>
              <w:t>东方1-1气田</w:t>
            </w:r>
          </w:p>
        </w:tc>
      </w:tr>
      <w:tr w14:paraId="30ED5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517B5339">
            <w:pPr>
              <w:pStyle w:val="46"/>
              <w:rPr>
                <w:color w:val="000000"/>
                <w:szCs w:val="18"/>
              </w:rPr>
            </w:pPr>
            <w:r>
              <w:rPr>
                <w:color w:val="000000"/>
                <w:szCs w:val="18"/>
              </w:rPr>
              <w:t>CO</w:t>
            </w:r>
            <w:r>
              <w:rPr>
                <w:color w:val="000000"/>
                <w:szCs w:val="18"/>
                <w:vertAlign w:val="subscript"/>
              </w:rPr>
              <w:t>2</w:t>
            </w:r>
          </w:p>
        </w:tc>
        <w:tc>
          <w:tcPr>
            <w:tcW w:w="948" w:type="pct"/>
            <w:vAlign w:val="center"/>
          </w:tcPr>
          <w:p w14:paraId="4C0AEE86">
            <w:pPr>
              <w:pStyle w:val="46"/>
              <w:rPr>
                <w:color w:val="000000"/>
                <w:szCs w:val="18"/>
              </w:rPr>
            </w:pPr>
            <w:r>
              <w:rPr>
                <w:color w:val="000000"/>
                <w:szCs w:val="18"/>
              </w:rPr>
              <w:t>99.2931</w:t>
            </w:r>
          </w:p>
        </w:tc>
        <w:tc>
          <w:tcPr>
            <w:tcW w:w="851" w:type="pct"/>
            <w:vAlign w:val="center"/>
          </w:tcPr>
          <w:p w14:paraId="047CAE25">
            <w:pPr>
              <w:pStyle w:val="46"/>
              <w:rPr>
                <w:color w:val="000000"/>
                <w:szCs w:val="18"/>
              </w:rPr>
            </w:pPr>
            <w:r>
              <w:rPr>
                <w:color w:val="000000"/>
                <w:szCs w:val="18"/>
              </w:rPr>
              <w:t>98.8042</w:t>
            </w:r>
          </w:p>
        </w:tc>
        <w:tc>
          <w:tcPr>
            <w:tcW w:w="1036" w:type="pct"/>
            <w:vAlign w:val="center"/>
          </w:tcPr>
          <w:p w14:paraId="568BF3B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99.5</w:t>
            </w:r>
          </w:p>
        </w:tc>
        <w:tc>
          <w:tcPr>
            <w:tcW w:w="486" w:type="pct"/>
            <w:vAlign w:val="center"/>
          </w:tcPr>
          <w:p w14:paraId="60E8669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98.6702</w:t>
            </w:r>
          </w:p>
        </w:tc>
        <w:tc>
          <w:tcPr>
            <w:tcW w:w="773" w:type="pct"/>
            <w:vAlign w:val="center"/>
          </w:tcPr>
          <w:p w14:paraId="50A86F1F">
            <w:pPr>
              <w:pStyle w:val="46"/>
              <w:rPr>
                <w:color w:val="000000"/>
                <w:szCs w:val="18"/>
              </w:rPr>
            </w:pPr>
            <w:r>
              <w:rPr>
                <w:color w:val="000000"/>
                <w:szCs w:val="18"/>
              </w:rPr>
              <w:t>97.29</w:t>
            </w:r>
          </w:p>
        </w:tc>
        <w:tc>
          <w:tcPr>
            <w:tcW w:w="500" w:type="pct"/>
            <w:vAlign w:val="center"/>
          </w:tcPr>
          <w:p w14:paraId="309A093E">
            <w:pPr>
              <w:pStyle w:val="46"/>
              <w:rPr>
                <w:color w:val="000000"/>
                <w:szCs w:val="18"/>
              </w:rPr>
            </w:pPr>
            <w:r>
              <w:rPr>
                <w:color w:val="000000"/>
                <w:szCs w:val="18"/>
              </w:rPr>
              <w:t>99.6139</w:t>
            </w:r>
          </w:p>
        </w:tc>
      </w:tr>
      <w:tr w14:paraId="6D90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DCC42B8">
            <w:pPr>
              <w:pStyle w:val="46"/>
              <w:rPr>
                <w:color w:val="000000"/>
                <w:szCs w:val="18"/>
              </w:rPr>
            </w:pPr>
            <w:r>
              <w:rPr>
                <w:color w:val="000000"/>
                <w:szCs w:val="18"/>
              </w:rPr>
              <w:t>CO</w:t>
            </w:r>
          </w:p>
        </w:tc>
        <w:tc>
          <w:tcPr>
            <w:tcW w:w="948" w:type="pct"/>
            <w:vAlign w:val="center"/>
          </w:tcPr>
          <w:p w14:paraId="08331F27">
            <w:pPr>
              <w:pStyle w:val="46"/>
              <w:rPr>
                <w:color w:val="000000"/>
                <w:szCs w:val="18"/>
              </w:rPr>
            </w:pPr>
            <w:r>
              <w:rPr>
                <w:color w:val="000000"/>
                <w:szCs w:val="18"/>
              </w:rPr>
              <w:t>0.0363</w:t>
            </w:r>
          </w:p>
        </w:tc>
        <w:tc>
          <w:tcPr>
            <w:tcW w:w="851" w:type="pct"/>
            <w:vAlign w:val="center"/>
          </w:tcPr>
          <w:p w14:paraId="45E0D54C">
            <w:pPr>
              <w:pStyle w:val="46"/>
              <w:rPr>
                <w:color w:val="000000"/>
                <w:szCs w:val="18"/>
              </w:rPr>
            </w:pPr>
            <w:r>
              <w:rPr>
                <w:color w:val="000000"/>
                <w:szCs w:val="18"/>
              </w:rPr>
              <w:t>0.7675</w:t>
            </w:r>
          </w:p>
        </w:tc>
        <w:tc>
          <w:tcPr>
            <w:tcW w:w="1036" w:type="pct"/>
            <w:vAlign w:val="center"/>
          </w:tcPr>
          <w:p w14:paraId="0EFE256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37F7C08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773" w:type="pct"/>
            <w:vAlign w:val="center"/>
          </w:tcPr>
          <w:p w14:paraId="3A0C1F5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500" w:type="pct"/>
            <w:vAlign w:val="center"/>
          </w:tcPr>
          <w:p w14:paraId="314442EB">
            <w:pPr>
              <w:widowControl/>
              <w:adjustRightInd w:val="0"/>
              <w:snapToGrid w:val="0"/>
              <w:spacing w:line="240" w:lineRule="auto"/>
              <w:ind w:firstLine="0" w:firstLineChars="0"/>
              <w:jc w:val="center"/>
              <w:rPr>
                <w:color w:val="000000"/>
                <w:kern w:val="0"/>
                <w:sz w:val="21"/>
                <w:szCs w:val="18"/>
              </w:rPr>
            </w:pPr>
          </w:p>
        </w:tc>
      </w:tr>
      <w:tr w14:paraId="278F2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4EB157F0">
            <w:pPr>
              <w:pStyle w:val="46"/>
              <w:rPr>
                <w:color w:val="000000"/>
                <w:szCs w:val="18"/>
              </w:rPr>
            </w:pPr>
            <w:r>
              <w:rPr>
                <w:color w:val="000000"/>
                <w:szCs w:val="18"/>
              </w:rPr>
              <w:t>H</w:t>
            </w:r>
            <w:r>
              <w:rPr>
                <w:color w:val="000000"/>
                <w:szCs w:val="18"/>
                <w:vertAlign w:val="subscript"/>
              </w:rPr>
              <w:t>2</w:t>
            </w:r>
          </w:p>
        </w:tc>
        <w:tc>
          <w:tcPr>
            <w:tcW w:w="948" w:type="pct"/>
            <w:vAlign w:val="center"/>
          </w:tcPr>
          <w:p w14:paraId="039CB1B4">
            <w:pPr>
              <w:pStyle w:val="46"/>
              <w:rPr>
                <w:color w:val="000000"/>
                <w:szCs w:val="18"/>
              </w:rPr>
            </w:pPr>
            <w:r>
              <w:rPr>
                <w:color w:val="000000"/>
                <w:szCs w:val="18"/>
              </w:rPr>
              <w:t>0.012</w:t>
            </w:r>
          </w:p>
        </w:tc>
        <w:tc>
          <w:tcPr>
            <w:tcW w:w="851" w:type="pct"/>
            <w:vAlign w:val="center"/>
          </w:tcPr>
          <w:p w14:paraId="221533E9">
            <w:pPr>
              <w:pStyle w:val="46"/>
              <w:rPr>
                <w:color w:val="000000"/>
                <w:szCs w:val="18"/>
              </w:rPr>
            </w:pPr>
            <w:r>
              <w:rPr>
                <w:color w:val="000000"/>
                <w:szCs w:val="18"/>
              </w:rPr>
              <w:t>0.0435</w:t>
            </w:r>
          </w:p>
        </w:tc>
        <w:tc>
          <w:tcPr>
            <w:tcW w:w="1036" w:type="pct"/>
            <w:vAlign w:val="center"/>
          </w:tcPr>
          <w:p w14:paraId="1C09412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13AF26E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773" w:type="pct"/>
            <w:vAlign w:val="center"/>
          </w:tcPr>
          <w:p w14:paraId="2AE03ED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500" w:type="pct"/>
            <w:vAlign w:val="center"/>
          </w:tcPr>
          <w:p w14:paraId="50B63A63">
            <w:pPr>
              <w:widowControl/>
              <w:adjustRightInd w:val="0"/>
              <w:snapToGrid w:val="0"/>
              <w:spacing w:line="240" w:lineRule="auto"/>
              <w:ind w:firstLine="0" w:firstLineChars="0"/>
              <w:jc w:val="center"/>
              <w:rPr>
                <w:color w:val="000000"/>
                <w:kern w:val="0"/>
                <w:sz w:val="21"/>
                <w:szCs w:val="18"/>
              </w:rPr>
            </w:pPr>
          </w:p>
        </w:tc>
      </w:tr>
      <w:tr w14:paraId="04A4A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0B53CC41">
            <w:pPr>
              <w:pStyle w:val="46"/>
              <w:rPr>
                <w:color w:val="000000"/>
                <w:szCs w:val="18"/>
              </w:rPr>
            </w:pPr>
            <w:r>
              <w:rPr>
                <w:color w:val="000000"/>
                <w:szCs w:val="18"/>
              </w:rPr>
              <w:t>N</w:t>
            </w:r>
            <w:r>
              <w:rPr>
                <w:color w:val="000000"/>
                <w:szCs w:val="18"/>
                <w:vertAlign w:val="subscript"/>
              </w:rPr>
              <w:t>2</w:t>
            </w:r>
          </w:p>
        </w:tc>
        <w:tc>
          <w:tcPr>
            <w:tcW w:w="948" w:type="pct"/>
            <w:vAlign w:val="center"/>
          </w:tcPr>
          <w:p w14:paraId="024A41AC">
            <w:pPr>
              <w:pStyle w:val="46"/>
              <w:rPr>
                <w:color w:val="000000"/>
                <w:szCs w:val="18"/>
              </w:rPr>
            </w:pPr>
            <w:r>
              <w:rPr>
                <w:color w:val="000000"/>
                <w:szCs w:val="18"/>
              </w:rPr>
              <w:t>0.6289</w:t>
            </w:r>
          </w:p>
        </w:tc>
        <w:tc>
          <w:tcPr>
            <w:tcW w:w="851" w:type="pct"/>
            <w:vAlign w:val="center"/>
          </w:tcPr>
          <w:p w14:paraId="22457A36">
            <w:pPr>
              <w:pStyle w:val="46"/>
              <w:rPr>
                <w:color w:val="000000"/>
                <w:szCs w:val="18"/>
              </w:rPr>
            </w:pPr>
            <w:r>
              <w:rPr>
                <w:color w:val="000000"/>
                <w:szCs w:val="18"/>
              </w:rPr>
              <w:t>0.3305</w:t>
            </w:r>
          </w:p>
        </w:tc>
        <w:tc>
          <w:tcPr>
            <w:tcW w:w="1036" w:type="pct"/>
            <w:vAlign w:val="center"/>
          </w:tcPr>
          <w:p w14:paraId="733407A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0.18</w:t>
            </w:r>
          </w:p>
        </w:tc>
        <w:tc>
          <w:tcPr>
            <w:tcW w:w="486" w:type="pct"/>
            <w:vAlign w:val="center"/>
          </w:tcPr>
          <w:p w14:paraId="4C8A714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0.5354</w:t>
            </w:r>
          </w:p>
        </w:tc>
        <w:tc>
          <w:tcPr>
            <w:tcW w:w="773" w:type="pct"/>
            <w:vAlign w:val="center"/>
          </w:tcPr>
          <w:p w14:paraId="6A4C2EF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1.35</w:t>
            </w:r>
          </w:p>
        </w:tc>
        <w:tc>
          <w:tcPr>
            <w:tcW w:w="500" w:type="pct"/>
            <w:vAlign w:val="center"/>
          </w:tcPr>
          <w:p w14:paraId="46A162C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0.0777</w:t>
            </w:r>
          </w:p>
        </w:tc>
      </w:tr>
      <w:tr w14:paraId="3403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4EFF17C4">
            <w:pPr>
              <w:pStyle w:val="46"/>
              <w:rPr>
                <w:color w:val="000000"/>
                <w:szCs w:val="18"/>
              </w:rPr>
            </w:pPr>
            <w:r>
              <w:rPr>
                <w:color w:val="000000"/>
                <w:szCs w:val="18"/>
              </w:rPr>
              <w:t>CH</w:t>
            </w:r>
            <w:r>
              <w:rPr>
                <w:color w:val="000000"/>
                <w:szCs w:val="18"/>
                <w:vertAlign w:val="subscript"/>
              </w:rPr>
              <w:t>4</w:t>
            </w:r>
          </w:p>
        </w:tc>
        <w:tc>
          <w:tcPr>
            <w:tcW w:w="948" w:type="pct"/>
            <w:vAlign w:val="center"/>
          </w:tcPr>
          <w:p w14:paraId="7E1D58F4">
            <w:pPr>
              <w:pStyle w:val="46"/>
              <w:rPr>
                <w:color w:val="000000"/>
                <w:szCs w:val="18"/>
              </w:rPr>
            </w:pPr>
            <w:r>
              <w:rPr>
                <w:color w:val="000000"/>
                <w:szCs w:val="18"/>
              </w:rPr>
              <w:t>0.0003</w:t>
            </w:r>
          </w:p>
        </w:tc>
        <w:tc>
          <w:tcPr>
            <w:tcW w:w="851" w:type="pct"/>
            <w:vAlign w:val="center"/>
          </w:tcPr>
          <w:p w14:paraId="1B048220">
            <w:pPr>
              <w:pStyle w:val="46"/>
              <w:rPr>
                <w:color w:val="000000"/>
                <w:szCs w:val="18"/>
              </w:rPr>
            </w:pPr>
            <w:r>
              <w:rPr>
                <w:color w:val="000000"/>
                <w:szCs w:val="18"/>
              </w:rPr>
              <w:t>0.0135</w:t>
            </w:r>
          </w:p>
        </w:tc>
        <w:tc>
          <w:tcPr>
            <w:tcW w:w="1036" w:type="pct"/>
            <w:vAlign w:val="center"/>
          </w:tcPr>
          <w:p w14:paraId="767E20D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0.15</w:t>
            </w:r>
          </w:p>
        </w:tc>
        <w:tc>
          <w:tcPr>
            <w:tcW w:w="486" w:type="pct"/>
            <w:vAlign w:val="center"/>
          </w:tcPr>
          <w:p w14:paraId="7B1EBEC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0.08</w:t>
            </w:r>
          </w:p>
        </w:tc>
        <w:tc>
          <w:tcPr>
            <w:tcW w:w="773" w:type="pct"/>
            <w:vAlign w:val="center"/>
          </w:tcPr>
          <w:p w14:paraId="4FCF5D1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0.36</w:t>
            </w:r>
          </w:p>
        </w:tc>
        <w:tc>
          <w:tcPr>
            <w:tcW w:w="500" w:type="pct"/>
            <w:vAlign w:val="center"/>
          </w:tcPr>
          <w:p w14:paraId="206975A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0.3017</w:t>
            </w:r>
          </w:p>
        </w:tc>
      </w:tr>
      <w:tr w14:paraId="6D5BF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4D2DFAEA">
            <w:pPr>
              <w:pStyle w:val="46"/>
              <w:rPr>
                <w:color w:val="000000"/>
                <w:szCs w:val="18"/>
              </w:rPr>
            </w:pPr>
            <w:r>
              <w:rPr>
                <w:color w:val="000000"/>
                <w:szCs w:val="18"/>
              </w:rPr>
              <w:t>Ar</w:t>
            </w:r>
          </w:p>
        </w:tc>
        <w:tc>
          <w:tcPr>
            <w:tcW w:w="948" w:type="pct"/>
            <w:vAlign w:val="center"/>
          </w:tcPr>
          <w:p w14:paraId="00D9BA6E">
            <w:pPr>
              <w:pStyle w:val="46"/>
              <w:rPr>
                <w:color w:val="000000"/>
                <w:szCs w:val="18"/>
              </w:rPr>
            </w:pPr>
            <w:r>
              <w:rPr>
                <w:color w:val="000000"/>
                <w:szCs w:val="18"/>
              </w:rPr>
              <w:t>0.0095</w:t>
            </w:r>
          </w:p>
        </w:tc>
        <w:tc>
          <w:tcPr>
            <w:tcW w:w="851" w:type="pct"/>
            <w:vAlign w:val="center"/>
          </w:tcPr>
          <w:p w14:paraId="0859EFC4">
            <w:pPr>
              <w:pStyle w:val="46"/>
              <w:rPr>
                <w:color w:val="000000"/>
                <w:szCs w:val="18"/>
              </w:rPr>
            </w:pPr>
            <w:r>
              <w:rPr>
                <w:color w:val="000000"/>
                <w:szCs w:val="18"/>
              </w:rPr>
              <w:t>0.0033</w:t>
            </w:r>
          </w:p>
        </w:tc>
        <w:tc>
          <w:tcPr>
            <w:tcW w:w="1036" w:type="pct"/>
            <w:vAlign w:val="center"/>
          </w:tcPr>
          <w:p w14:paraId="3AE305D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486" w:type="pct"/>
            <w:vAlign w:val="center"/>
          </w:tcPr>
          <w:p w14:paraId="7969ED16">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0.0226</w:t>
            </w:r>
          </w:p>
        </w:tc>
        <w:tc>
          <w:tcPr>
            <w:tcW w:w="773" w:type="pct"/>
            <w:vAlign w:val="center"/>
          </w:tcPr>
          <w:p w14:paraId="7A40CBE6">
            <w:pPr>
              <w:widowControl/>
              <w:adjustRightInd w:val="0"/>
              <w:snapToGrid w:val="0"/>
              <w:spacing w:line="240" w:lineRule="auto"/>
              <w:ind w:firstLine="0" w:firstLineChars="0"/>
              <w:jc w:val="center"/>
              <w:rPr>
                <w:color w:val="000000"/>
                <w:kern w:val="0"/>
                <w:sz w:val="21"/>
                <w:szCs w:val="18"/>
              </w:rPr>
            </w:pPr>
          </w:p>
        </w:tc>
        <w:tc>
          <w:tcPr>
            <w:tcW w:w="500" w:type="pct"/>
            <w:vAlign w:val="center"/>
          </w:tcPr>
          <w:p w14:paraId="7FC1B7BB">
            <w:pPr>
              <w:widowControl/>
              <w:adjustRightInd w:val="0"/>
              <w:snapToGrid w:val="0"/>
              <w:spacing w:line="240" w:lineRule="auto"/>
              <w:ind w:firstLine="0" w:firstLineChars="0"/>
              <w:jc w:val="center"/>
              <w:rPr>
                <w:color w:val="000000"/>
                <w:kern w:val="0"/>
                <w:sz w:val="21"/>
                <w:szCs w:val="18"/>
              </w:rPr>
            </w:pPr>
          </w:p>
        </w:tc>
      </w:tr>
      <w:tr w14:paraId="5FC1E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E0FFB33">
            <w:pPr>
              <w:pStyle w:val="46"/>
              <w:rPr>
                <w:color w:val="000000"/>
                <w:szCs w:val="18"/>
              </w:rPr>
            </w:pPr>
            <w:r>
              <w:rPr>
                <w:color w:val="000000"/>
                <w:szCs w:val="18"/>
              </w:rPr>
              <w:t>CH</w:t>
            </w:r>
            <w:r>
              <w:rPr>
                <w:color w:val="000000"/>
                <w:szCs w:val="18"/>
                <w:vertAlign w:val="subscript"/>
              </w:rPr>
              <w:t>3</w:t>
            </w:r>
            <w:r>
              <w:rPr>
                <w:color w:val="000000"/>
                <w:szCs w:val="18"/>
              </w:rPr>
              <w:t>OH</w:t>
            </w:r>
          </w:p>
        </w:tc>
        <w:tc>
          <w:tcPr>
            <w:tcW w:w="948" w:type="pct"/>
            <w:vAlign w:val="center"/>
          </w:tcPr>
          <w:p w14:paraId="18C4B17B">
            <w:pPr>
              <w:pStyle w:val="46"/>
              <w:rPr>
                <w:color w:val="000000"/>
                <w:szCs w:val="18"/>
              </w:rPr>
            </w:pPr>
            <w:r>
              <w:rPr>
                <w:color w:val="000000"/>
                <w:szCs w:val="18"/>
              </w:rPr>
              <w:t>0.0191</w:t>
            </w:r>
          </w:p>
        </w:tc>
        <w:tc>
          <w:tcPr>
            <w:tcW w:w="851" w:type="pct"/>
            <w:vAlign w:val="center"/>
          </w:tcPr>
          <w:p w14:paraId="26300E53">
            <w:pPr>
              <w:pStyle w:val="46"/>
              <w:rPr>
                <w:color w:val="000000"/>
                <w:szCs w:val="18"/>
              </w:rPr>
            </w:pPr>
            <w:r>
              <w:rPr>
                <w:color w:val="000000"/>
                <w:szCs w:val="18"/>
              </w:rPr>
              <w:t>0.0053</w:t>
            </w:r>
          </w:p>
        </w:tc>
        <w:tc>
          <w:tcPr>
            <w:tcW w:w="1036" w:type="pct"/>
            <w:vAlign w:val="center"/>
          </w:tcPr>
          <w:p w14:paraId="48CB67EC">
            <w:pPr>
              <w:pStyle w:val="46"/>
              <w:rPr>
                <w:color w:val="000000"/>
                <w:szCs w:val="18"/>
              </w:rPr>
            </w:pPr>
          </w:p>
        </w:tc>
        <w:tc>
          <w:tcPr>
            <w:tcW w:w="486" w:type="pct"/>
            <w:vAlign w:val="center"/>
          </w:tcPr>
          <w:p w14:paraId="44C3C231">
            <w:pPr>
              <w:pStyle w:val="46"/>
              <w:rPr>
                <w:color w:val="000000"/>
                <w:szCs w:val="18"/>
              </w:rPr>
            </w:pPr>
          </w:p>
        </w:tc>
        <w:tc>
          <w:tcPr>
            <w:tcW w:w="773" w:type="pct"/>
            <w:vAlign w:val="center"/>
          </w:tcPr>
          <w:p w14:paraId="2579192B">
            <w:pPr>
              <w:pStyle w:val="46"/>
              <w:rPr>
                <w:color w:val="000000"/>
                <w:szCs w:val="18"/>
              </w:rPr>
            </w:pPr>
          </w:p>
        </w:tc>
        <w:tc>
          <w:tcPr>
            <w:tcW w:w="500" w:type="pct"/>
            <w:vAlign w:val="center"/>
          </w:tcPr>
          <w:p w14:paraId="022541CE">
            <w:pPr>
              <w:pStyle w:val="46"/>
              <w:rPr>
                <w:color w:val="000000"/>
                <w:szCs w:val="18"/>
              </w:rPr>
            </w:pPr>
          </w:p>
        </w:tc>
      </w:tr>
      <w:tr w14:paraId="3B2D2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EC28B26">
            <w:pPr>
              <w:pStyle w:val="46"/>
              <w:rPr>
                <w:color w:val="000000"/>
                <w:szCs w:val="18"/>
              </w:rPr>
            </w:pPr>
            <w:r>
              <w:rPr>
                <w:color w:val="000000"/>
                <w:szCs w:val="18"/>
              </w:rPr>
              <w:t>O</w:t>
            </w:r>
            <w:r>
              <w:rPr>
                <w:color w:val="000000"/>
                <w:szCs w:val="18"/>
                <w:vertAlign w:val="subscript"/>
              </w:rPr>
              <w:t>2</w:t>
            </w:r>
          </w:p>
        </w:tc>
        <w:tc>
          <w:tcPr>
            <w:tcW w:w="948" w:type="pct"/>
            <w:vAlign w:val="center"/>
          </w:tcPr>
          <w:p w14:paraId="77D69EB4">
            <w:pPr>
              <w:pStyle w:val="46"/>
              <w:rPr>
                <w:color w:val="000000"/>
                <w:szCs w:val="18"/>
              </w:rPr>
            </w:pPr>
            <w:r>
              <w:rPr>
                <w:color w:val="000000"/>
                <w:szCs w:val="18"/>
              </w:rPr>
              <w:t>0</w:t>
            </w:r>
          </w:p>
        </w:tc>
        <w:tc>
          <w:tcPr>
            <w:tcW w:w="851" w:type="pct"/>
            <w:vAlign w:val="center"/>
          </w:tcPr>
          <w:p w14:paraId="120D3F23">
            <w:pPr>
              <w:pStyle w:val="46"/>
              <w:rPr>
                <w:color w:val="000000"/>
                <w:szCs w:val="18"/>
              </w:rPr>
            </w:pPr>
            <w:r>
              <w:rPr>
                <w:color w:val="000000"/>
                <w:szCs w:val="18"/>
              </w:rPr>
              <w:t>0</w:t>
            </w:r>
          </w:p>
        </w:tc>
        <w:tc>
          <w:tcPr>
            <w:tcW w:w="1036" w:type="pct"/>
            <w:vAlign w:val="center"/>
          </w:tcPr>
          <w:p w14:paraId="39BFC3F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10AEE875">
            <w:pPr>
              <w:pStyle w:val="46"/>
              <w:rPr>
                <w:color w:val="000000"/>
                <w:szCs w:val="18"/>
              </w:rPr>
            </w:pPr>
            <w:r>
              <w:rPr>
                <w:color w:val="000000"/>
                <w:szCs w:val="18"/>
              </w:rPr>
              <w:t>0</w:t>
            </w:r>
          </w:p>
        </w:tc>
        <w:tc>
          <w:tcPr>
            <w:tcW w:w="773" w:type="pct"/>
            <w:vAlign w:val="center"/>
          </w:tcPr>
          <w:p w14:paraId="3F83E22E">
            <w:pPr>
              <w:pStyle w:val="46"/>
              <w:rPr>
                <w:color w:val="000000"/>
                <w:szCs w:val="18"/>
              </w:rPr>
            </w:pPr>
            <w:r>
              <w:rPr>
                <w:color w:val="000000"/>
                <w:szCs w:val="18"/>
              </w:rPr>
              <w:t>0.84</w:t>
            </w:r>
          </w:p>
        </w:tc>
        <w:tc>
          <w:tcPr>
            <w:tcW w:w="500" w:type="pct"/>
            <w:vAlign w:val="center"/>
          </w:tcPr>
          <w:p w14:paraId="08886392">
            <w:pPr>
              <w:pStyle w:val="46"/>
              <w:rPr>
                <w:color w:val="000000"/>
                <w:szCs w:val="18"/>
              </w:rPr>
            </w:pPr>
          </w:p>
        </w:tc>
      </w:tr>
      <w:tr w14:paraId="1241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3C70FD95">
            <w:pPr>
              <w:pStyle w:val="46"/>
              <w:rPr>
                <w:color w:val="000000"/>
                <w:szCs w:val="18"/>
              </w:rPr>
            </w:pPr>
            <w:r>
              <w:rPr>
                <w:color w:val="000000"/>
                <w:szCs w:val="18"/>
              </w:rPr>
              <w:t>H</w:t>
            </w:r>
            <w:r>
              <w:rPr>
                <w:color w:val="000000"/>
                <w:szCs w:val="18"/>
                <w:vertAlign w:val="subscript"/>
              </w:rPr>
              <w:t>2</w:t>
            </w:r>
            <w:r>
              <w:rPr>
                <w:color w:val="000000"/>
                <w:szCs w:val="18"/>
              </w:rPr>
              <w:t>S</w:t>
            </w:r>
          </w:p>
        </w:tc>
        <w:tc>
          <w:tcPr>
            <w:tcW w:w="948" w:type="pct"/>
            <w:vAlign w:val="center"/>
          </w:tcPr>
          <w:p w14:paraId="322250A8">
            <w:pPr>
              <w:pStyle w:val="46"/>
              <w:rPr>
                <w:color w:val="000000"/>
                <w:szCs w:val="18"/>
              </w:rPr>
            </w:pPr>
            <w:r>
              <w:rPr>
                <w:color w:val="000000"/>
                <w:szCs w:val="18"/>
              </w:rPr>
              <w:t>0.0004</w:t>
            </w:r>
          </w:p>
        </w:tc>
        <w:tc>
          <w:tcPr>
            <w:tcW w:w="851" w:type="pct"/>
            <w:vAlign w:val="center"/>
          </w:tcPr>
          <w:p w14:paraId="4359C19D">
            <w:pPr>
              <w:pStyle w:val="46"/>
              <w:rPr>
                <w:color w:val="000000"/>
                <w:szCs w:val="18"/>
              </w:rPr>
            </w:pPr>
            <w:r>
              <w:rPr>
                <w:color w:val="000000"/>
                <w:szCs w:val="18"/>
              </w:rPr>
              <w:t>0.0109</w:t>
            </w:r>
          </w:p>
        </w:tc>
        <w:tc>
          <w:tcPr>
            <w:tcW w:w="1036" w:type="pct"/>
            <w:vAlign w:val="center"/>
          </w:tcPr>
          <w:p w14:paraId="3EBEA1F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2E844501">
            <w:pPr>
              <w:pStyle w:val="46"/>
              <w:rPr>
                <w:color w:val="000000"/>
                <w:szCs w:val="18"/>
              </w:rPr>
            </w:pPr>
            <w:r>
              <w:rPr>
                <w:color w:val="000000"/>
                <w:szCs w:val="18"/>
              </w:rPr>
              <w:t>0.0006</w:t>
            </w:r>
          </w:p>
        </w:tc>
        <w:tc>
          <w:tcPr>
            <w:tcW w:w="773" w:type="pct"/>
            <w:vAlign w:val="center"/>
          </w:tcPr>
          <w:p w14:paraId="578350EA">
            <w:pPr>
              <w:pStyle w:val="46"/>
              <w:rPr>
                <w:color w:val="000000"/>
                <w:szCs w:val="18"/>
              </w:rPr>
            </w:pPr>
            <w:r>
              <w:rPr>
                <w:color w:val="000000"/>
                <w:szCs w:val="18"/>
              </w:rPr>
              <w:t>＜10ppm(wt)</w:t>
            </w:r>
          </w:p>
        </w:tc>
        <w:tc>
          <w:tcPr>
            <w:tcW w:w="500" w:type="pct"/>
            <w:vAlign w:val="center"/>
          </w:tcPr>
          <w:p w14:paraId="5C50477C">
            <w:pPr>
              <w:pStyle w:val="46"/>
              <w:rPr>
                <w:color w:val="000000"/>
                <w:szCs w:val="18"/>
              </w:rPr>
            </w:pPr>
          </w:p>
        </w:tc>
      </w:tr>
      <w:tr w14:paraId="49494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163B68FD">
            <w:pPr>
              <w:pStyle w:val="46"/>
              <w:rPr>
                <w:color w:val="000000"/>
                <w:szCs w:val="18"/>
              </w:rPr>
            </w:pPr>
            <w:r>
              <w:rPr>
                <w:color w:val="000000"/>
                <w:szCs w:val="18"/>
              </w:rPr>
              <w:t>H</w:t>
            </w:r>
            <w:r>
              <w:rPr>
                <w:color w:val="000000"/>
                <w:szCs w:val="18"/>
                <w:vertAlign w:val="subscript"/>
              </w:rPr>
              <w:t>2</w:t>
            </w:r>
            <w:r>
              <w:rPr>
                <w:color w:val="000000"/>
                <w:szCs w:val="18"/>
              </w:rPr>
              <w:t>O</w:t>
            </w:r>
          </w:p>
        </w:tc>
        <w:tc>
          <w:tcPr>
            <w:tcW w:w="948" w:type="pct"/>
            <w:vAlign w:val="center"/>
          </w:tcPr>
          <w:p w14:paraId="4A78F698">
            <w:pPr>
              <w:pStyle w:val="46"/>
              <w:rPr>
                <w:color w:val="000000"/>
                <w:szCs w:val="18"/>
              </w:rPr>
            </w:pPr>
            <w:r>
              <w:rPr>
                <w:color w:val="000000"/>
                <w:szCs w:val="18"/>
              </w:rPr>
              <w:t>0.0001</w:t>
            </w:r>
          </w:p>
        </w:tc>
        <w:tc>
          <w:tcPr>
            <w:tcW w:w="851" w:type="pct"/>
            <w:vAlign w:val="center"/>
          </w:tcPr>
          <w:p w14:paraId="2E4F1AC8">
            <w:pPr>
              <w:pStyle w:val="46"/>
              <w:rPr>
                <w:color w:val="000000"/>
                <w:szCs w:val="18"/>
              </w:rPr>
            </w:pPr>
            <w:r>
              <w:rPr>
                <w:color w:val="000000"/>
                <w:szCs w:val="18"/>
              </w:rPr>
              <w:t>0.0213</w:t>
            </w:r>
          </w:p>
        </w:tc>
        <w:tc>
          <w:tcPr>
            <w:tcW w:w="1036" w:type="pct"/>
            <w:vAlign w:val="center"/>
          </w:tcPr>
          <w:p w14:paraId="06BC854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0.006</w:t>
            </w:r>
          </w:p>
        </w:tc>
        <w:tc>
          <w:tcPr>
            <w:tcW w:w="486" w:type="pct"/>
            <w:vAlign w:val="center"/>
          </w:tcPr>
          <w:p w14:paraId="331D9B4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773" w:type="pct"/>
            <w:vAlign w:val="center"/>
          </w:tcPr>
          <w:p w14:paraId="6C5CD27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＜200ppm(wt)</w:t>
            </w:r>
          </w:p>
        </w:tc>
        <w:tc>
          <w:tcPr>
            <w:tcW w:w="500" w:type="pct"/>
            <w:vAlign w:val="center"/>
          </w:tcPr>
          <w:p w14:paraId="00DB71A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r>
      <w:tr w14:paraId="074BC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645F3031">
            <w:pPr>
              <w:pStyle w:val="46"/>
              <w:rPr>
                <w:color w:val="000000"/>
                <w:szCs w:val="18"/>
              </w:rPr>
            </w:pPr>
            <w:r>
              <w:rPr>
                <w:color w:val="000000"/>
                <w:szCs w:val="18"/>
              </w:rPr>
              <w:t>C</w:t>
            </w:r>
            <w:r>
              <w:rPr>
                <w:color w:val="000000"/>
                <w:szCs w:val="18"/>
                <w:vertAlign w:val="subscript"/>
              </w:rPr>
              <w:t>2+</w:t>
            </w:r>
          </w:p>
        </w:tc>
        <w:tc>
          <w:tcPr>
            <w:tcW w:w="948" w:type="pct"/>
            <w:vAlign w:val="center"/>
          </w:tcPr>
          <w:p w14:paraId="2DEEAF08">
            <w:pPr>
              <w:pStyle w:val="46"/>
              <w:rPr>
                <w:color w:val="000000"/>
                <w:szCs w:val="18"/>
              </w:rPr>
            </w:pPr>
          </w:p>
        </w:tc>
        <w:tc>
          <w:tcPr>
            <w:tcW w:w="851" w:type="pct"/>
            <w:vAlign w:val="center"/>
          </w:tcPr>
          <w:p w14:paraId="7F3574C6">
            <w:pPr>
              <w:pStyle w:val="46"/>
              <w:rPr>
                <w:color w:val="000000"/>
                <w:szCs w:val="18"/>
              </w:rPr>
            </w:pPr>
          </w:p>
        </w:tc>
        <w:tc>
          <w:tcPr>
            <w:tcW w:w="1036" w:type="pct"/>
            <w:vAlign w:val="center"/>
          </w:tcPr>
          <w:p w14:paraId="485AF0A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0.0015</w:t>
            </w:r>
          </w:p>
        </w:tc>
        <w:tc>
          <w:tcPr>
            <w:tcW w:w="486" w:type="pct"/>
            <w:vAlign w:val="center"/>
          </w:tcPr>
          <w:p w14:paraId="6374CFC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0.66</w:t>
            </w:r>
          </w:p>
        </w:tc>
        <w:tc>
          <w:tcPr>
            <w:tcW w:w="773" w:type="pct"/>
            <w:vAlign w:val="center"/>
          </w:tcPr>
          <w:p w14:paraId="4121F628">
            <w:pPr>
              <w:pStyle w:val="46"/>
              <w:rPr>
                <w:color w:val="000000"/>
                <w:szCs w:val="18"/>
              </w:rPr>
            </w:pPr>
            <w:r>
              <w:rPr>
                <w:color w:val="000000"/>
                <w:szCs w:val="18"/>
              </w:rPr>
              <w:t>0.16</w:t>
            </w:r>
          </w:p>
        </w:tc>
        <w:tc>
          <w:tcPr>
            <w:tcW w:w="500" w:type="pct"/>
            <w:vAlign w:val="center"/>
          </w:tcPr>
          <w:p w14:paraId="4D38A69E">
            <w:pPr>
              <w:pStyle w:val="46"/>
              <w:rPr>
                <w:color w:val="000000"/>
                <w:szCs w:val="18"/>
              </w:rPr>
            </w:pPr>
            <w:r>
              <w:rPr>
                <w:color w:val="000000"/>
                <w:szCs w:val="18"/>
              </w:rPr>
              <w:t>0.0067</w:t>
            </w:r>
          </w:p>
        </w:tc>
      </w:tr>
      <w:tr w14:paraId="11B2E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14FD7C4B">
            <w:pPr>
              <w:pStyle w:val="46"/>
              <w:rPr>
                <w:color w:val="000000"/>
                <w:szCs w:val="18"/>
              </w:rPr>
            </w:pPr>
            <w:r>
              <w:rPr>
                <w:color w:val="000000"/>
                <w:szCs w:val="18"/>
              </w:rPr>
              <w:t>SO</w:t>
            </w:r>
            <w:r>
              <w:rPr>
                <w:color w:val="000000"/>
                <w:szCs w:val="18"/>
                <w:vertAlign w:val="subscript"/>
              </w:rPr>
              <w:t>x</w:t>
            </w:r>
          </w:p>
        </w:tc>
        <w:tc>
          <w:tcPr>
            <w:tcW w:w="948" w:type="pct"/>
            <w:vAlign w:val="center"/>
          </w:tcPr>
          <w:p w14:paraId="236F9E18">
            <w:pPr>
              <w:pStyle w:val="46"/>
              <w:rPr>
                <w:color w:val="000000"/>
                <w:szCs w:val="18"/>
              </w:rPr>
            </w:pPr>
          </w:p>
        </w:tc>
        <w:tc>
          <w:tcPr>
            <w:tcW w:w="851" w:type="pct"/>
            <w:vAlign w:val="center"/>
          </w:tcPr>
          <w:p w14:paraId="53000120">
            <w:pPr>
              <w:pStyle w:val="46"/>
              <w:rPr>
                <w:color w:val="000000"/>
                <w:szCs w:val="18"/>
              </w:rPr>
            </w:pPr>
          </w:p>
        </w:tc>
        <w:tc>
          <w:tcPr>
            <w:tcW w:w="1036" w:type="pct"/>
            <w:vAlign w:val="center"/>
          </w:tcPr>
          <w:p w14:paraId="781DB97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486" w:type="pct"/>
            <w:vAlign w:val="center"/>
          </w:tcPr>
          <w:p w14:paraId="70FEB03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0.0131</w:t>
            </w:r>
          </w:p>
        </w:tc>
        <w:tc>
          <w:tcPr>
            <w:tcW w:w="773" w:type="pct"/>
            <w:vAlign w:val="center"/>
          </w:tcPr>
          <w:p w14:paraId="35F7DBD6">
            <w:pPr>
              <w:pStyle w:val="46"/>
              <w:rPr>
                <w:color w:val="000000"/>
                <w:szCs w:val="18"/>
              </w:rPr>
            </w:pPr>
            <w:r>
              <w:rPr>
                <w:color w:val="000000"/>
                <w:szCs w:val="18"/>
              </w:rPr>
              <w:t>＜200mg/m</w:t>
            </w:r>
            <w:r>
              <w:rPr>
                <w:color w:val="000000"/>
                <w:szCs w:val="18"/>
                <w:vertAlign w:val="superscript"/>
              </w:rPr>
              <w:t>3</w:t>
            </w:r>
          </w:p>
        </w:tc>
        <w:tc>
          <w:tcPr>
            <w:tcW w:w="500" w:type="pct"/>
            <w:vAlign w:val="center"/>
          </w:tcPr>
          <w:p w14:paraId="06E383FE">
            <w:pPr>
              <w:pStyle w:val="46"/>
              <w:rPr>
                <w:color w:val="000000"/>
                <w:szCs w:val="18"/>
              </w:rPr>
            </w:pPr>
          </w:p>
        </w:tc>
      </w:tr>
      <w:tr w14:paraId="4EA1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93704D0">
            <w:pPr>
              <w:pStyle w:val="46"/>
              <w:rPr>
                <w:color w:val="000000"/>
                <w:szCs w:val="18"/>
              </w:rPr>
            </w:pPr>
            <w:r>
              <w:rPr>
                <w:color w:val="000000"/>
                <w:szCs w:val="18"/>
              </w:rPr>
              <w:t>NO</w:t>
            </w:r>
            <w:r>
              <w:rPr>
                <w:color w:val="000000"/>
                <w:szCs w:val="18"/>
                <w:vertAlign w:val="subscript"/>
              </w:rPr>
              <w:t>x</w:t>
            </w:r>
          </w:p>
        </w:tc>
        <w:tc>
          <w:tcPr>
            <w:tcW w:w="948" w:type="pct"/>
            <w:vAlign w:val="center"/>
          </w:tcPr>
          <w:p w14:paraId="77394F38">
            <w:pPr>
              <w:pStyle w:val="46"/>
              <w:rPr>
                <w:color w:val="000000"/>
                <w:szCs w:val="18"/>
              </w:rPr>
            </w:pPr>
          </w:p>
        </w:tc>
        <w:tc>
          <w:tcPr>
            <w:tcW w:w="851" w:type="pct"/>
            <w:vAlign w:val="center"/>
          </w:tcPr>
          <w:p w14:paraId="186665C8">
            <w:pPr>
              <w:pStyle w:val="46"/>
              <w:rPr>
                <w:color w:val="000000"/>
                <w:szCs w:val="18"/>
              </w:rPr>
            </w:pPr>
          </w:p>
        </w:tc>
        <w:tc>
          <w:tcPr>
            <w:tcW w:w="1036" w:type="pct"/>
            <w:vAlign w:val="center"/>
          </w:tcPr>
          <w:p w14:paraId="47D4930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486" w:type="pct"/>
            <w:vAlign w:val="center"/>
          </w:tcPr>
          <w:p w14:paraId="242ED32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0.0131</w:t>
            </w:r>
          </w:p>
        </w:tc>
        <w:tc>
          <w:tcPr>
            <w:tcW w:w="773" w:type="pct"/>
            <w:vAlign w:val="center"/>
          </w:tcPr>
          <w:p w14:paraId="2ED4D7C5">
            <w:pPr>
              <w:pStyle w:val="46"/>
              <w:rPr>
                <w:color w:val="000000"/>
                <w:szCs w:val="18"/>
              </w:rPr>
            </w:pPr>
          </w:p>
        </w:tc>
        <w:tc>
          <w:tcPr>
            <w:tcW w:w="500" w:type="pct"/>
            <w:vAlign w:val="center"/>
          </w:tcPr>
          <w:p w14:paraId="1E026CFA">
            <w:pPr>
              <w:pStyle w:val="46"/>
              <w:rPr>
                <w:color w:val="000000"/>
                <w:szCs w:val="18"/>
              </w:rPr>
            </w:pPr>
          </w:p>
        </w:tc>
      </w:tr>
    </w:tbl>
    <w:p w14:paraId="09EB5C4B">
      <w:pPr>
        <w:ind w:firstLine="480"/>
        <w:rPr>
          <w:szCs w:val="24"/>
        </w:rPr>
      </w:pPr>
      <w:r>
        <w:rPr>
          <w:rFonts w:hint="eastAsia"/>
          <w:szCs w:val="24"/>
        </w:rPr>
        <w:t>（2）二氧化碳杂质指标</w:t>
      </w:r>
    </w:p>
    <w:p w14:paraId="7CF2E307">
      <w:pPr>
        <w:ind w:firstLine="480"/>
        <w:rPr>
          <w:szCs w:val="24"/>
        </w:rPr>
      </w:pPr>
      <w:r>
        <w:rPr>
          <w:szCs w:val="24"/>
        </w:rPr>
        <w:fldChar w:fldCharType="begin"/>
      </w:r>
      <w:r>
        <w:rPr>
          <w:szCs w:val="24"/>
        </w:rPr>
        <w:instrText xml:space="preserve"> </w:instrText>
      </w:r>
      <w:r>
        <w:rPr>
          <w:rFonts w:hint="eastAsia"/>
          <w:szCs w:val="24"/>
        </w:rPr>
        <w:instrText xml:space="preserve">= 1 \* GB3</w:instrText>
      </w:r>
      <w:r>
        <w:rPr>
          <w:szCs w:val="24"/>
        </w:rPr>
        <w:instrText xml:space="preserve"> </w:instrText>
      </w:r>
      <w:r>
        <w:rPr>
          <w:szCs w:val="24"/>
        </w:rPr>
        <w:fldChar w:fldCharType="separate"/>
      </w:r>
      <w:r>
        <w:rPr>
          <w:rFonts w:hint="eastAsia"/>
          <w:szCs w:val="24"/>
        </w:rPr>
        <w:t>①</w:t>
      </w:r>
      <w:r>
        <w:rPr>
          <w:szCs w:val="24"/>
        </w:rPr>
        <w:fldChar w:fldCharType="end"/>
      </w:r>
      <w:r>
        <w:rPr>
          <w:rFonts w:hint="eastAsia"/>
          <w:szCs w:val="24"/>
        </w:rPr>
        <w:t>水含量应小于等于200ppm（质量分数），同时水露点应低于输送条件下管道环境温度5℃。</w:t>
      </w:r>
    </w:p>
    <w:p w14:paraId="0D3D7744">
      <w:pPr>
        <w:ind w:firstLine="480"/>
        <w:rPr>
          <w:szCs w:val="24"/>
        </w:rPr>
      </w:pPr>
      <w:r>
        <w:rPr>
          <w:szCs w:val="24"/>
        </w:rPr>
        <w:fldChar w:fldCharType="begin"/>
      </w:r>
      <w:r>
        <w:rPr>
          <w:szCs w:val="24"/>
        </w:rPr>
        <w:instrText xml:space="preserve"> </w:instrText>
      </w:r>
      <w:r>
        <w:rPr>
          <w:rFonts w:hint="eastAsia"/>
          <w:szCs w:val="24"/>
        </w:rPr>
        <w:instrText xml:space="preserve">= 2 \* GB3</w:instrText>
      </w:r>
      <w:r>
        <w:rPr>
          <w:szCs w:val="24"/>
        </w:rPr>
        <w:instrText xml:space="preserve"> </w:instrText>
      </w:r>
      <w:r>
        <w:rPr>
          <w:szCs w:val="24"/>
        </w:rPr>
        <w:fldChar w:fldCharType="separate"/>
      </w:r>
      <w:r>
        <w:rPr>
          <w:rFonts w:hint="eastAsia"/>
          <w:szCs w:val="24"/>
        </w:rPr>
        <w:t>②</w:t>
      </w:r>
      <w:r>
        <w:rPr>
          <w:szCs w:val="24"/>
        </w:rPr>
        <w:fldChar w:fldCharType="end"/>
      </w:r>
      <w:r>
        <w:rPr>
          <w:rFonts w:hint="eastAsia"/>
          <w:szCs w:val="24"/>
        </w:rPr>
        <w:t>硫化氢含量应小于等于10ppm（质量分数），总硫含量（以硫计）应小于等于200mg/m3。</w:t>
      </w:r>
    </w:p>
    <w:p w14:paraId="5CB084BC">
      <w:pPr>
        <w:ind w:firstLine="480"/>
        <w:rPr>
          <w:szCs w:val="24"/>
        </w:rPr>
      </w:pPr>
      <w:r>
        <w:rPr>
          <w:szCs w:val="24"/>
        </w:rPr>
        <w:fldChar w:fldCharType="begin"/>
      </w:r>
      <w:r>
        <w:rPr>
          <w:szCs w:val="24"/>
        </w:rPr>
        <w:instrText xml:space="preserve"> </w:instrText>
      </w:r>
      <w:r>
        <w:rPr>
          <w:rFonts w:hint="eastAsia"/>
          <w:szCs w:val="24"/>
        </w:rPr>
        <w:instrText xml:space="preserve">= 3 \* GB3</w:instrText>
      </w:r>
      <w:r>
        <w:rPr>
          <w:szCs w:val="24"/>
        </w:rPr>
        <w:instrText xml:space="preserve"> </w:instrText>
      </w:r>
      <w:r>
        <w:rPr>
          <w:szCs w:val="24"/>
        </w:rPr>
        <w:fldChar w:fldCharType="separate"/>
      </w:r>
      <w:r>
        <w:rPr>
          <w:rFonts w:hint="eastAsia"/>
          <w:szCs w:val="24"/>
        </w:rPr>
        <w:t>③</w:t>
      </w:r>
      <w:r>
        <w:rPr>
          <w:szCs w:val="24"/>
        </w:rPr>
        <w:fldChar w:fldCharType="end"/>
      </w:r>
      <w:r>
        <w:rPr>
          <w:rFonts w:hint="eastAsia"/>
          <w:szCs w:val="24"/>
        </w:rPr>
        <w:t>应严格控制管输二氧化碳不凝气组分含量，用于CCUS-EOR驱油，管输二氧化碳不凝气（氮气、氩气、氧气、一氧化碳、氢气等）总量宜小于1 mol%；用于CCS封存，管输二氧化碳不凝气（氮气、氩气、氧气、一氧化碳、氢气等）总量宜小于4 mol%；其中，管输二氧化碳不凝气中氢气含量不宜大于7500 ppm（质量分数）。</w:t>
      </w:r>
    </w:p>
    <w:p w14:paraId="068B7DC2">
      <w:pPr>
        <w:ind w:firstLine="480"/>
        <w:rPr>
          <w:szCs w:val="24"/>
        </w:rPr>
      </w:pPr>
      <w:r>
        <w:rPr>
          <w:szCs w:val="24"/>
        </w:rPr>
        <w:fldChar w:fldCharType="begin"/>
      </w:r>
      <w:r>
        <w:rPr>
          <w:szCs w:val="24"/>
        </w:rPr>
        <w:instrText xml:space="preserve"> </w:instrText>
      </w:r>
      <w:r>
        <w:rPr>
          <w:rFonts w:hint="eastAsia"/>
          <w:szCs w:val="24"/>
        </w:rPr>
        <w:instrText xml:space="preserve">= 4 \* GB3</w:instrText>
      </w:r>
      <w:r>
        <w:rPr>
          <w:szCs w:val="24"/>
        </w:rPr>
        <w:instrText xml:space="preserve"> </w:instrText>
      </w:r>
      <w:r>
        <w:rPr>
          <w:szCs w:val="24"/>
        </w:rPr>
        <w:fldChar w:fldCharType="separate"/>
      </w:r>
      <w:r>
        <w:rPr>
          <w:rFonts w:hint="eastAsia"/>
          <w:szCs w:val="24"/>
        </w:rPr>
        <w:t>④</w:t>
      </w:r>
      <w:r>
        <w:rPr>
          <w:szCs w:val="24"/>
        </w:rPr>
        <w:fldChar w:fldCharType="end"/>
      </w:r>
      <w:r>
        <w:rPr>
          <w:rFonts w:hint="eastAsia"/>
          <w:szCs w:val="24"/>
        </w:rPr>
        <w:t>烃露点（-29℃）以下二氧化碳介质中烃类含量宜低于5%（质量分数）。</w:t>
      </w:r>
    </w:p>
    <w:p w14:paraId="0A1F27D3">
      <w:pPr>
        <w:ind w:firstLine="480"/>
        <w:rPr>
          <w:szCs w:val="24"/>
        </w:rPr>
      </w:pPr>
      <w:r>
        <w:rPr>
          <w:szCs w:val="24"/>
        </w:rPr>
        <w:fldChar w:fldCharType="begin"/>
      </w:r>
      <w:r>
        <w:rPr>
          <w:szCs w:val="24"/>
        </w:rPr>
        <w:instrText xml:space="preserve"> </w:instrText>
      </w:r>
      <w:r>
        <w:rPr>
          <w:rFonts w:hint="eastAsia"/>
          <w:szCs w:val="24"/>
        </w:rPr>
        <w:instrText xml:space="preserve">= 5 \* GB3</w:instrText>
      </w:r>
      <w:r>
        <w:rPr>
          <w:szCs w:val="24"/>
        </w:rPr>
        <w:instrText xml:space="preserve"> </w:instrText>
      </w:r>
      <w:r>
        <w:rPr>
          <w:szCs w:val="24"/>
        </w:rPr>
        <w:fldChar w:fldCharType="separate"/>
      </w:r>
      <w:r>
        <w:rPr>
          <w:rFonts w:hint="eastAsia"/>
          <w:szCs w:val="24"/>
        </w:rPr>
        <w:t>⑤</w:t>
      </w:r>
      <w:r>
        <w:rPr>
          <w:szCs w:val="24"/>
        </w:rPr>
        <w:fldChar w:fldCharType="end"/>
      </w:r>
      <w:r>
        <w:rPr>
          <w:rFonts w:hint="eastAsia"/>
          <w:szCs w:val="24"/>
        </w:rPr>
        <w:t>其他指标应满足用户的使用要求。</w:t>
      </w:r>
    </w:p>
    <w:p w14:paraId="13F48F5C">
      <w:pPr>
        <w:keepNext w:val="0"/>
        <w:keepLines w:val="0"/>
        <w:pageBreakBefore w:val="0"/>
        <w:widowControl w:val="0"/>
        <w:kinsoku/>
        <w:wordWrap/>
        <w:overflowPunct/>
        <w:topLinePunct w:val="0"/>
        <w:autoSpaceDE/>
        <w:autoSpaceDN/>
        <w:bidi w:val="0"/>
        <w:adjustRightInd w:val="0"/>
        <w:snapToGrid w:val="0"/>
        <w:spacing w:before="161" w:beforeLines="50" w:line="480" w:lineRule="auto"/>
        <w:ind w:firstLine="482"/>
        <w:textAlignment w:val="auto"/>
        <w:rPr>
          <w:rFonts w:hint="eastAsia"/>
          <w:b/>
          <w:bCs/>
        </w:rPr>
      </w:pPr>
      <w:r>
        <w:rPr>
          <w:rFonts w:hint="eastAsia"/>
          <w:b/>
          <w:bCs/>
          <w:lang w:val="en-US" w:eastAsia="zh-CN"/>
        </w:rPr>
        <w:t>3.1.</w:t>
      </w:r>
      <w:r>
        <w:rPr>
          <w:rFonts w:hint="eastAsia"/>
          <w:b/>
          <w:bCs/>
        </w:rPr>
        <w:t>2. 确定关键指标参数：</w:t>
      </w:r>
    </w:p>
    <w:p w14:paraId="7CD2F8C5">
      <w:pPr>
        <w:ind w:firstLine="480"/>
        <w:rPr>
          <w:szCs w:val="24"/>
        </w:rPr>
      </w:pPr>
      <w:r>
        <w:rPr>
          <w:rFonts w:hint="eastAsia"/>
          <w:szCs w:val="24"/>
        </w:rPr>
        <w:t>（1）纯度相关参数</w:t>
      </w:r>
    </w:p>
    <w:p w14:paraId="293AD1A4">
      <w:pPr>
        <w:ind w:firstLine="480"/>
        <w:rPr>
          <w:szCs w:val="24"/>
        </w:rPr>
      </w:pPr>
      <w:r>
        <w:rPr>
          <w:szCs w:val="24"/>
        </w:rPr>
        <w:fldChar w:fldCharType="begin"/>
      </w:r>
      <w:r>
        <w:rPr>
          <w:szCs w:val="24"/>
        </w:rPr>
        <w:instrText xml:space="preserve"> </w:instrText>
      </w:r>
      <w:r>
        <w:rPr>
          <w:rFonts w:hint="eastAsia"/>
          <w:szCs w:val="24"/>
        </w:rPr>
        <w:instrText xml:space="preserve">= 1 \* GB3</w:instrText>
      </w:r>
      <w:r>
        <w:rPr>
          <w:szCs w:val="24"/>
        </w:rPr>
        <w:instrText xml:space="preserve"> </w:instrText>
      </w:r>
      <w:r>
        <w:rPr>
          <w:szCs w:val="24"/>
        </w:rPr>
        <w:fldChar w:fldCharType="separate"/>
      </w:r>
      <w:r>
        <w:rPr>
          <w:rFonts w:hint="eastAsia"/>
          <w:szCs w:val="24"/>
        </w:rPr>
        <w:t>①</w:t>
      </w:r>
      <w:r>
        <w:rPr>
          <w:szCs w:val="24"/>
        </w:rPr>
        <w:fldChar w:fldCharType="end"/>
      </w:r>
      <w:r>
        <w:rPr>
          <w:rFonts w:hint="eastAsia"/>
          <w:szCs w:val="24"/>
        </w:rPr>
        <w:t>二氧化碳含量选择依据</w:t>
      </w:r>
    </w:p>
    <w:p w14:paraId="47657191">
      <w:pPr>
        <w:ind w:firstLine="480"/>
        <w:rPr>
          <w:szCs w:val="24"/>
        </w:rPr>
      </w:pPr>
      <w:r>
        <w:rPr>
          <w:szCs w:val="24"/>
        </w:rPr>
        <w:t>已有标准中对于管输CO</w:t>
      </w:r>
      <w:r>
        <w:rPr>
          <w:szCs w:val="24"/>
          <w:vertAlign w:val="subscript"/>
        </w:rPr>
        <w:t>2</w:t>
      </w:r>
      <w:r>
        <w:rPr>
          <w:szCs w:val="24"/>
        </w:rPr>
        <w:t>的浓度要求集中在95%，NETL的建议值为95%（体积分数），ISO 建议大于95mol%，国内石化行标SH/T 3202-2018对CO2浓度没有明确要求；国外典型CO</w:t>
      </w:r>
      <w:r>
        <w:rPr>
          <w:szCs w:val="24"/>
          <w:vertAlign w:val="subscript"/>
        </w:rPr>
        <w:t>2</w:t>
      </w:r>
      <w:r>
        <w:rPr>
          <w:szCs w:val="24"/>
        </w:rPr>
        <w:t>管道的CO</w:t>
      </w:r>
      <w:r>
        <w:rPr>
          <w:szCs w:val="24"/>
          <w:vertAlign w:val="subscript"/>
        </w:rPr>
        <w:t>2</w:t>
      </w:r>
      <w:r>
        <w:rPr>
          <w:szCs w:val="24"/>
        </w:rPr>
        <w:t>浓度范围为95%-98.5%，最低为95%。国内吉林油田气态CO</w:t>
      </w:r>
      <w:r>
        <w:rPr>
          <w:szCs w:val="24"/>
          <w:vertAlign w:val="subscript"/>
        </w:rPr>
        <w:t>2</w:t>
      </w:r>
      <w:r>
        <w:rPr>
          <w:szCs w:val="24"/>
        </w:rPr>
        <w:t>管道CO</w:t>
      </w:r>
      <w:r>
        <w:rPr>
          <w:szCs w:val="24"/>
          <w:vertAlign w:val="subscript"/>
        </w:rPr>
        <w:t>2</w:t>
      </w:r>
      <w:r>
        <w:rPr>
          <w:szCs w:val="24"/>
        </w:rPr>
        <w:t>体积分数为75.01-78.95%，中原油田气态CO</w:t>
      </w:r>
      <w:r>
        <w:rPr>
          <w:szCs w:val="24"/>
          <w:vertAlign w:val="subscript"/>
        </w:rPr>
        <w:t>2</w:t>
      </w:r>
      <w:r>
        <w:rPr>
          <w:szCs w:val="24"/>
        </w:rPr>
        <w:t>管道CO</w:t>
      </w:r>
      <w:r>
        <w:rPr>
          <w:szCs w:val="24"/>
          <w:vertAlign w:val="subscript"/>
        </w:rPr>
        <w:t>2</w:t>
      </w:r>
      <w:r>
        <w:rPr>
          <w:szCs w:val="24"/>
        </w:rPr>
        <w:t>体积分数为85%，其他CO</w:t>
      </w:r>
      <w:r>
        <w:rPr>
          <w:szCs w:val="24"/>
          <w:vertAlign w:val="subscript"/>
        </w:rPr>
        <w:t>2</w:t>
      </w:r>
      <w:r>
        <w:rPr>
          <w:szCs w:val="24"/>
        </w:rPr>
        <w:t>管道CO</w:t>
      </w:r>
      <w:r>
        <w:rPr>
          <w:szCs w:val="24"/>
          <w:vertAlign w:val="subscript"/>
        </w:rPr>
        <w:t>2</w:t>
      </w:r>
      <w:r>
        <w:rPr>
          <w:szCs w:val="24"/>
        </w:rPr>
        <w:t>度均大于95mol%。因此CO</w:t>
      </w:r>
      <w:r>
        <w:rPr>
          <w:szCs w:val="24"/>
          <w:vertAlign w:val="subscript"/>
        </w:rPr>
        <w:t>2</w:t>
      </w:r>
      <w:r>
        <w:rPr>
          <w:szCs w:val="24"/>
        </w:rPr>
        <w:t>含量采取</w:t>
      </w:r>
      <w:r>
        <w:rPr>
          <w:rFonts w:hint="eastAsia"/>
          <w:szCs w:val="24"/>
        </w:rPr>
        <w:t>“</w:t>
      </w:r>
      <w:r>
        <w:rPr>
          <w:szCs w:val="24"/>
        </w:rPr>
        <w:t>长输管道输送气态二氧化碳时，二氧化碳介质含量宜大于75%（质量分数）；超临界/密相输送时，二氧化碳介质含量宜大于95%（质量分数）。</w:t>
      </w:r>
      <w:r>
        <w:rPr>
          <w:rFonts w:hint="eastAsia"/>
          <w:szCs w:val="24"/>
        </w:rPr>
        <w:t>”</w:t>
      </w:r>
      <w:r>
        <w:rPr>
          <w:szCs w:val="24"/>
        </w:rPr>
        <w:t>的规定。</w:t>
      </w:r>
    </w:p>
    <w:p w14:paraId="561B028C">
      <w:pPr>
        <w:ind w:firstLine="480"/>
        <w:rPr>
          <w:szCs w:val="24"/>
        </w:rPr>
      </w:pPr>
      <w:r>
        <w:rPr>
          <w:szCs w:val="24"/>
        </w:rPr>
        <w:fldChar w:fldCharType="begin"/>
      </w:r>
      <w:r>
        <w:rPr>
          <w:szCs w:val="24"/>
        </w:rPr>
        <w:instrText xml:space="preserve"> </w:instrText>
      </w:r>
      <w:r>
        <w:rPr>
          <w:rFonts w:hint="eastAsia"/>
          <w:szCs w:val="24"/>
        </w:rPr>
        <w:instrText xml:space="preserve">= 2 \* GB3</w:instrText>
      </w:r>
      <w:r>
        <w:rPr>
          <w:szCs w:val="24"/>
        </w:rPr>
        <w:instrText xml:space="preserve"> </w:instrText>
      </w:r>
      <w:r>
        <w:rPr>
          <w:szCs w:val="24"/>
        </w:rPr>
        <w:fldChar w:fldCharType="separate"/>
      </w:r>
      <w:r>
        <w:rPr>
          <w:rFonts w:hint="eastAsia"/>
          <w:szCs w:val="24"/>
        </w:rPr>
        <w:t>②</w:t>
      </w:r>
      <w:r>
        <w:rPr>
          <w:szCs w:val="24"/>
        </w:rPr>
        <w:fldChar w:fldCharType="end"/>
      </w:r>
      <w:r>
        <w:rPr>
          <w:rFonts w:hint="eastAsia"/>
          <w:szCs w:val="24"/>
        </w:rPr>
        <w:t>不凝气含量选择依据</w:t>
      </w:r>
    </w:p>
    <w:p w14:paraId="3BA259F5">
      <w:pPr>
        <w:ind w:firstLine="480"/>
        <w:rPr>
          <w:szCs w:val="24"/>
        </w:rPr>
      </w:pPr>
      <w:r>
        <w:rPr>
          <w:szCs w:val="24"/>
        </w:rPr>
        <w:t>不凝气，是指CO</w:t>
      </w:r>
      <w:r>
        <w:rPr>
          <w:szCs w:val="24"/>
          <w:vertAlign w:val="subscript"/>
        </w:rPr>
        <w:t>2</w:t>
      </w:r>
      <w:r>
        <w:rPr>
          <w:szCs w:val="24"/>
        </w:rPr>
        <w:t>输送和注入工况下，部分以气体状态存在的化学物质</w:t>
      </w:r>
      <w:r>
        <w:rPr>
          <w:rFonts w:hint="eastAsia"/>
          <w:szCs w:val="24"/>
        </w:rPr>
        <w:t>。</w:t>
      </w:r>
      <w:r>
        <w:rPr>
          <w:szCs w:val="24"/>
        </w:rPr>
        <w:t>应严格控制管输二氧化碳不凝气组分含量，用于CCUS-EOR驱油，管输二氧化碳不凝气（氮气、氩气、氧气、一氧化碳、氢气等）总量宜小于1 mol%；用于CCS封存，管输二氧化碳不凝气（氮气、氩气、氧气、一氧化碳、氢气等）总量宜小于4 mol%；其中，管输二氧化碳不凝气中氢气含量不宜大于7500 ppm（质量分数）。</w:t>
      </w:r>
    </w:p>
    <w:p w14:paraId="1F778B7D">
      <w:pPr>
        <w:ind w:firstLine="480"/>
        <w:rPr>
          <w:szCs w:val="24"/>
        </w:rPr>
      </w:pPr>
      <w:r>
        <w:rPr>
          <w:szCs w:val="24"/>
        </w:rPr>
        <w:t>从国外CO</w:t>
      </w:r>
      <w:r>
        <w:rPr>
          <w:szCs w:val="24"/>
          <w:vertAlign w:val="subscript"/>
        </w:rPr>
        <w:t>2</w:t>
      </w:r>
      <w:r>
        <w:rPr>
          <w:szCs w:val="24"/>
        </w:rPr>
        <w:t>输送管道的实际运行经验来看，在CO</w:t>
      </w:r>
      <w:r>
        <w:rPr>
          <w:szCs w:val="24"/>
          <w:vertAlign w:val="subscript"/>
        </w:rPr>
        <w:t>2</w:t>
      </w:r>
      <w:r>
        <w:rPr>
          <w:szCs w:val="24"/>
        </w:rPr>
        <w:t>集中处理工艺中，除产品组分CO</w:t>
      </w:r>
      <w:r>
        <w:rPr>
          <w:szCs w:val="24"/>
          <w:vertAlign w:val="subscript"/>
        </w:rPr>
        <w:t>2</w:t>
      </w:r>
      <w:r>
        <w:rPr>
          <w:szCs w:val="24"/>
        </w:rPr>
        <w:t>以外含量最多的就是不凝气组分。不凝气作为杂质成分，为降低压缩成本有必要对其进行严格限制。国外通常将不凝气总量限值到4%~5%以下。且在地质利用方面不凝气组分不利于混相形成，驱油用CO</w:t>
      </w:r>
      <w:r>
        <w:rPr>
          <w:szCs w:val="24"/>
          <w:vertAlign w:val="subscript"/>
        </w:rPr>
        <w:t>2</w:t>
      </w:r>
      <w:r>
        <w:rPr>
          <w:szCs w:val="24"/>
        </w:rPr>
        <w:t>中不凝气组分指标应比地质封存更加严格。</w:t>
      </w:r>
    </w:p>
    <w:p w14:paraId="36E2CDCB">
      <w:pPr>
        <w:ind w:firstLine="480"/>
        <w:jc w:val="center"/>
        <w:rPr>
          <w:szCs w:val="24"/>
        </w:rPr>
      </w:pPr>
      <w:r>
        <w:rPr>
          <w:rFonts w:hint="eastAsia"/>
          <w:szCs w:val="24"/>
        </w:rPr>
        <w:t>表3 各标准的不凝气含量建议值</w:t>
      </w:r>
    </w:p>
    <w:tbl>
      <w:tblPr>
        <w:tblStyle w:val="28"/>
        <w:tblW w:w="8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90"/>
        <w:gridCol w:w="1083"/>
        <w:gridCol w:w="2995"/>
        <w:gridCol w:w="2731"/>
      </w:tblGrid>
      <w:tr w14:paraId="0FA6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7797F260">
            <w:pPr>
              <w:spacing w:line="240" w:lineRule="auto"/>
              <w:ind w:firstLine="0" w:firstLineChars="0"/>
              <w:jc w:val="center"/>
              <w:rPr>
                <w:sz w:val="21"/>
                <w:szCs w:val="24"/>
              </w:rPr>
            </w:pPr>
            <w:r>
              <w:rPr>
                <w:rFonts w:hint="eastAsia"/>
                <w:sz w:val="21"/>
                <w:szCs w:val="24"/>
              </w:rPr>
              <w:t>杂质（vol%）</w:t>
            </w:r>
          </w:p>
        </w:tc>
        <w:tc>
          <w:tcPr>
            <w:tcW w:w="1083" w:type="dxa"/>
            <w:shd w:val="clear" w:color="auto" w:fill="auto"/>
            <w:tcMar>
              <w:top w:w="15" w:type="dxa"/>
              <w:left w:w="108" w:type="dxa"/>
              <w:bottom w:w="0" w:type="dxa"/>
              <w:right w:w="108" w:type="dxa"/>
            </w:tcMar>
            <w:vAlign w:val="center"/>
          </w:tcPr>
          <w:p w14:paraId="32A2184D">
            <w:pPr>
              <w:spacing w:line="240" w:lineRule="auto"/>
              <w:ind w:firstLine="0" w:firstLineChars="0"/>
              <w:jc w:val="center"/>
              <w:rPr>
                <w:sz w:val="21"/>
                <w:szCs w:val="24"/>
              </w:rPr>
            </w:pPr>
            <w:r>
              <w:rPr>
                <w:rFonts w:hint="eastAsia"/>
                <w:sz w:val="21"/>
                <w:szCs w:val="24"/>
              </w:rPr>
              <w:t>NETL</w:t>
            </w:r>
          </w:p>
        </w:tc>
        <w:tc>
          <w:tcPr>
            <w:tcW w:w="2995" w:type="dxa"/>
            <w:shd w:val="clear" w:color="auto" w:fill="auto"/>
            <w:tcMar>
              <w:top w:w="15" w:type="dxa"/>
              <w:left w:w="108" w:type="dxa"/>
              <w:bottom w:w="0" w:type="dxa"/>
              <w:right w:w="108" w:type="dxa"/>
            </w:tcMar>
            <w:vAlign w:val="center"/>
          </w:tcPr>
          <w:p w14:paraId="5F712666">
            <w:pPr>
              <w:spacing w:line="240" w:lineRule="auto"/>
              <w:ind w:firstLine="0" w:firstLineChars="0"/>
              <w:jc w:val="center"/>
              <w:rPr>
                <w:sz w:val="21"/>
                <w:szCs w:val="24"/>
              </w:rPr>
            </w:pPr>
            <w:r>
              <w:rPr>
                <w:rFonts w:hint="eastAsia"/>
                <w:sz w:val="21"/>
                <w:szCs w:val="24"/>
              </w:rPr>
              <w:t>ISO 27913</w:t>
            </w:r>
          </w:p>
        </w:tc>
        <w:tc>
          <w:tcPr>
            <w:tcW w:w="2731" w:type="dxa"/>
            <w:vAlign w:val="center"/>
          </w:tcPr>
          <w:p w14:paraId="0A0E6AD1">
            <w:pPr>
              <w:spacing w:line="240" w:lineRule="auto"/>
              <w:ind w:firstLine="0" w:firstLineChars="0"/>
              <w:jc w:val="center"/>
              <w:rPr>
                <w:sz w:val="21"/>
                <w:szCs w:val="24"/>
              </w:rPr>
            </w:pPr>
            <w:r>
              <w:rPr>
                <w:sz w:val="21"/>
                <w:szCs w:val="24"/>
              </w:rPr>
              <w:t>SH/T 3202</w:t>
            </w:r>
          </w:p>
        </w:tc>
      </w:tr>
      <w:tr w14:paraId="5000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4558BA5F">
            <w:pPr>
              <w:spacing w:line="240" w:lineRule="auto"/>
              <w:ind w:firstLine="0" w:firstLineChars="0"/>
              <w:jc w:val="center"/>
              <w:rPr>
                <w:sz w:val="21"/>
                <w:szCs w:val="24"/>
              </w:rPr>
            </w:pPr>
            <w:r>
              <w:rPr>
                <w:rFonts w:hint="eastAsia"/>
                <w:sz w:val="21"/>
                <w:szCs w:val="24"/>
              </w:rPr>
              <w:t>H2</w:t>
            </w:r>
          </w:p>
        </w:tc>
        <w:tc>
          <w:tcPr>
            <w:tcW w:w="1083" w:type="dxa"/>
            <w:shd w:val="clear" w:color="auto" w:fill="auto"/>
            <w:tcMar>
              <w:top w:w="15" w:type="dxa"/>
              <w:left w:w="108" w:type="dxa"/>
              <w:bottom w:w="0" w:type="dxa"/>
              <w:right w:w="108" w:type="dxa"/>
            </w:tcMar>
            <w:vAlign w:val="center"/>
          </w:tcPr>
          <w:p w14:paraId="38FFBC38">
            <w:pPr>
              <w:spacing w:line="240" w:lineRule="auto"/>
              <w:ind w:firstLine="0" w:firstLineChars="0"/>
              <w:jc w:val="center"/>
              <w:rPr>
                <w:sz w:val="21"/>
                <w:szCs w:val="24"/>
              </w:rPr>
            </w:pPr>
            <w:r>
              <w:rPr>
                <w:rFonts w:hint="eastAsia"/>
                <w:sz w:val="21"/>
                <w:szCs w:val="24"/>
              </w:rPr>
              <w:t>≤4</w:t>
            </w:r>
          </w:p>
        </w:tc>
        <w:tc>
          <w:tcPr>
            <w:tcW w:w="2995" w:type="dxa"/>
            <w:shd w:val="clear" w:color="auto" w:fill="auto"/>
            <w:tcMar>
              <w:top w:w="15" w:type="dxa"/>
              <w:left w:w="108" w:type="dxa"/>
              <w:bottom w:w="0" w:type="dxa"/>
              <w:right w:w="108" w:type="dxa"/>
            </w:tcMar>
            <w:vAlign w:val="center"/>
          </w:tcPr>
          <w:p w14:paraId="55D2A12D">
            <w:pPr>
              <w:spacing w:line="240" w:lineRule="auto"/>
              <w:ind w:firstLine="0" w:firstLineChars="0"/>
              <w:jc w:val="center"/>
              <w:rPr>
                <w:sz w:val="21"/>
                <w:szCs w:val="24"/>
              </w:rPr>
            </w:pPr>
            <w:r>
              <w:rPr>
                <w:rFonts w:hint="eastAsia"/>
                <w:sz w:val="21"/>
                <w:szCs w:val="24"/>
              </w:rPr>
              <w:t>&lt;0.75mol%</w:t>
            </w:r>
          </w:p>
        </w:tc>
        <w:tc>
          <w:tcPr>
            <w:tcW w:w="2731" w:type="dxa"/>
            <w:vMerge w:val="restart"/>
            <w:vAlign w:val="center"/>
          </w:tcPr>
          <w:p w14:paraId="00D7E75D">
            <w:pPr>
              <w:spacing w:line="240" w:lineRule="auto"/>
              <w:ind w:firstLine="0" w:firstLineChars="0"/>
              <w:jc w:val="center"/>
              <w:rPr>
                <w:sz w:val="21"/>
                <w:szCs w:val="24"/>
              </w:rPr>
            </w:pPr>
            <w:r>
              <w:rPr>
                <w:rFonts w:hint="eastAsia"/>
                <w:sz w:val="21"/>
                <w:szCs w:val="24"/>
              </w:rPr>
              <w:t>满足客户要求即可</w:t>
            </w:r>
          </w:p>
        </w:tc>
      </w:tr>
      <w:tr w14:paraId="4AB30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7127D016">
            <w:pPr>
              <w:spacing w:line="240" w:lineRule="auto"/>
              <w:ind w:firstLine="0" w:firstLineChars="0"/>
              <w:jc w:val="center"/>
              <w:rPr>
                <w:sz w:val="21"/>
                <w:szCs w:val="24"/>
              </w:rPr>
            </w:pPr>
            <w:r>
              <w:rPr>
                <w:rFonts w:hint="eastAsia"/>
                <w:sz w:val="21"/>
                <w:szCs w:val="24"/>
              </w:rPr>
              <w:t>N2</w:t>
            </w:r>
          </w:p>
        </w:tc>
        <w:tc>
          <w:tcPr>
            <w:tcW w:w="1083" w:type="dxa"/>
            <w:shd w:val="clear" w:color="auto" w:fill="auto"/>
            <w:tcMar>
              <w:top w:w="15" w:type="dxa"/>
              <w:left w:w="108" w:type="dxa"/>
              <w:bottom w:w="0" w:type="dxa"/>
              <w:right w:w="108" w:type="dxa"/>
            </w:tcMar>
            <w:vAlign w:val="center"/>
          </w:tcPr>
          <w:p w14:paraId="1C4A74A6">
            <w:pPr>
              <w:spacing w:line="240" w:lineRule="auto"/>
              <w:ind w:firstLine="0" w:firstLineChars="0"/>
              <w:jc w:val="center"/>
              <w:rPr>
                <w:sz w:val="21"/>
                <w:szCs w:val="24"/>
              </w:rPr>
            </w:pPr>
            <w:r>
              <w:rPr>
                <w:rFonts w:hint="eastAsia"/>
                <w:sz w:val="21"/>
                <w:szCs w:val="24"/>
              </w:rPr>
              <w:t>≤4</w:t>
            </w:r>
          </w:p>
        </w:tc>
        <w:tc>
          <w:tcPr>
            <w:tcW w:w="2995" w:type="dxa"/>
            <w:shd w:val="clear" w:color="auto" w:fill="auto"/>
            <w:tcMar>
              <w:top w:w="15" w:type="dxa"/>
              <w:left w:w="108" w:type="dxa"/>
              <w:bottom w:w="0" w:type="dxa"/>
              <w:right w:w="108" w:type="dxa"/>
            </w:tcMar>
            <w:vAlign w:val="center"/>
          </w:tcPr>
          <w:p w14:paraId="77D4CC3D">
            <w:pPr>
              <w:spacing w:line="240" w:lineRule="auto"/>
              <w:ind w:firstLine="0" w:firstLineChars="0"/>
              <w:jc w:val="center"/>
              <w:rPr>
                <w:sz w:val="21"/>
                <w:szCs w:val="24"/>
              </w:rPr>
            </w:pPr>
            <w:r>
              <w:rPr>
                <w:rFonts w:hint="eastAsia"/>
                <w:sz w:val="21"/>
                <w:szCs w:val="24"/>
              </w:rPr>
              <w:t>&lt;2mol%</w:t>
            </w:r>
          </w:p>
        </w:tc>
        <w:tc>
          <w:tcPr>
            <w:tcW w:w="2731" w:type="dxa"/>
            <w:vMerge w:val="continue"/>
            <w:vAlign w:val="center"/>
          </w:tcPr>
          <w:p w14:paraId="0AB9094A">
            <w:pPr>
              <w:spacing w:line="240" w:lineRule="auto"/>
              <w:ind w:firstLine="0" w:firstLineChars="0"/>
              <w:jc w:val="center"/>
              <w:rPr>
                <w:sz w:val="21"/>
                <w:szCs w:val="24"/>
              </w:rPr>
            </w:pPr>
          </w:p>
        </w:tc>
      </w:tr>
      <w:tr w14:paraId="1E96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3D44F341">
            <w:pPr>
              <w:spacing w:line="240" w:lineRule="auto"/>
              <w:ind w:firstLine="0" w:firstLineChars="0"/>
              <w:jc w:val="center"/>
              <w:rPr>
                <w:sz w:val="21"/>
                <w:szCs w:val="24"/>
              </w:rPr>
            </w:pPr>
            <w:r>
              <w:rPr>
                <w:rFonts w:hint="eastAsia"/>
                <w:sz w:val="21"/>
                <w:szCs w:val="24"/>
              </w:rPr>
              <w:t>Ar</w:t>
            </w:r>
          </w:p>
        </w:tc>
        <w:tc>
          <w:tcPr>
            <w:tcW w:w="1083" w:type="dxa"/>
            <w:shd w:val="clear" w:color="auto" w:fill="auto"/>
            <w:tcMar>
              <w:top w:w="15" w:type="dxa"/>
              <w:left w:w="108" w:type="dxa"/>
              <w:bottom w:w="0" w:type="dxa"/>
              <w:right w:w="108" w:type="dxa"/>
            </w:tcMar>
            <w:vAlign w:val="center"/>
          </w:tcPr>
          <w:p w14:paraId="3392F54D">
            <w:pPr>
              <w:spacing w:line="240" w:lineRule="auto"/>
              <w:ind w:firstLine="0" w:firstLineChars="0"/>
              <w:jc w:val="center"/>
              <w:rPr>
                <w:sz w:val="21"/>
                <w:szCs w:val="24"/>
              </w:rPr>
            </w:pPr>
            <w:r>
              <w:rPr>
                <w:rFonts w:hint="eastAsia"/>
                <w:sz w:val="21"/>
                <w:szCs w:val="24"/>
              </w:rPr>
              <w:t>≤4</w:t>
            </w:r>
          </w:p>
        </w:tc>
        <w:tc>
          <w:tcPr>
            <w:tcW w:w="2995" w:type="dxa"/>
            <w:shd w:val="clear" w:color="auto" w:fill="auto"/>
            <w:tcMar>
              <w:top w:w="15" w:type="dxa"/>
              <w:left w:w="108" w:type="dxa"/>
              <w:bottom w:w="0" w:type="dxa"/>
              <w:right w:w="108" w:type="dxa"/>
            </w:tcMar>
            <w:vAlign w:val="center"/>
          </w:tcPr>
          <w:p w14:paraId="4DE26D7D">
            <w:pPr>
              <w:spacing w:line="240" w:lineRule="auto"/>
              <w:ind w:firstLine="0" w:firstLineChars="0"/>
              <w:jc w:val="center"/>
              <w:rPr>
                <w:sz w:val="21"/>
                <w:szCs w:val="24"/>
              </w:rPr>
            </w:pPr>
            <w:r>
              <w:rPr>
                <w:rFonts w:hint="eastAsia"/>
                <w:sz w:val="21"/>
                <w:szCs w:val="24"/>
              </w:rPr>
              <w:t>/</w:t>
            </w:r>
          </w:p>
        </w:tc>
        <w:tc>
          <w:tcPr>
            <w:tcW w:w="2731" w:type="dxa"/>
            <w:vMerge w:val="continue"/>
            <w:vAlign w:val="center"/>
          </w:tcPr>
          <w:p w14:paraId="1A85B108">
            <w:pPr>
              <w:spacing w:line="240" w:lineRule="auto"/>
              <w:ind w:firstLine="0" w:firstLineChars="0"/>
              <w:jc w:val="center"/>
              <w:rPr>
                <w:sz w:val="21"/>
                <w:szCs w:val="24"/>
              </w:rPr>
            </w:pPr>
          </w:p>
        </w:tc>
      </w:tr>
      <w:tr w14:paraId="4677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1E8A3301">
            <w:pPr>
              <w:spacing w:line="240" w:lineRule="auto"/>
              <w:ind w:firstLine="0" w:firstLineChars="0"/>
              <w:jc w:val="center"/>
              <w:rPr>
                <w:sz w:val="21"/>
                <w:szCs w:val="24"/>
              </w:rPr>
            </w:pPr>
            <w:r>
              <w:rPr>
                <w:rFonts w:hint="eastAsia"/>
                <w:sz w:val="21"/>
                <w:szCs w:val="24"/>
              </w:rPr>
              <w:t>CH4</w:t>
            </w:r>
          </w:p>
        </w:tc>
        <w:tc>
          <w:tcPr>
            <w:tcW w:w="1083" w:type="dxa"/>
            <w:shd w:val="clear" w:color="auto" w:fill="auto"/>
            <w:tcMar>
              <w:top w:w="15" w:type="dxa"/>
              <w:left w:w="108" w:type="dxa"/>
              <w:bottom w:w="0" w:type="dxa"/>
              <w:right w:w="108" w:type="dxa"/>
            </w:tcMar>
            <w:vAlign w:val="center"/>
          </w:tcPr>
          <w:p w14:paraId="50F903E9">
            <w:pPr>
              <w:spacing w:line="240" w:lineRule="auto"/>
              <w:ind w:firstLine="0" w:firstLineChars="0"/>
              <w:jc w:val="center"/>
              <w:rPr>
                <w:sz w:val="21"/>
                <w:szCs w:val="24"/>
              </w:rPr>
            </w:pPr>
            <w:r>
              <w:rPr>
                <w:rFonts w:hint="eastAsia"/>
                <w:sz w:val="21"/>
                <w:szCs w:val="24"/>
              </w:rPr>
              <w:t>≤4</w:t>
            </w:r>
          </w:p>
        </w:tc>
        <w:tc>
          <w:tcPr>
            <w:tcW w:w="2995" w:type="dxa"/>
            <w:shd w:val="clear" w:color="auto" w:fill="auto"/>
            <w:tcMar>
              <w:top w:w="15" w:type="dxa"/>
              <w:left w:w="108" w:type="dxa"/>
              <w:bottom w:w="0" w:type="dxa"/>
              <w:right w:w="108" w:type="dxa"/>
            </w:tcMar>
            <w:vAlign w:val="center"/>
          </w:tcPr>
          <w:p w14:paraId="4E1E8E89">
            <w:pPr>
              <w:spacing w:line="240" w:lineRule="auto"/>
              <w:ind w:firstLine="0" w:firstLineChars="0"/>
              <w:jc w:val="center"/>
              <w:rPr>
                <w:sz w:val="21"/>
                <w:szCs w:val="24"/>
              </w:rPr>
            </w:pPr>
            <w:r>
              <w:rPr>
                <w:rFonts w:hint="eastAsia"/>
                <w:sz w:val="21"/>
                <w:szCs w:val="24"/>
              </w:rPr>
              <w:t>/</w:t>
            </w:r>
          </w:p>
        </w:tc>
        <w:tc>
          <w:tcPr>
            <w:tcW w:w="2731" w:type="dxa"/>
            <w:vMerge w:val="continue"/>
            <w:vAlign w:val="center"/>
          </w:tcPr>
          <w:p w14:paraId="6B001186">
            <w:pPr>
              <w:spacing w:line="240" w:lineRule="auto"/>
              <w:ind w:firstLine="0" w:firstLineChars="0"/>
              <w:jc w:val="center"/>
              <w:rPr>
                <w:sz w:val="21"/>
                <w:szCs w:val="24"/>
              </w:rPr>
            </w:pPr>
          </w:p>
        </w:tc>
      </w:tr>
      <w:tr w14:paraId="1123F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5AF22810">
            <w:pPr>
              <w:spacing w:line="240" w:lineRule="auto"/>
              <w:ind w:firstLine="0" w:firstLineChars="0"/>
              <w:jc w:val="center"/>
              <w:rPr>
                <w:sz w:val="21"/>
                <w:szCs w:val="24"/>
              </w:rPr>
            </w:pPr>
            <w:r>
              <w:rPr>
                <w:rFonts w:hint="eastAsia"/>
                <w:sz w:val="21"/>
                <w:szCs w:val="24"/>
              </w:rPr>
              <w:t>CO</w:t>
            </w:r>
          </w:p>
        </w:tc>
        <w:tc>
          <w:tcPr>
            <w:tcW w:w="1083" w:type="dxa"/>
            <w:shd w:val="clear" w:color="auto" w:fill="auto"/>
            <w:tcMar>
              <w:top w:w="15" w:type="dxa"/>
              <w:left w:w="108" w:type="dxa"/>
              <w:bottom w:w="0" w:type="dxa"/>
              <w:right w:w="108" w:type="dxa"/>
            </w:tcMar>
            <w:vAlign w:val="center"/>
          </w:tcPr>
          <w:p w14:paraId="59465A41">
            <w:pPr>
              <w:spacing w:line="240" w:lineRule="auto"/>
              <w:ind w:firstLine="0" w:firstLineChars="0"/>
              <w:jc w:val="center"/>
              <w:rPr>
                <w:sz w:val="21"/>
                <w:szCs w:val="24"/>
              </w:rPr>
            </w:pPr>
            <w:r>
              <w:rPr>
                <w:rFonts w:hint="eastAsia"/>
                <w:sz w:val="21"/>
                <w:szCs w:val="24"/>
              </w:rPr>
              <w:t>≤0.0035</w:t>
            </w:r>
          </w:p>
        </w:tc>
        <w:tc>
          <w:tcPr>
            <w:tcW w:w="2995" w:type="dxa"/>
            <w:shd w:val="clear" w:color="auto" w:fill="auto"/>
            <w:tcMar>
              <w:top w:w="15" w:type="dxa"/>
              <w:left w:w="108" w:type="dxa"/>
              <w:bottom w:w="0" w:type="dxa"/>
              <w:right w:w="108" w:type="dxa"/>
            </w:tcMar>
            <w:vAlign w:val="center"/>
          </w:tcPr>
          <w:p w14:paraId="6A43DBCE">
            <w:pPr>
              <w:spacing w:line="240" w:lineRule="auto"/>
              <w:ind w:firstLine="0" w:firstLineChars="0"/>
              <w:jc w:val="center"/>
              <w:rPr>
                <w:sz w:val="21"/>
                <w:szCs w:val="24"/>
              </w:rPr>
            </w:pPr>
            <w:r>
              <w:rPr>
                <w:rFonts w:hint="eastAsia"/>
                <w:sz w:val="21"/>
                <w:szCs w:val="24"/>
              </w:rPr>
              <w:t>&lt;0.2mol%</w:t>
            </w:r>
          </w:p>
        </w:tc>
        <w:tc>
          <w:tcPr>
            <w:tcW w:w="2731" w:type="dxa"/>
            <w:vMerge w:val="continue"/>
            <w:vAlign w:val="center"/>
          </w:tcPr>
          <w:p w14:paraId="3951750F">
            <w:pPr>
              <w:spacing w:line="240" w:lineRule="auto"/>
              <w:ind w:firstLine="0" w:firstLineChars="0"/>
              <w:jc w:val="center"/>
              <w:rPr>
                <w:sz w:val="21"/>
                <w:szCs w:val="24"/>
              </w:rPr>
            </w:pPr>
          </w:p>
        </w:tc>
      </w:tr>
      <w:tr w14:paraId="192C3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0E81A8F6">
            <w:pPr>
              <w:spacing w:line="240" w:lineRule="auto"/>
              <w:ind w:firstLine="0" w:firstLineChars="0"/>
              <w:jc w:val="center"/>
              <w:rPr>
                <w:sz w:val="21"/>
                <w:szCs w:val="24"/>
              </w:rPr>
            </w:pPr>
            <w:r>
              <w:rPr>
                <w:rFonts w:hint="eastAsia"/>
                <w:sz w:val="21"/>
                <w:szCs w:val="24"/>
              </w:rPr>
              <w:t>O2</w:t>
            </w:r>
          </w:p>
        </w:tc>
        <w:tc>
          <w:tcPr>
            <w:tcW w:w="1083" w:type="dxa"/>
            <w:shd w:val="clear" w:color="auto" w:fill="auto"/>
            <w:tcMar>
              <w:top w:w="15" w:type="dxa"/>
              <w:left w:w="108" w:type="dxa"/>
              <w:bottom w:w="0" w:type="dxa"/>
              <w:right w:w="108" w:type="dxa"/>
            </w:tcMar>
            <w:vAlign w:val="center"/>
          </w:tcPr>
          <w:p w14:paraId="2B16011F">
            <w:pPr>
              <w:spacing w:line="240" w:lineRule="auto"/>
              <w:ind w:firstLine="0" w:firstLineChars="0"/>
              <w:jc w:val="center"/>
              <w:rPr>
                <w:sz w:val="21"/>
                <w:szCs w:val="24"/>
              </w:rPr>
            </w:pPr>
            <w:r>
              <w:rPr>
                <w:rFonts w:hint="eastAsia"/>
                <w:sz w:val="21"/>
                <w:szCs w:val="24"/>
              </w:rPr>
              <w:t>≤0.001</w:t>
            </w:r>
          </w:p>
        </w:tc>
        <w:tc>
          <w:tcPr>
            <w:tcW w:w="2995" w:type="dxa"/>
            <w:shd w:val="clear" w:color="auto" w:fill="auto"/>
            <w:tcMar>
              <w:top w:w="15" w:type="dxa"/>
              <w:left w:w="108" w:type="dxa"/>
              <w:bottom w:w="0" w:type="dxa"/>
              <w:right w:w="108" w:type="dxa"/>
            </w:tcMar>
            <w:vAlign w:val="center"/>
          </w:tcPr>
          <w:p w14:paraId="3A9FCDAA">
            <w:pPr>
              <w:spacing w:line="240" w:lineRule="auto"/>
              <w:ind w:firstLine="0" w:firstLineChars="0"/>
              <w:jc w:val="center"/>
              <w:rPr>
                <w:sz w:val="21"/>
                <w:szCs w:val="24"/>
              </w:rPr>
            </w:pPr>
            <w:r>
              <w:rPr>
                <w:rFonts w:hint="eastAsia"/>
                <w:sz w:val="21"/>
                <w:szCs w:val="24"/>
              </w:rPr>
              <w:t>根据下游用户要求确定</w:t>
            </w:r>
          </w:p>
        </w:tc>
        <w:tc>
          <w:tcPr>
            <w:tcW w:w="2731" w:type="dxa"/>
            <w:vMerge w:val="continue"/>
            <w:vAlign w:val="center"/>
          </w:tcPr>
          <w:p w14:paraId="1ABD1B67">
            <w:pPr>
              <w:spacing w:line="240" w:lineRule="auto"/>
              <w:ind w:firstLine="0" w:firstLineChars="0"/>
              <w:jc w:val="center"/>
              <w:rPr>
                <w:sz w:val="21"/>
                <w:szCs w:val="24"/>
              </w:rPr>
            </w:pPr>
          </w:p>
        </w:tc>
      </w:tr>
      <w:tr w14:paraId="725F8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 w:hRule="atLeast"/>
          <w:jc w:val="center"/>
        </w:trPr>
        <w:tc>
          <w:tcPr>
            <w:tcW w:w="1590" w:type="dxa"/>
            <w:shd w:val="clear" w:color="auto" w:fill="auto"/>
            <w:tcMar>
              <w:top w:w="15" w:type="dxa"/>
              <w:left w:w="108" w:type="dxa"/>
              <w:bottom w:w="0" w:type="dxa"/>
              <w:right w:w="108" w:type="dxa"/>
            </w:tcMar>
            <w:vAlign w:val="center"/>
          </w:tcPr>
          <w:p w14:paraId="4D55545B">
            <w:pPr>
              <w:spacing w:line="240" w:lineRule="auto"/>
              <w:ind w:firstLine="0" w:firstLineChars="0"/>
              <w:jc w:val="center"/>
              <w:rPr>
                <w:sz w:val="21"/>
                <w:szCs w:val="24"/>
              </w:rPr>
            </w:pPr>
            <w:r>
              <w:rPr>
                <w:rFonts w:hint="eastAsia"/>
                <w:sz w:val="21"/>
                <w:szCs w:val="24"/>
              </w:rPr>
              <w:t>总不凝气</w:t>
            </w:r>
          </w:p>
        </w:tc>
        <w:tc>
          <w:tcPr>
            <w:tcW w:w="1083" w:type="dxa"/>
            <w:shd w:val="clear" w:color="auto" w:fill="auto"/>
            <w:tcMar>
              <w:top w:w="15" w:type="dxa"/>
              <w:left w:w="108" w:type="dxa"/>
              <w:bottom w:w="0" w:type="dxa"/>
              <w:right w:w="108" w:type="dxa"/>
            </w:tcMar>
            <w:vAlign w:val="center"/>
          </w:tcPr>
          <w:p w14:paraId="57079CB5">
            <w:pPr>
              <w:spacing w:line="240" w:lineRule="auto"/>
              <w:ind w:firstLine="0" w:firstLineChars="0"/>
              <w:jc w:val="center"/>
              <w:rPr>
                <w:sz w:val="21"/>
                <w:szCs w:val="24"/>
              </w:rPr>
            </w:pPr>
            <w:r>
              <w:rPr>
                <w:rFonts w:hint="eastAsia"/>
                <w:sz w:val="21"/>
                <w:szCs w:val="24"/>
              </w:rPr>
              <w:t>&lt;4</w:t>
            </w:r>
          </w:p>
        </w:tc>
        <w:tc>
          <w:tcPr>
            <w:tcW w:w="2995" w:type="dxa"/>
            <w:shd w:val="clear" w:color="auto" w:fill="auto"/>
            <w:tcMar>
              <w:top w:w="15" w:type="dxa"/>
              <w:left w:w="108" w:type="dxa"/>
              <w:bottom w:w="0" w:type="dxa"/>
              <w:right w:w="108" w:type="dxa"/>
            </w:tcMar>
            <w:vAlign w:val="center"/>
          </w:tcPr>
          <w:p w14:paraId="1AC5A0F2">
            <w:pPr>
              <w:spacing w:line="240" w:lineRule="auto"/>
              <w:ind w:firstLine="0" w:firstLineChars="0"/>
              <w:jc w:val="center"/>
              <w:rPr>
                <w:sz w:val="21"/>
                <w:szCs w:val="24"/>
              </w:rPr>
            </w:pPr>
            <w:r>
              <w:rPr>
                <w:rFonts w:hint="eastAsia"/>
                <w:sz w:val="21"/>
                <w:szCs w:val="24"/>
              </w:rPr>
              <w:t>&lt;4</w:t>
            </w:r>
          </w:p>
        </w:tc>
        <w:tc>
          <w:tcPr>
            <w:tcW w:w="2731" w:type="dxa"/>
            <w:vMerge w:val="continue"/>
            <w:vAlign w:val="center"/>
          </w:tcPr>
          <w:p w14:paraId="005AF61E">
            <w:pPr>
              <w:spacing w:line="240" w:lineRule="auto"/>
              <w:ind w:firstLine="0" w:firstLineChars="0"/>
              <w:jc w:val="center"/>
              <w:rPr>
                <w:sz w:val="21"/>
                <w:szCs w:val="24"/>
              </w:rPr>
            </w:pPr>
          </w:p>
        </w:tc>
      </w:tr>
    </w:tbl>
    <w:p w14:paraId="77BA5BE9">
      <w:pPr>
        <w:ind w:firstLine="480"/>
        <w:rPr>
          <w:szCs w:val="24"/>
        </w:rPr>
      </w:pPr>
      <w:r>
        <w:rPr>
          <w:rFonts w:hint="eastAsia"/>
          <w:szCs w:val="24"/>
        </w:rPr>
        <w:t>（2）杂质含量参数</w:t>
      </w:r>
    </w:p>
    <w:p w14:paraId="4F8078E3">
      <w:pPr>
        <w:ind w:firstLine="480"/>
        <w:rPr>
          <w:szCs w:val="24"/>
        </w:rPr>
      </w:pPr>
      <w:r>
        <w:rPr>
          <w:szCs w:val="24"/>
        </w:rPr>
        <w:fldChar w:fldCharType="begin"/>
      </w:r>
      <w:r>
        <w:rPr>
          <w:szCs w:val="24"/>
        </w:rPr>
        <w:instrText xml:space="preserve"> </w:instrText>
      </w:r>
      <w:r>
        <w:rPr>
          <w:rFonts w:hint="eastAsia"/>
          <w:szCs w:val="24"/>
        </w:rPr>
        <w:instrText xml:space="preserve">= 1 \* GB3</w:instrText>
      </w:r>
      <w:r>
        <w:rPr>
          <w:szCs w:val="24"/>
        </w:rPr>
        <w:instrText xml:space="preserve"> </w:instrText>
      </w:r>
      <w:r>
        <w:rPr>
          <w:szCs w:val="24"/>
        </w:rPr>
        <w:fldChar w:fldCharType="separate"/>
      </w:r>
      <w:r>
        <w:rPr>
          <w:rFonts w:hint="eastAsia"/>
          <w:szCs w:val="24"/>
        </w:rPr>
        <w:t>①</w:t>
      </w:r>
      <w:r>
        <w:rPr>
          <w:szCs w:val="24"/>
        </w:rPr>
        <w:fldChar w:fldCharType="end"/>
      </w:r>
      <w:r>
        <w:rPr>
          <w:rFonts w:hint="eastAsia"/>
          <w:szCs w:val="24"/>
        </w:rPr>
        <w:t>水含量选择依据</w:t>
      </w:r>
    </w:p>
    <w:p w14:paraId="7351B038">
      <w:pPr>
        <w:ind w:firstLine="480"/>
        <w:rPr>
          <w:szCs w:val="24"/>
        </w:rPr>
      </w:pPr>
      <w:r>
        <w:rPr>
          <w:szCs w:val="24"/>
        </w:rPr>
        <w:t>为了保证二氧化碳管道安全输送，必须严格控制介质中的含水量：最小水溶解度限制在60%饱和度。温度越低，饱和含水量越低，结合国内地温和输送条件，长输管道输送介质温度可能达到的最低温度4℃，因此最大允许含水量不应超过4℃饱和含水量60%：即200ppm。</w:t>
      </w:r>
    </w:p>
    <w:p w14:paraId="6B01A44F">
      <w:pPr>
        <w:ind w:firstLine="480"/>
        <w:jc w:val="center"/>
        <w:rPr>
          <w:szCs w:val="24"/>
        </w:rPr>
      </w:pPr>
      <w:r>
        <w:rPr>
          <w:szCs w:val="24"/>
        </w:rPr>
        <w:drawing>
          <wp:inline distT="0" distB="0" distL="114300" distR="114300">
            <wp:extent cx="3098800" cy="2383790"/>
            <wp:effectExtent l="0" t="0" r="0" b="3810"/>
            <wp:docPr id="67049923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499237" name="图片 3"/>
                    <pic:cNvPicPr>
                      <a:picLocks noChangeAspect="1"/>
                    </pic:cNvPicPr>
                  </pic:nvPicPr>
                  <pic:blipFill>
                    <a:blip r:embed="rId8"/>
                    <a:srcRect l="4882" t="8564" r="8730" b="5955"/>
                    <a:stretch>
                      <a:fillRect/>
                    </a:stretch>
                  </pic:blipFill>
                  <pic:spPr>
                    <a:xfrm>
                      <a:off x="0" y="0"/>
                      <a:ext cx="3113385" cy="2395383"/>
                    </a:xfrm>
                    <a:prstGeom prst="rect">
                      <a:avLst/>
                    </a:prstGeom>
                    <a:noFill/>
                    <a:ln>
                      <a:noFill/>
                    </a:ln>
                  </pic:spPr>
                </pic:pic>
              </a:graphicData>
            </a:graphic>
          </wp:inline>
        </w:drawing>
      </w:r>
    </w:p>
    <w:p w14:paraId="711E15E5">
      <w:pPr>
        <w:ind w:firstLine="480"/>
        <w:jc w:val="center"/>
        <w:rPr>
          <w:szCs w:val="24"/>
        </w:rPr>
      </w:pPr>
      <w:r>
        <w:rPr>
          <w:szCs w:val="24"/>
        </w:rPr>
        <w:t>图1模型计算分析</w:t>
      </w:r>
    </w:p>
    <w:p w14:paraId="721DE40A">
      <w:pPr>
        <w:ind w:firstLine="480"/>
        <w:jc w:val="center"/>
        <w:rPr>
          <w:szCs w:val="24"/>
        </w:rPr>
      </w:pPr>
      <w:r>
        <w:rPr>
          <w:szCs w:val="24"/>
        </w:rPr>
        <w:drawing>
          <wp:inline distT="0" distB="0" distL="114300" distR="114300">
            <wp:extent cx="3916045" cy="2195195"/>
            <wp:effectExtent l="0" t="0" r="8255" b="1905"/>
            <wp:docPr id="186092234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922342" name="图片 4"/>
                    <pic:cNvPicPr>
                      <a:picLocks noChangeAspect="1"/>
                    </pic:cNvPicPr>
                  </pic:nvPicPr>
                  <pic:blipFill>
                    <a:blip r:embed="rId9"/>
                    <a:stretch>
                      <a:fillRect/>
                    </a:stretch>
                  </pic:blipFill>
                  <pic:spPr>
                    <a:xfrm>
                      <a:off x="0" y="0"/>
                      <a:ext cx="3916045" cy="2195195"/>
                    </a:xfrm>
                    <a:prstGeom prst="rect">
                      <a:avLst/>
                    </a:prstGeom>
                    <a:noFill/>
                    <a:ln>
                      <a:noFill/>
                    </a:ln>
                  </pic:spPr>
                </pic:pic>
              </a:graphicData>
            </a:graphic>
          </wp:inline>
        </w:drawing>
      </w:r>
    </w:p>
    <w:p w14:paraId="5E82217F">
      <w:pPr>
        <w:ind w:firstLine="480"/>
        <w:jc w:val="center"/>
        <w:rPr>
          <w:szCs w:val="24"/>
        </w:rPr>
      </w:pPr>
      <w:r>
        <w:rPr>
          <w:szCs w:val="24"/>
        </w:rPr>
        <w:t>图2 不同压力、温度下CO</w:t>
      </w:r>
      <w:r>
        <w:rPr>
          <w:szCs w:val="24"/>
          <w:vertAlign w:val="subscript"/>
        </w:rPr>
        <w:t>2</w:t>
      </w:r>
      <w:r>
        <w:rPr>
          <w:szCs w:val="24"/>
        </w:rPr>
        <w:t>饱和含水量</w:t>
      </w:r>
    </w:p>
    <w:p w14:paraId="693307DB">
      <w:pPr>
        <w:ind w:firstLine="480"/>
        <w:rPr>
          <w:szCs w:val="24"/>
        </w:rPr>
      </w:pPr>
      <w:r>
        <w:rPr>
          <w:szCs w:val="24"/>
        </w:rPr>
        <w:t>在工程设计中，都是通过规定</w:t>
      </w:r>
      <w:r>
        <w:rPr>
          <w:rFonts w:hint="eastAsia"/>
          <w:szCs w:val="24"/>
        </w:rPr>
        <w:t>“</w:t>
      </w:r>
      <w:r>
        <w:rPr>
          <w:szCs w:val="24"/>
        </w:rPr>
        <w:t>水露点</w:t>
      </w:r>
      <w:r>
        <w:rPr>
          <w:rFonts w:hint="eastAsia"/>
          <w:szCs w:val="24"/>
        </w:rPr>
        <w:t>”</w:t>
      </w:r>
      <w:r>
        <w:rPr>
          <w:szCs w:val="24"/>
        </w:rPr>
        <w:t>限值来防止游离水的产生。根据《输气管道工程设计规范》(GB 50251-2018)，管输天然气气质标准应满足天然气标准中Ⅱ类要求，即进入输气管道的气体水露点应低于输送条件下最低环境温度5℃。由于CO</w:t>
      </w:r>
      <w:r>
        <w:rPr>
          <w:szCs w:val="24"/>
          <w:vertAlign w:val="subscript"/>
        </w:rPr>
        <w:t>2</w:t>
      </w:r>
      <w:r>
        <w:rPr>
          <w:szCs w:val="24"/>
        </w:rPr>
        <w:t>输送、注入方面还没有相关明确规定，CO</w:t>
      </w:r>
      <w:r>
        <w:rPr>
          <w:szCs w:val="24"/>
          <w:vertAlign w:val="subscript"/>
        </w:rPr>
        <w:t>2</w:t>
      </w:r>
      <w:r>
        <w:rPr>
          <w:szCs w:val="24"/>
        </w:rPr>
        <w:t>水露点限值拟采取</w:t>
      </w:r>
      <w:r>
        <w:rPr>
          <w:rFonts w:hint="eastAsia"/>
          <w:szCs w:val="24"/>
        </w:rPr>
        <w:t>“</w:t>
      </w:r>
      <w:r>
        <w:rPr>
          <w:szCs w:val="24"/>
        </w:rPr>
        <w:t>应低于最低环境温度5℃</w:t>
      </w:r>
      <w:r>
        <w:rPr>
          <w:rFonts w:hint="eastAsia"/>
          <w:szCs w:val="24"/>
        </w:rPr>
        <w:t>”</w:t>
      </w:r>
      <w:r>
        <w:rPr>
          <w:szCs w:val="24"/>
        </w:rPr>
        <w:t>的设计规定。</w:t>
      </w:r>
    </w:p>
    <w:p w14:paraId="32B9E94C">
      <w:pPr>
        <w:ind w:firstLine="480"/>
        <w:rPr>
          <w:szCs w:val="24"/>
        </w:rPr>
      </w:pPr>
      <w:r>
        <w:rPr>
          <w:szCs w:val="24"/>
        </w:rPr>
        <w:fldChar w:fldCharType="begin"/>
      </w:r>
      <w:r>
        <w:rPr>
          <w:szCs w:val="24"/>
        </w:rPr>
        <w:instrText xml:space="preserve"> </w:instrText>
      </w:r>
      <w:r>
        <w:rPr>
          <w:rFonts w:hint="eastAsia"/>
          <w:szCs w:val="24"/>
        </w:rPr>
        <w:instrText xml:space="preserve">= 2 \* GB3</w:instrText>
      </w:r>
      <w:r>
        <w:rPr>
          <w:szCs w:val="24"/>
        </w:rPr>
        <w:instrText xml:space="preserve"> </w:instrText>
      </w:r>
      <w:r>
        <w:rPr>
          <w:szCs w:val="24"/>
        </w:rPr>
        <w:fldChar w:fldCharType="separate"/>
      </w:r>
      <w:r>
        <w:rPr>
          <w:rFonts w:hint="eastAsia"/>
          <w:szCs w:val="24"/>
        </w:rPr>
        <w:t>②</w:t>
      </w:r>
      <w:r>
        <w:rPr>
          <w:szCs w:val="24"/>
        </w:rPr>
        <w:fldChar w:fldCharType="end"/>
      </w:r>
      <w:r>
        <w:rPr>
          <w:szCs w:val="24"/>
        </w:rPr>
        <w:t>硫化物含量选择依据</w:t>
      </w:r>
    </w:p>
    <w:p w14:paraId="3AD55879">
      <w:pPr>
        <w:ind w:firstLine="480"/>
        <w:rPr>
          <w:szCs w:val="24"/>
        </w:rPr>
      </w:pPr>
      <w:r>
        <w:rPr>
          <w:szCs w:val="24"/>
        </w:rPr>
        <w:t>H</w:t>
      </w:r>
      <w:r>
        <w:rPr>
          <w:szCs w:val="24"/>
          <w:vertAlign w:val="subscript"/>
        </w:rPr>
        <w:t>2</w:t>
      </w:r>
      <w:r>
        <w:rPr>
          <w:szCs w:val="24"/>
        </w:rPr>
        <w:t>S是有剧毒的酸性气体，对管道和设备具有腐蚀性且对人体健康有不利影响。ISO与NETL在制定管道输送CO</w:t>
      </w:r>
      <w:r>
        <w:rPr>
          <w:szCs w:val="24"/>
          <w:vertAlign w:val="subscript"/>
        </w:rPr>
        <w:t>2</w:t>
      </w:r>
      <w:r>
        <w:rPr>
          <w:szCs w:val="24"/>
        </w:rPr>
        <w:t>流体中H</w:t>
      </w:r>
      <w:r>
        <w:rPr>
          <w:szCs w:val="24"/>
          <w:vertAlign w:val="subscript"/>
        </w:rPr>
        <w:t>2</w:t>
      </w:r>
      <w:r>
        <w:rPr>
          <w:szCs w:val="24"/>
        </w:rPr>
        <w:t>S的最大含量时均从保护人体健康安全角度出发，ISO 27913建议H</w:t>
      </w:r>
      <w:r>
        <w:rPr>
          <w:szCs w:val="24"/>
          <w:vertAlign w:val="subscript"/>
        </w:rPr>
        <w:t>2</w:t>
      </w:r>
      <w:r>
        <w:rPr>
          <w:szCs w:val="24"/>
        </w:rPr>
        <w:t>S含量小于0.02%，NETL规定H</w:t>
      </w:r>
      <w:r>
        <w:rPr>
          <w:szCs w:val="24"/>
          <w:vertAlign w:val="subscript"/>
        </w:rPr>
        <w:t>2</w:t>
      </w:r>
      <w:r>
        <w:rPr>
          <w:szCs w:val="24"/>
        </w:rPr>
        <w:t>S不超过0.01%。SH/T 3202中规定H</w:t>
      </w:r>
      <w:r>
        <w:rPr>
          <w:szCs w:val="24"/>
          <w:vertAlign w:val="subscript"/>
        </w:rPr>
        <w:t>2</w:t>
      </w:r>
      <w:r>
        <w:rPr>
          <w:szCs w:val="24"/>
        </w:rPr>
        <w:t>S质量分数不超过0.01%，并规定总硫含量</w:t>
      </w:r>
      <w:r>
        <w:rPr>
          <w:rFonts w:hint="eastAsia"/>
          <w:szCs w:val="24"/>
        </w:rPr>
        <w:t>（</w:t>
      </w:r>
      <w:r>
        <w:rPr>
          <w:szCs w:val="24"/>
        </w:rPr>
        <w:t>以硫计</w:t>
      </w:r>
      <w:r>
        <w:rPr>
          <w:rFonts w:hint="eastAsia"/>
          <w:szCs w:val="24"/>
        </w:rPr>
        <w:t>）</w:t>
      </w:r>
      <w:r>
        <w:rPr>
          <w:szCs w:val="24"/>
        </w:rPr>
        <w:t>不大于200 mg/m</w:t>
      </w:r>
      <w:r>
        <w:rPr>
          <w:szCs w:val="24"/>
          <w:vertAlign w:val="superscript"/>
        </w:rPr>
        <w:t>3</w:t>
      </w:r>
      <w:r>
        <w:rPr>
          <w:szCs w:val="24"/>
        </w:rPr>
        <w:t>。</w:t>
      </w:r>
    </w:p>
    <w:p w14:paraId="6F9DC4A5">
      <w:pPr>
        <w:ind w:firstLine="480"/>
        <w:rPr>
          <w:szCs w:val="24"/>
        </w:rPr>
      </w:pPr>
      <w:r>
        <w:rPr>
          <w:szCs w:val="24"/>
        </w:rPr>
        <w:t>对于CCUS-EOR用户，根据《石油天然气工业 油气开采中用于硫化氢环境的材料》(GB/T 20972)标准，当硫化氢分压大于0.0003MPa时，要考虑材料的抗硫化氢应力腐蚀开裂性能。以大庆葡萄花油藏及扶杨油藏为例，大庆葡萄花油藏注气井井底压力25-30MPa，H</w:t>
      </w:r>
      <w:r>
        <w:rPr>
          <w:szCs w:val="24"/>
          <w:vertAlign w:val="subscript"/>
        </w:rPr>
        <w:t>2</w:t>
      </w:r>
      <w:r>
        <w:rPr>
          <w:szCs w:val="24"/>
        </w:rPr>
        <w:t>S含量&lt;14ppm部分区域不满足要求，H</w:t>
      </w:r>
      <w:r>
        <w:rPr>
          <w:szCs w:val="24"/>
          <w:vertAlign w:val="subscript"/>
        </w:rPr>
        <w:t>2</w:t>
      </w:r>
      <w:r>
        <w:rPr>
          <w:szCs w:val="24"/>
        </w:rPr>
        <w:t>S含量&lt;10ppm才满足要求。扶杨油藏井底压力44-46MPa，H</w:t>
      </w:r>
      <w:r>
        <w:rPr>
          <w:szCs w:val="24"/>
          <w:vertAlign w:val="subscript"/>
        </w:rPr>
        <w:t>2</w:t>
      </w:r>
      <w:r>
        <w:rPr>
          <w:szCs w:val="24"/>
        </w:rPr>
        <w:t>S含量&lt;6ppm才满足要求。</w:t>
      </w:r>
    </w:p>
    <w:p w14:paraId="36091499">
      <w:pPr>
        <w:ind w:firstLine="480"/>
        <w:jc w:val="center"/>
        <w:rPr>
          <w:szCs w:val="24"/>
        </w:rPr>
      </w:pPr>
      <w:r>
        <w:rPr>
          <w:szCs w:val="24"/>
        </w:rPr>
        <w:t>表</w:t>
      </w:r>
      <w:r>
        <w:rPr>
          <w:rFonts w:hint="eastAsia"/>
          <w:szCs w:val="24"/>
        </w:rPr>
        <w:t>4</w:t>
      </w:r>
      <w:r>
        <w:rPr>
          <w:szCs w:val="24"/>
        </w:rPr>
        <w:t xml:space="preserve"> 各标准中硫化物、氧硫化物及总硫含量建议值</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419"/>
        <w:gridCol w:w="2227"/>
        <w:gridCol w:w="1417"/>
        <w:gridCol w:w="992"/>
        <w:gridCol w:w="1043"/>
      </w:tblGrid>
      <w:tr w14:paraId="5E2CC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shd w:val="clear" w:color="auto" w:fill="auto"/>
            <w:vAlign w:val="center"/>
          </w:tcPr>
          <w:p w14:paraId="7899A7CE">
            <w:pPr>
              <w:spacing w:line="240" w:lineRule="auto"/>
              <w:ind w:firstLine="0" w:firstLineChars="0"/>
              <w:jc w:val="center"/>
              <w:rPr>
                <w:sz w:val="21"/>
                <w:szCs w:val="24"/>
              </w:rPr>
            </w:pPr>
            <w:r>
              <w:rPr>
                <w:sz w:val="21"/>
                <w:szCs w:val="24"/>
              </w:rPr>
              <w:t>杂质（vol%）</w:t>
            </w:r>
          </w:p>
        </w:tc>
        <w:tc>
          <w:tcPr>
            <w:tcW w:w="1420" w:type="dxa"/>
            <w:shd w:val="clear" w:color="auto" w:fill="auto"/>
            <w:vAlign w:val="center"/>
          </w:tcPr>
          <w:p w14:paraId="6C806B59">
            <w:pPr>
              <w:spacing w:line="240" w:lineRule="auto"/>
              <w:ind w:firstLine="0" w:firstLineChars="0"/>
              <w:jc w:val="center"/>
              <w:rPr>
                <w:sz w:val="21"/>
                <w:szCs w:val="24"/>
              </w:rPr>
            </w:pPr>
            <w:r>
              <w:rPr>
                <w:sz w:val="21"/>
                <w:szCs w:val="24"/>
              </w:rPr>
              <w:t>NETL</w:t>
            </w:r>
          </w:p>
        </w:tc>
        <w:tc>
          <w:tcPr>
            <w:tcW w:w="2230" w:type="dxa"/>
            <w:shd w:val="clear" w:color="auto" w:fill="auto"/>
            <w:vAlign w:val="center"/>
          </w:tcPr>
          <w:p w14:paraId="6CD618E0">
            <w:pPr>
              <w:spacing w:line="240" w:lineRule="auto"/>
              <w:ind w:firstLine="0" w:firstLineChars="0"/>
              <w:jc w:val="center"/>
              <w:rPr>
                <w:sz w:val="21"/>
                <w:szCs w:val="24"/>
              </w:rPr>
            </w:pPr>
            <w:r>
              <w:rPr>
                <w:sz w:val="21"/>
                <w:szCs w:val="24"/>
              </w:rPr>
              <w:t>ISO 27913</w:t>
            </w:r>
          </w:p>
        </w:tc>
        <w:tc>
          <w:tcPr>
            <w:tcW w:w="1417" w:type="dxa"/>
            <w:shd w:val="clear" w:color="auto" w:fill="auto"/>
            <w:vAlign w:val="center"/>
          </w:tcPr>
          <w:p w14:paraId="0A7906E4">
            <w:pPr>
              <w:spacing w:line="240" w:lineRule="auto"/>
              <w:ind w:firstLine="0" w:firstLineChars="0"/>
              <w:jc w:val="center"/>
              <w:rPr>
                <w:sz w:val="21"/>
                <w:szCs w:val="24"/>
              </w:rPr>
            </w:pPr>
            <w:r>
              <w:rPr>
                <w:sz w:val="21"/>
                <w:szCs w:val="24"/>
              </w:rPr>
              <w:t>SH/T 3202</w:t>
            </w:r>
          </w:p>
        </w:tc>
        <w:tc>
          <w:tcPr>
            <w:tcW w:w="992" w:type="dxa"/>
            <w:shd w:val="clear" w:color="auto" w:fill="auto"/>
            <w:vAlign w:val="center"/>
          </w:tcPr>
          <w:p w14:paraId="3BCEC918">
            <w:pPr>
              <w:spacing w:line="240" w:lineRule="auto"/>
              <w:ind w:firstLine="0" w:firstLineChars="0"/>
              <w:jc w:val="center"/>
              <w:rPr>
                <w:sz w:val="21"/>
                <w:szCs w:val="24"/>
              </w:rPr>
            </w:pPr>
            <w:r>
              <w:rPr>
                <w:sz w:val="21"/>
                <w:szCs w:val="24"/>
              </w:rPr>
              <w:t>KMCO</w:t>
            </w:r>
            <w:r>
              <w:rPr>
                <w:sz w:val="21"/>
                <w:szCs w:val="24"/>
                <w:vertAlign w:val="subscript"/>
              </w:rPr>
              <w:t>2</w:t>
            </w:r>
          </w:p>
        </w:tc>
        <w:tc>
          <w:tcPr>
            <w:tcW w:w="1043" w:type="dxa"/>
            <w:shd w:val="clear" w:color="auto" w:fill="auto"/>
            <w:vAlign w:val="center"/>
          </w:tcPr>
          <w:p w14:paraId="7145BFCC">
            <w:pPr>
              <w:spacing w:line="240" w:lineRule="auto"/>
              <w:ind w:firstLine="0" w:firstLineChars="0"/>
              <w:jc w:val="center"/>
              <w:rPr>
                <w:sz w:val="21"/>
                <w:szCs w:val="24"/>
              </w:rPr>
            </w:pPr>
            <w:r>
              <w:rPr>
                <w:sz w:val="21"/>
                <w:szCs w:val="24"/>
              </w:rPr>
              <w:t>Denbury</w:t>
            </w:r>
          </w:p>
        </w:tc>
      </w:tr>
      <w:tr w14:paraId="0126C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shd w:val="clear" w:color="auto" w:fill="auto"/>
            <w:vAlign w:val="center"/>
          </w:tcPr>
          <w:p w14:paraId="74E65657">
            <w:pPr>
              <w:spacing w:line="240" w:lineRule="auto"/>
              <w:ind w:firstLine="0" w:firstLineChars="0"/>
              <w:jc w:val="center"/>
              <w:rPr>
                <w:sz w:val="21"/>
                <w:szCs w:val="24"/>
              </w:rPr>
            </w:pPr>
            <w:r>
              <w:rPr>
                <w:sz w:val="21"/>
                <w:szCs w:val="24"/>
              </w:rPr>
              <w:t>H</w:t>
            </w:r>
            <w:r>
              <w:rPr>
                <w:sz w:val="21"/>
                <w:szCs w:val="24"/>
                <w:vertAlign w:val="subscript"/>
              </w:rPr>
              <w:t>2</w:t>
            </w:r>
            <w:r>
              <w:rPr>
                <w:sz w:val="21"/>
                <w:szCs w:val="24"/>
              </w:rPr>
              <w:t>S</w:t>
            </w:r>
          </w:p>
        </w:tc>
        <w:tc>
          <w:tcPr>
            <w:tcW w:w="1420" w:type="dxa"/>
            <w:shd w:val="clear" w:color="auto" w:fill="auto"/>
            <w:vAlign w:val="center"/>
          </w:tcPr>
          <w:p w14:paraId="06BF3CAC">
            <w:pPr>
              <w:spacing w:line="240" w:lineRule="auto"/>
              <w:ind w:firstLine="0" w:firstLineChars="0"/>
              <w:jc w:val="center"/>
              <w:rPr>
                <w:sz w:val="21"/>
                <w:szCs w:val="24"/>
              </w:rPr>
            </w:pPr>
            <w:r>
              <w:rPr>
                <w:sz w:val="21"/>
                <w:szCs w:val="24"/>
              </w:rPr>
              <w:t>≤0.01</w:t>
            </w:r>
          </w:p>
        </w:tc>
        <w:tc>
          <w:tcPr>
            <w:tcW w:w="2230" w:type="dxa"/>
            <w:shd w:val="clear" w:color="auto" w:fill="auto"/>
            <w:vAlign w:val="center"/>
          </w:tcPr>
          <w:p w14:paraId="514CA889">
            <w:pPr>
              <w:spacing w:line="240" w:lineRule="auto"/>
              <w:ind w:firstLine="0" w:firstLineChars="0"/>
              <w:jc w:val="center"/>
              <w:rPr>
                <w:sz w:val="21"/>
                <w:szCs w:val="24"/>
              </w:rPr>
            </w:pPr>
            <w:r>
              <w:rPr>
                <w:sz w:val="21"/>
                <w:szCs w:val="24"/>
              </w:rPr>
              <w:t>&lt;0.02</w:t>
            </w:r>
          </w:p>
        </w:tc>
        <w:tc>
          <w:tcPr>
            <w:tcW w:w="1417" w:type="dxa"/>
            <w:shd w:val="clear" w:color="auto" w:fill="auto"/>
            <w:vAlign w:val="center"/>
          </w:tcPr>
          <w:p w14:paraId="1C82DAAE">
            <w:pPr>
              <w:spacing w:line="240" w:lineRule="auto"/>
              <w:ind w:firstLine="0" w:firstLineChars="0"/>
              <w:jc w:val="center"/>
              <w:rPr>
                <w:sz w:val="21"/>
                <w:szCs w:val="24"/>
              </w:rPr>
            </w:pPr>
            <w:r>
              <w:rPr>
                <w:sz w:val="21"/>
                <w:szCs w:val="24"/>
              </w:rPr>
              <w:t>≤0.001（wt）</w:t>
            </w:r>
          </w:p>
        </w:tc>
        <w:tc>
          <w:tcPr>
            <w:tcW w:w="992" w:type="dxa"/>
            <w:shd w:val="clear" w:color="auto" w:fill="auto"/>
            <w:vAlign w:val="center"/>
          </w:tcPr>
          <w:p w14:paraId="486B9865">
            <w:pPr>
              <w:spacing w:line="240" w:lineRule="auto"/>
              <w:ind w:firstLine="0" w:firstLineChars="0"/>
              <w:jc w:val="center"/>
              <w:rPr>
                <w:sz w:val="21"/>
                <w:szCs w:val="24"/>
              </w:rPr>
            </w:pPr>
            <w:r>
              <w:rPr>
                <w:sz w:val="21"/>
                <w:szCs w:val="24"/>
              </w:rPr>
              <w:t>0.002</w:t>
            </w:r>
          </w:p>
        </w:tc>
        <w:tc>
          <w:tcPr>
            <w:tcW w:w="1043" w:type="dxa"/>
            <w:shd w:val="clear" w:color="auto" w:fill="auto"/>
            <w:vAlign w:val="center"/>
          </w:tcPr>
          <w:p w14:paraId="0A6BD465">
            <w:pPr>
              <w:spacing w:line="240" w:lineRule="auto"/>
              <w:ind w:firstLine="0" w:firstLineChars="0"/>
              <w:jc w:val="center"/>
              <w:rPr>
                <w:sz w:val="21"/>
                <w:szCs w:val="24"/>
              </w:rPr>
            </w:pPr>
            <w:r>
              <w:rPr>
                <w:sz w:val="21"/>
                <w:szCs w:val="24"/>
              </w:rPr>
              <w:t>0.0015</w:t>
            </w:r>
          </w:p>
        </w:tc>
      </w:tr>
      <w:tr w14:paraId="2751D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shd w:val="clear" w:color="auto" w:fill="auto"/>
            <w:vAlign w:val="center"/>
          </w:tcPr>
          <w:p w14:paraId="1C79C243">
            <w:pPr>
              <w:spacing w:line="240" w:lineRule="auto"/>
              <w:ind w:firstLine="0" w:firstLineChars="0"/>
              <w:jc w:val="center"/>
              <w:rPr>
                <w:sz w:val="21"/>
                <w:szCs w:val="24"/>
              </w:rPr>
            </w:pPr>
            <w:r>
              <w:rPr>
                <w:sz w:val="21"/>
                <w:szCs w:val="24"/>
              </w:rPr>
              <w:t>SO</w:t>
            </w:r>
            <w:r>
              <w:rPr>
                <w:sz w:val="21"/>
                <w:szCs w:val="24"/>
                <w:vertAlign w:val="subscript"/>
              </w:rPr>
              <w:t>2</w:t>
            </w:r>
          </w:p>
        </w:tc>
        <w:tc>
          <w:tcPr>
            <w:tcW w:w="1420" w:type="dxa"/>
            <w:shd w:val="clear" w:color="auto" w:fill="auto"/>
            <w:vAlign w:val="center"/>
          </w:tcPr>
          <w:p w14:paraId="49134E0B">
            <w:pPr>
              <w:spacing w:line="240" w:lineRule="auto"/>
              <w:ind w:firstLine="0" w:firstLineChars="0"/>
              <w:jc w:val="center"/>
              <w:rPr>
                <w:sz w:val="21"/>
                <w:szCs w:val="24"/>
              </w:rPr>
            </w:pPr>
            <w:r>
              <w:rPr>
                <w:sz w:val="21"/>
                <w:szCs w:val="24"/>
              </w:rPr>
              <w:t>≤0.01</w:t>
            </w:r>
          </w:p>
        </w:tc>
        <w:tc>
          <w:tcPr>
            <w:tcW w:w="2230" w:type="dxa"/>
            <w:shd w:val="clear" w:color="auto" w:fill="auto"/>
            <w:vAlign w:val="center"/>
          </w:tcPr>
          <w:p w14:paraId="0B8A219E">
            <w:pPr>
              <w:spacing w:line="240" w:lineRule="auto"/>
              <w:ind w:firstLine="0" w:firstLineChars="0"/>
              <w:jc w:val="center"/>
              <w:rPr>
                <w:sz w:val="21"/>
                <w:szCs w:val="24"/>
              </w:rPr>
            </w:pPr>
            <w:r>
              <w:rPr>
                <w:sz w:val="21"/>
                <w:szCs w:val="24"/>
              </w:rPr>
              <w:t>健康安全要求≤0.01</w:t>
            </w:r>
          </w:p>
          <w:p w14:paraId="44848B62">
            <w:pPr>
              <w:spacing w:line="240" w:lineRule="auto"/>
              <w:ind w:firstLine="0" w:firstLineChars="0"/>
              <w:jc w:val="center"/>
              <w:rPr>
                <w:sz w:val="21"/>
                <w:szCs w:val="24"/>
              </w:rPr>
            </w:pPr>
            <w:r>
              <w:rPr>
                <w:sz w:val="21"/>
                <w:szCs w:val="24"/>
              </w:rPr>
              <w:t>防腐要求：&lt;0.005</w:t>
            </w:r>
          </w:p>
        </w:tc>
        <w:tc>
          <w:tcPr>
            <w:tcW w:w="1417" w:type="dxa"/>
            <w:shd w:val="clear" w:color="auto" w:fill="auto"/>
            <w:vAlign w:val="center"/>
          </w:tcPr>
          <w:p w14:paraId="5659D59E">
            <w:pPr>
              <w:spacing w:line="240" w:lineRule="auto"/>
              <w:ind w:firstLine="0" w:firstLineChars="0"/>
              <w:jc w:val="center"/>
              <w:rPr>
                <w:sz w:val="21"/>
                <w:szCs w:val="24"/>
              </w:rPr>
            </w:pPr>
            <w:r>
              <w:rPr>
                <w:sz w:val="21"/>
                <w:szCs w:val="24"/>
              </w:rPr>
              <w:t>-</w:t>
            </w:r>
          </w:p>
        </w:tc>
        <w:tc>
          <w:tcPr>
            <w:tcW w:w="992" w:type="dxa"/>
            <w:shd w:val="clear" w:color="auto" w:fill="auto"/>
            <w:vAlign w:val="center"/>
          </w:tcPr>
          <w:p w14:paraId="76B24CCF">
            <w:pPr>
              <w:spacing w:line="240" w:lineRule="auto"/>
              <w:ind w:firstLine="0" w:firstLineChars="0"/>
              <w:jc w:val="center"/>
              <w:rPr>
                <w:sz w:val="21"/>
                <w:szCs w:val="24"/>
              </w:rPr>
            </w:pPr>
            <w:r>
              <w:rPr>
                <w:sz w:val="21"/>
                <w:szCs w:val="24"/>
              </w:rPr>
              <w:t>-</w:t>
            </w:r>
          </w:p>
        </w:tc>
        <w:tc>
          <w:tcPr>
            <w:tcW w:w="1043" w:type="dxa"/>
            <w:shd w:val="clear" w:color="auto" w:fill="auto"/>
            <w:vAlign w:val="center"/>
          </w:tcPr>
          <w:p w14:paraId="7A998C12">
            <w:pPr>
              <w:spacing w:line="240" w:lineRule="auto"/>
              <w:ind w:firstLine="0" w:firstLineChars="0"/>
              <w:jc w:val="center"/>
              <w:rPr>
                <w:sz w:val="21"/>
                <w:szCs w:val="24"/>
              </w:rPr>
            </w:pPr>
            <w:r>
              <w:rPr>
                <w:sz w:val="21"/>
                <w:szCs w:val="24"/>
              </w:rPr>
              <w:t>-</w:t>
            </w:r>
          </w:p>
        </w:tc>
      </w:tr>
      <w:tr w14:paraId="60D9C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shd w:val="clear" w:color="auto" w:fill="auto"/>
            <w:vAlign w:val="center"/>
          </w:tcPr>
          <w:p w14:paraId="78557716">
            <w:pPr>
              <w:spacing w:line="240" w:lineRule="auto"/>
              <w:ind w:firstLine="0" w:firstLineChars="0"/>
              <w:jc w:val="center"/>
              <w:rPr>
                <w:sz w:val="21"/>
                <w:szCs w:val="24"/>
              </w:rPr>
            </w:pPr>
            <w:r>
              <w:rPr>
                <w:sz w:val="21"/>
                <w:szCs w:val="24"/>
              </w:rPr>
              <w:t>总硫</w:t>
            </w:r>
          </w:p>
        </w:tc>
        <w:tc>
          <w:tcPr>
            <w:tcW w:w="1420" w:type="dxa"/>
            <w:shd w:val="clear" w:color="auto" w:fill="auto"/>
            <w:vAlign w:val="center"/>
          </w:tcPr>
          <w:p w14:paraId="737CE3DD">
            <w:pPr>
              <w:spacing w:line="240" w:lineRule="auto"/>
              <w:ind w:firstLine="0" w:firstLineChars="0"/>
              <w:jc w:val="center"/>
              <w:rPr>
                <w:sz w:val="21"/>
                <w:szCs w:val="24"/>
              </w:rPr>
            </w:pPr>
            <w:r>
              <w:rPr>
                <w:sz w:val="21"/>
                <w:szCs w:val="24"/>
              </w:rPr>
              <w:t>-</w:t>
            </w:r>
          </w:p>
        </w:tc>
        <w:tc>
          <w:tcPr>
            <w:tcW w:w="2230" w:type="dxa"/>
            <w:shd w:val="clear" w:color="auto" w:fill="auto"/>
            <w:vAlign w:val="center"/>
          </w:tcPr>
          <w:p w14:paraId="4AA39252">
            <w:pPr>
              <w:spacing w:line="240" w:lineRule="auto"/>
              <w:ind w:firstLine="0" w:firstLineChars="0"/>
              <w:jc w:val="center"/>
              <w:rPr>
                <w:sz w:val="21"/>
                <w:szCs w:val="24"/>
              </w:rPr>
            </w:pPr>
            <w:r>
              <w:rPr>
                <w:sz w:val="21"/>
                <w:szCs w:val="24"/>
              </w:rPr>
              <w:t>-</w:t>
            </w:r>
          </w:p>
        </w:tc>
        <w:tc>
          <w:tcPr>
            <w:tcW w:w="1417" w:type="dxa"/>
            <w:shd w:val="clear" w:color="auto" w:fill="auto"/>
            <w:vAlign w:val="center"/>
          </w:tcPr>
          <w:p w14:paraId="6086CF44">
            <w:pPr>
              <w:spacing w:line="240" w:lineRule="auto"/>
              <w:ind w:firstLine="0" w:firstLineChars="0"/>
              <w:jc w:val="center"/>
              <w:rPr>
                <w:sz w:val="21"/>
                <w:szCs w:val="24"/>
              </w:rPr>
            </w:pPr>
            <w:r>
              <w:rPr>
                <w:sz w:val="21"/>
                <w:szCs w:val="24"/>
              </w:rPr>
              <w:t>≤200mg/m</w:t>
            </w:r>
            <w:r>
              <w:rPr>
                <w:sz w:val="21"/>
                <w:szCs w:val="24"/>
                <w:vertAlign w:val="superscript"/>
              </w:rPr>
              <w:t>3</w:t>
            </w:r>
            <w:r>
              <w:rPr>
                <w:sz w:val="21"/>
                <w:szCs w:val="24"/>
              </w:rPr>
              <w:t>（以硫计）</w:t>
            </w:r>
          </w:p>
        </w:tc>
        <w:tc>
          <w:tcPr>
            <w:tcW w:w="992" w:type="dxa"/>
            <w:shd w:val="clear" w:color="auto" w:fill="auto"/>
            <w:vAlign w:val="center"/>
          </w:tcPr>
          <w:p w14:paraId="46271790">
            <w:pPr>
              <w:spacing w:line="240" w:lineRule="auto"/>
              <w:ind w:firstLine="0" w:firstLineChars="0"/>
              <w:jc w:val="center"/>
              <w:rPr>
                <w:sz w:val="21"/>
                <w:szCs w:val="24"/>
              </w:rPr>
            </w:pPr>
            <w:r>
              <w:rPr>
                <w:sz w:val="21"/>
                <w:szCs w:val="24"/>
              </w:rPr>
              <w:t>50g/m</w:t>
            </w:r>
            <w:r>
              <w:rPr>
                <w:sz w:val="21"/>
                <w:szCs w:val="24"/>
                <w:vertAlign w:val="superscript"/>
              </w:rPr>
              <w:t>3</w:t>
            </w:r>
          </w:p>
        </w:tc>
        <w:tc>
          <w:tcPr>
            <w:tcW w:w="1043" w:type="dxa"/>
            <w:shd w:val="clear" w:color="auto" w:fill="auto"/>
            <w:vAlign w:val="center"/>
          </w:tcPr>
          <w:p w14:paraId="5AB1176C">
            <w:pPr>
              <w:spacing w:line="240" w:lineRule="auto"/>
              <w:ind w:firstLine="0" w:firstLineChars="0"/>
              <w:jc w:val="center"/>
              <w:rPr>
                <w:sz w:val="21"/>
                <w:szCs w:val="24"/>
              </w:rPr>
            </w:pPr>
            <w:r>
              <w:rPr>
                <w:sz w:val="21"/>
                <w:szCs w:val="24"/>
              </w:rPr>
              <w:t>-</w:t>
            </w:r>
          </w:p>
        </w:tc>
      </w:tr>
    </w:tbl>
    <w:p w14:paraId="22947C0E">
      <w:pPr>
        <w:ind w:firstLine="480"/>
        <w:rPr>
          <w:szCs w:val="24"/>
        </w:rPr>
      </w:pPr>
      <w:r>
        <w:rPr>
          <w:szCs w:val="24"/>
        </w:rPr>
        <w:t>由于总硫指标本身的特殊性，脱硫工艺有可能出现波动，尤其是在净化装置启动期等状态下，总硫含量可能略高于正常工况。考虑到这部分启动状态，在标准检验规则部分规定，总硫含量的瞬时值按照300mg/m</w:t>
      </w:r>
      <w:r>
        <w:rPr>
          <w:szCs w:val="24"/>
          <w:vertAlign w:val="superscript"/>
        </w:rPr>
        <w:t>3</w:t>
      </w:r>
      <w:r>
        <w:rPr>
          <w:szCs w:val="24"/>
        </w:rPr>
        <w:t>控制，并不能连续8小时超过200 mg/m</w:t>
      </w:r>
      <w:r>
        <w:rPr>
          <w:szCs w:val="24"/>
          <w:vertAlign w:val="superscript"/>
        </w:rPr>
        <w:t>3</w:t>
      </w:r>
      <w:r>
        <w:rPr>
          <w:szCs w:val="24"/>
        </w:rPr>
        <w:t>。由于硫化氢指标本身的特殊性，脱硫工艺有可能出现波动，尤其是在净化装置启动期等状态下，硫化氢含量可能略高于正常工况。考虑到这部分启动状态，在标准检验规则部分规定，硫化氢含量的瞬时值按照15mg/m</w:t>
      </w:r>
      <w:r>
        <w:rPr>
          <w:szCs w:val="24"/>
          <w:vertAlign w:val="superscript"/>
        </w:rPr>
        <w:t>3</w:t>
      </w:r>
      <w:r>
        <w:rPr>
          <w:szCs w:val="24"/>
        </w:rPr>
        <w:t>控制，并不能连续8小时超过10 mg/m</w:t>
      </w:r>
      <w:r>
        <w:rPr>
          <w:szCs w:val="24"/>
          <w:vertAlign w:val="superscript"/>
        </w:rPr>
        <w:t>3</w:t>
      </w:r>
      <w:r>
        <w:rPr>
          <w:szCs w:val="24"/>
        </w:rPr>
        <w:t>。</w:t>
      </w:r>
    </w:p>
    <w:p w14:paraId="6FB28E18">
      <w:pPr>
        <w:ind w:firstLine="480"/>
        <w:rPr>
          <w:szCs w:val="24"/>
        </w:rPr>
      </w:pPr>
      <w:r>
        <w:rPr>
          <w:szCs w:val="24"/>
        </w:rPr>
        <w:fldChar w:fldCharType="begin"/>
      </w:r>
      <w:r>
        <w:rPr>
          <w:szCs w:val="24"/>
        </w:rPr>
        <w:instrText xml:space="preserve"> </w:instrText>
      </w:r>
      <w:r>
        <w:rPr>
          <w:rFonts w:hint="eastAsia"/>
          <w:szCs w:val="24"/>
        </w:rPr>
        <w:instrText xml:space="preserve">= 3 \* GB3</w:instrText>
      </w:r>
      <w:r>
        <w:rPr>
          <w:szCs w:val="24"/>
        </w:rPr>
        <w:instrText xml:space="preserve"> </w:instrText>
      </w:r>
      <w:r>
        <w:rPr>
          <w:szCs w:val="24"/>
        </w:rPr>
        <w:fldChar w:fldCharType="separate"/>
      </w:r>
      <w:r>
        <w:rPr>
          <w:rFonts w:hint="eastAsia"/>
          <w:szCs w:val="24"/>
        </w:rPr>
        <w:t>③</w:t>
      </w:r>
      <w:r>
        <w:rPr>
          <w:szCs w:val="24"/>
        </w:rPr>
        <w:fldChar w:fldCharType="end"/>
      </w:r>
      <w:r>
        <w:rPr>
          <w:rFonts w:hint="eastAsia"/>
          <w:szCs w:val="24"/>
        </w:rPr>
        <w:t>固体颗粒物</w:t>
      </w:r>
    </w:p>
    <w:p w14:paraId="01DDCD99">
      <w:pPr>
        <w:ind w:firstLine="480"/>
        <w:rPr>
          <w:szCs w:val="24"/>
        </w:rPr>
      </w:pPr>
      <w:r>
        <w:rPr>
          <w:szCs w:val="24"/>
        </w:rPr>
        <w:t>在长输管网中，固体颗粒物主要可能对长输管网运行中的增压机产生影响。确定此项指标，需要满足长输管网中多种增压机的质量要求。根据Q/SY 30-2002《天然气长输管道气质要求》的规定，确定该指标使用同样的规定</w:t>
      </w:r>
      <w:r>
        <w:rPr>
          <w:rFonts w:hint="eastAsia"/>
          <w:szCs w:val="24"/>
        </w:rPr>
        <w:t>“</w:t>
      </w:r>
      <w:r>
        <w:rPr>
          <w:szCs w:val="24"/>
        </w:rPr>
        <w:t>天然气中固体颗粒含量应不影响天然气的输送和利用，固体颗粒的直径应小于5μm。</w:t>
      </w:r>
      <w:r>
        <w:rPr>
          <w:rFonts w:hint="eastAsia"/>
          <w:szCs w:val="24"/>
        </w:rPr>
        <w:t>”</w:t>
      </w:r>
      <w:r>
        <w:rPr>
          <w:szCs w:val="24"/>
        </w:rPr>
        <w:t>来规定使用颗粒物分离器的效果，并在交接点设置颗粒物取样口来验证分离器实效。本标准采用此规定。</w:t>
      </w:r>
    </w:p>
    <w:p w14:paraId="46A315A0">
      <w:pPr>
        <w:ind w:firstLine="480"/>
        <w:rPr>
          <w:szCs w:val="24"/>
        </w:rPr>
      </w:pPr>
      <w:r>
        <w:rPr>
          <w:rFonts w:hint="eastAsia"/>
          <w:szCs w:val="24"/>
        </w:rPr>
        <w:t>（3）其它参数</w:t>
      </w:r>
    </w:p>
    <w:p w14:paraId="76738B4B">
      <w:pPr>
        <w:ind w:firstLine="480"/>
        <w:rPr>
          <w:szCs w:val="24"/>
        </w:rPr>
      </w:pPr>
      <w:r>
        <w:rPr>
          <w:szCs w:val="24"/>
        </w:rPr>
        <w:fldChar w:fldCharType="begin"/>
      </w:r>
      <w:r>
        <w:rPr>
          <w:szCs w:val="24"/>
        </w:rPr>
        <w:instrText xml:space="preserve"> </w:instrText>
      </w:r>
      <w:r>
        <w:rPr>
          <w:rFonts w:hint="eastAsia"/>
          <w:szCs w:val="24"/>
        </w:rPr>
        <w:instrText xml:space="preserve">= 1 \* GB3</w:instrText>
      </w:r>
      <w:r>
        <w:rPr>
          <w:szCs w:val="24"/>
        </w:rPr>
        <w:instrText xml:space="preserve"> </w:instrText>
      </w:r>
      <w:r>
        <w:rPr>
          <w:szCs w:val="24"/>
        </w:rPr>
        <w:fldChar w:fldCharType="separate"/>
      </w:r>
      <w:r>
        <w:rPr>
          <w:rFonts w:hint="eastAsia"/>
          <w:szCs w:val="24"/>
        </w:rPr>
        <w:t>①</w:t>
      </w:r>
      <w:r>
        <w:rPr>
          <w:szCs w:val="24"/>
        </w:rPr>
        <w:fldChar w:fldCharType="end"/>
      </w:r>
      <w:r>
        <w:rPr>
          <w:rFonts w:hint="eastAsia"/>
          <w:szCs w:val="24"/>
        </w:rPr>
        <w:t>烃露点</w:t>
      </w:r>
    </w:p>
    <w:p w14:paraId="5E08CB48">
      <w:pPr>
        <w:ind w:firstLine="480"/>
        <w:rPr>
          <w:szCs w:val="24"/>
        </w:rPr>
      </w:pPr>
      <w:r>
        <w:rPr>
          <w:rFonts w:hint="eastAsia"/>
          <w:szCs w:val="24"/>
        </w:rPr>
        <w:t>长输管网中规定烃露点的目的是为了防止液相水的产生。只要有液烃的存在，会降低输气管道的输送能力，并影响管输安全。为避免液烃对管输的影响，本指标最终为定性描述指标“7.1 在二氧化碳长输管道输送压力和温度下，管道中应不存在液态水和液态烃。”</w:t>
      </w:r>
    </w:p>
    <w:p w14:paraId="54442308">
      <w:pPr>
        <w:keepNext w:val="0"/>
        <w:keepLines w:val="0"/>
        <w:pageBreakBefore w:val="0"/>
        <w:widowControl w:val="0"/>
        <w:kinsoku/>
        <w:wordWrap/>
        <w:overflowPunct/>
        <w:topLinePunct w:val="0"/>
        <w:autoSpaceDE/>
        <w:autoSpaceDN/>
        <w:bidi w:val="0"/>
        <w:adjustRightInd w:val="0"/>
        <w:snapToGrid w:val="0"/>
        <w:spacing w:before="161" w:beforeLines="50" w:line="480" w:lineRule="auto"/>
        <w:ind w:firstLine="482"/>
        <w:textAlignment w:val="auto"/>
        <w:rPr>
          <w:rFonts w:hint="eastAsia"/>
          <w:b/>
          <w:bCs/>
        </w:rPr>
      </w:pPr>
      <w:bookmarkStart w:id="9" w:name="_Hlk181023481"/>
      <w:r>
        <w:rPr>
          <w:rFonts w:hint="eastAsia"/>
          <w:b/>
          <w:bCs/>
          <w:lang w:val="en-US" w:eastAsia="zh-CN"/>
        </w:rPr>
        <w:t>3.1.3</w:t>
      </w:r>
      <w:r>
        <w:rPr>
          <w:rFonts w:hint="eastAsia"/>
          <w:b/>
          <w:bCs/>
        </w:rPr>
        <w:t>关键参数相关计算公式：</w:t>
      </w:r>
    </w:p>
    <w:p w14:paraId="45A8B5E9">
      <w:pPr>
        <w:ind w:firstLine="480"/>
        <w:rPr>
          <w:szCs w:val="24"/>
        </w:rPr>
      </w:pPr>
      <w:r>
        <w:rPr>
          <w:rFonts w:hint="eastAsia"/>
          <w:szCs w:val="24"/>
        </w:rPr>
        <w:t>（1）纯度计算相关公式</w:t>
      </w:r>
    </w:p>
    <w:p w14:paraId="4F862B71">
      <w:pPr>
        <w:ind w:firstLine="480"/>
        <w:rPr>
          <w:szCs w:val="24"/>
        </w:rPr>
      </w:pPr>
      <w:r>
        <w:rPr>
          <w:rFonts w:hint="eastAsia"/>
          <w:szCs w:val="24"/>
        </w:rPr>
        <w:t>二氧化碳纯度计算公式：</w:t>
      </w:r>
    </w:p>
    <w:p w14:paraId="2AEC5481">
      <w:pPr>
        <w:ind w:firstLine="480"/>
        <w:jc w:val="center"/>
      </w:pPr>
      <w:r>
        <w:drawing>
          <wp:inline distT="0" distB="0" distL="114300" distR="114300">
            <wp:extent cx="1190625" cy="390525"/>
            <wp:effectExtent l="0" t="0" r="317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190625" cy="390525"/>
                    </a:xfrm>
                    <a:prstGeom prst="rect">
                      <a:avLst/>
                    </a:prstGeom>
                    <a:noFill/>
                    <a:ln>
                      <a:noFill/>
                    </a:ln>
                  </pic:spPr>
                </pic:pic>
              </a:graphicData>
            </a:graphic>
          </wp:inline>
        </w:drawing>
      </w:r>
    </w:p>
    <w:p w14:paraId="4D8ABECF">
      <w:pPr>
        <w:ind w:firstLine="480"/>
      </w:pPr>
      <w:r>
        <w:rPr>
          <w:rFonts w:hint="eastAsia"/>
          <w:szCs w:val="24"/>
        </w:rPr>
        <w:t>其中</w:t>
      </w:r>
      <w:r>
        <w:rPr>
          <w:szCs w:val="24"/>
        </w:rPr>
        <w:drawing>
          <wp:inline distT="0" distB="0" distL="114300" distR="114300">
            <wp:extent cx="314325" cy="171450"/>
            <wp:effectExtent l="0" t="0" r="31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314325" cy="171450"/>
                    </a:xfrm>
                    <a:prstGeom prst="rect">
                      <a:avLst/>
                    </a:prstGeom>
                    <a:noFill/>
                    <a:ln>
                      <a:noFill/>
                    </a:ln>
                  </pic:spPr>
                </pic:pic>
              </a:graphicData>
            </a:graphic>
          </wp:inline>
        </w:drawing>
      </w:r>
      <w:r>
        <w:rPr>
          <w:rFonts w:hint="eastAsia"/>
          <w:szCs w:val="24"/>
        </w:rPr>
        <w:t>为二氧化碳纯度，</w:t>
      </w:r>
      <w:r>
        <w:rPr>
          <w:szCs w:val="24"/>
        </w:rPr>
        <w:drawing>
          <wp:inline distT="0" distB="0" distL="114300" distR="114300">
            <wp:extent cx="285750" cy="171450"/>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85750" cy="171450"/>
                    </a:xfrm>
                    <a:prstGeom prst="rect">
                      <a:avLst/>
                    </a:prstGeom>
                    <a:noFill/>
                    <a:ln>
                      <a:noFill/>
                    </a:ln>
                  </pic:spPr>
                </pic:pic>
              </a:graphicData>
            </a:graphic>
          </wp:inline>
        </w:drawing>
      </w:r>
      <w:r>
        <w:rPr>
          <w:rFonts w:hint="eastAsia"/>
          <w:szCs w:val="24"/>
        </w:rPr>
        <w:t>为二氧化碳的体积，</w:t>
      </w:r>
      <w:r>
        <w:rPr>
          <w:szCs w:val="24"/>
        </w:rPr>
        <w:drawing>
          <wp:inline distT="0" distB="0" distL="114300" distR="114300">
            <wp:extent cx="209550" cy="1714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09550" cy="171450"/>
                    </a:xfrm>
                    <a:prstGeom prst="rect">
                      <a:avLst/>
                    </a:prstGeom>
                    <a:noFill/>
                    <a:ln>
                      <a:noFill/>
                    </a:ln>
                  </pic:spPr>
                </pic:pic>
              </a:graphicData>
            </a:graphic>
          </wp:inline>
        </w:drawing>
      </w:r>
      <w:r>
        <w:rPr>
          <w:rFonts w:hint="eastAsia"/>
          <w:szCs w:val="24"/>
        </w:rPr>
        <w:t>为混合气体的总体积。</w:t>
      </w:r>
    </w:p>
    <w:p w14:paraId="56B80FBF">
      <w:pPr>
        <w:ind w:firstLine="480"/>
        <w:rPr>
          <w:szCs w:val="24"/>
        </w:rPr>
      </w:pPr>
      <w:r>
        <w:rPr>
          <w:rFonts w:hint="eastAsia"/>
          <w:szCs w:val="24"/>
        </w:rPr>
        <w:t>（2）含水量计算相关公式</w:t>
      </w:r>
    </w:p>
    <w:p w14:paraId="1E9A60C4">
      <w:pPr>
        <w:ind w:firstLine="480"/>
        <w:rPr>
          <w:szCs w:val="24"/>
        </w:rPr>
      </w:pPr>
      <w:r>
        <w:rPr>
          <w:szCs w:val="24"/>
        </w:rPr>
        <w:t>绝对湿度计算公式</w:t>
      </w:r>
      <w:r>
        <w:rPr>
          <w:rFonts w:hint="eastAsia"/>
          <w:szCs w:val="24"/>
        </w:rPr>
        <w:t>：</w:t>
      </w:r>
    </w:p>
    <w:p w14:paraId="6E541E61">
      <w:pPr>
        <w:ind w:firstLine="480"/>
        <w:jc w:val="center"/>
      </w:pPr>
      <w:r>
        <w:drawing>
          <wp:inline distT="0" distB="0" distL="114300" distR="114300">
            <wp:extent cx="476250" cy="390525"/>
            <wp:effectExtent l="0" t="0" r="6350" b="0"/>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14"/>
                    <a:stretch>
                      <a:fillRect/>
                    </a:stretch>
                  </pic:blipFill>
                  <pic:spPr>
                    <a:xfrm>
                      <a:off x="0" y="0"/>
                      <a:ext cx="476250" cy="390525"/>
                    </a:xfrm>
                    <a:prstGeom prst="rect">
                      <a:avLst/>
                    </a:prstGeom>
                    <a:noFill/>
                    <a:ln>
                      <a:noFill/>
                    </a:ln>
                  </pic:spPr>
                </pic:pic>
              </a:graphicData>
            </a:graphic>
          </wp:inline>
        </w:drawing>
      </w:r>
    </w:p>
    <w:p w14:paraId="5355AA29">
      <w:pPr>
        <w:ind w:firstLine="480"/>
        <w:rPr>
          <w:szCs w:val="24"/>
        </w:rPr>
      </w:pPr>
      <w:r>
        <w:rPr>
          <w:szCs w:val="24"/>
        </w:rPr>
        <w:t>其中为</w:t>
      </w:r>
      <w:r>
        <w:rPr>
          <w:szCs w:val="24"/>
        </w:rPr>
        <w:drawing>
          <wp:inline distT="0" distB="0" distL="114300" distR="114300">
            <wp:extent cx="133350" cy="171450"/>
            <wp:effectExtent l="0" t="0" r="0" b="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15"/>
                    <a:stretch>
                      <a:fillRect/>
                    </a:stretch>
                  </pic:blipFill>
                  <pic:spPr>
                    <a:xfrm>
                      <a:off x="0" y="0"/>
                      <a:ext cx="133350" cy="171450"/>
                    </a:xfrm>
                    <a:prstGeom prst="rect">
                      <a:avLst/>
                    </a:prstGeom>
                    <a:noFill/>
                    <a:ln>
                      <a:noFill/>
                    </a:ln>
                  </pic:spPr>
                </pic:pic>
              </a:graphicData>
            </a:graphic>
          </wp:inline>
        </w:drawing>
      </w:r>
      <w:r>
        <w:rPr>
          <w:szCs w:val="24"/>
        </w:rPr>
        <w:t>绝对湿度，</w:t>
      </w:r>
      <w:r>
        <w:rPr>
          <w:szCs w:val="24"/>
        </w:rPr>
        <w:drawing>
          <wp:inline distT="0" distB="0" distL="114300" distR="114300">
            <wp:extent cx="200025" cy="133350"/>
            <wp:effectExtent l="0" t="0" r="0" b="0"/>
            <wp:docPr id="10"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pic:cNvPicPr>
                      <a:picLocks noChangeAspect="1"/>
                    </pic:cNvPicPr>
                  </pic:nvPicPr>
                  <pic:blipFill>
                    <a:blip r:embed="rId16"/>
                    <a:stretch>
                      <a:fillRect/>
                    </a:stretch>
                  </pic:blipFill>
                  <pic:spPr>
                    <a:xfrm>
                      <a:off x="0" y="0"/>
                      <a:ext cx="200025" cy="133350"/>
                    </a:xfrm>
                    <a:prstGeom prst="rect">
                      <a:avLst/>
                    </a:prstGeom>
                    <a:noFill/>
                    <a:ln>
                      <a:noFill/>
                    </a:ln>
                  </pic:spPr>
                </pic:pic>
              </a:graphicData>
            </a:graphic>
          </wp:inline>
        </w:drawing>
      </w:r>
      <w:r>
        <w:rPr>
          <w:szCs w:val="24"/>
        </w:rPr>
        <w:t>为水蒸气的质量，</w:t>
      </w:r>
      <w:r>
        <w:rPr>
          <w:szCs w:val="24"/>
        </w:rPr>
        <w:drawing>
          <wp:inline distT="0" distB="0" distL="114300" distR="114300">
            <wp:extent cx="209550" cy="133350"/>
            <wp:effectExtent l="0" t="0" r="0" b="0"/>
            <wp:docPr id="1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4"/>
                    <pic:cNvPicPr>
                      <a:picLocks noChangeAspect="1"/>
                    </pic:cNvPicPr>
                  </pic:nvPicPr>
                  <pic:blipFill>
                    <a:blip r:embed="rId17"/>
                    <a:stretch>
                      <a:fillRect/>
                    </a:stretch>
                  </pic:blipFill>
                  <pic:spPr>
                    <a:xfrm>
                      <a:off x="0" y="0"/>
                      <a:ext cx="209550" cy="133350"/>
                    </a:xfrm>
                    <a:prstGeom prst="rect">
                      <a:avLst/>
                    </a:prstGeom>
                    <a:noFill/>
                    <a:ln>
                      <a:noFill/>
                    </a:ln>
                  </pic:spPr>
                </pic:pic>
              </a:graphicData>
            </a:graphic>
          </wp:inline>
        </w:drawing>
      </w:r>
      <w:r>
        <w:rPr>
          <w:szCs w:val="24"/>
        </w:rPr>
        <w:t>为干空气的质量。</w:t>
      </w:r>
    </w:p>
    <w:p w14:paraId="2CE0F6FA">
      <w:pPr>
        <w:ind w:firstLine="480"/>
        <w:rPr>
          <w:szCs w:val="24"/>
        </w:rPr>
      </w:pPr>
      <w:r>
        <w:rPr>
          <w:szCs w:val="24"/>
        </w:rPr>
        <w:t>相对湿度计算公式：</w:t>
      </w:r>
    </w:p>
    <w:p w14:paraId="760500E0">
      <w:pPr>
        <w:ind w:firstLine="480"/>
        <w:jc w:val="center"/>
      </w:pPr>
      <w:r>
        <w:drawing>
          <wp:inline distT="0" distB="0" distL="114300" distR="114300">
            <wp:extent cx="885825" cy="390525"/>
            <wp:effectExtent l="0" t="0" r="0" b="0"/>
            <wp:docPr id="13"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5"/>
                    <pic:cNvPicPr>
                      <a:picLocks noChangeAspect="1"/>
                    </pic:cNvPicPr>
                  </pic:nvPicPr>
                  <pic:blipFill>
                    <a:blip r:embed="rId18"/>
                    <a:stretch>
                      <a:fillRect/>
                    </a:stretch>
                  </pic:blipFill>
                  <pic:spPr>
                    <a:xfrm>
                      <a:off x="0" y="0"/>
                      <a:ext cx="885825" cy="390525"/>
                    </a:xfrm>
                    <a:prstGeom prst="rect">
                      <a:avLst/>
                    </a:prstGeom>
                    <a:noFill/>
                    <a:ln>
                      <a:noFill/>
                    </a:ln>
                  </pic:spPr>
                </pic:pic>
              </a:graphicData>
            </a:graphic>
          </wp:inline>
        </w:drawing>
      </w:r>
    </w:p>
    <w:p w14:paraId="6E0E6592">
      <w:pPr>
        <w:ind w:firstLine="480"/>
        <w:rPr>
          <w:szCs w:val="24"/>
        </w:rPr>
      </w:pPr>
      <w:r>
        <w:rPr>
          <w:szCs w:val="24"/>
        </w:rPr>
        <w:t>其中</w:t>
      </w:r>
      <w:r>
        <w:rPr>
          <w:szCs w:val="24"/>
        </w:rPr>
        <w:drawing>
          <wp:inline distT="0" distB="0" distL="114300" distR="114300">
            <wp:extent cx="133350" cy="161925"/>
            <wp:effectExtent l="0" t="0" r="5715" b="0"/>
            <wp:docPr id="1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pic:cNvPicPr>
                      <a:picLocks noChangeAspect="1"/>
                    </pic:cNvPicPr>
                  </pic:nvPicPr>
                  <pic:blipFill>
                    <a:blip r:embed="rId19"/>
                    <a:stretch>
                      <a:fillRect/>
                    </a:stretch>
                  </pic:blipFill>
                  <pic:spPr>
                    <a:xfrm>
                      <a:off x="0" y="0"/>
                      <a:ext cx="133350" cy="161925"/>
                    </a:xfrm>
                    <a:prstGeom prst="rect">
                      <a:avLst/>
                    </a:prstGeom>
                    <a:noFill/>
                    <a:ln>
                      <a:noFill/>
                    </a:ln>
                  </pic:spPr>
                </pic:pic>
              </a:graphicData>
            </a:graphic>
          </wp:inline>
        </w:drawing>
      </w:r>
      <w:r>
        <w:rPr>
          <w:szCs w:val="24"/>
        </w:rPr>
        <w:t>为相对湿度，</w:t>
      </w:r>
      <w:r>
        <w:rPr>
          <w:szCs w:val="24"/>
        </w:rPr>
        <w:drawing>
          <wp:inline distT="0" distB="0" distL="114300" distR="114300">
            <wp:extent cx="104775" cy="133350"/>
            <wp:effectExtent l="0" t="0" r="0" b="0"/>
            <wp:docPr id="1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pic:cNvPicPr>
                      <a:picLocks noChangeAspect="1"/>
                    </pic:cNvPicPr>
                  </pic:nvPicPr>
                  <pic:blipFill>
                    <a:blip r:embed="rId20"/>
                    <a:stretch>
                      <a:fillRect/>
                    </a:stretch>
                  </pic:blipFill>
                  <pic:spPr>
                    <a:xfrm>
                      <a:off x="0" y="0"/>
                      <a:ext cx="104775" cy="133350"/>
                    </a:xfrm>
                    <a:prstGeom prst="rect">
                      <a:avLst/>
                    </a:prstGeom>
                    <a:noFill/>
                    <a:ln>
                      <a:noFill/>
                    </a:ln>
                  </pic:spPr>
                </pic:pic>
              </a:graphicData>
            </a:graphic>
          </wp:inline>
        </w:drawing>
      </w:r>
      <w:r>
        <w:rPr>
          <w:szCs w:val="24"/>
        </w:rPr>
        <w:t>为空气中水蒸气的实际分压力，</w:t>
      </w:r>
      <w:r>
        <w:rPr>
          <w:szCs w:val="24"/>
        </w:rPr>
        <w:drawing>
          <wp:inline distT="0" distB="0" distL="114300" distR="114300">
            <wp:extent cx="142875" cy="161925"/>
            <wp:effectExtent l="0" t="0" r="9525" b="2540"/>
            <wp:docPr id="1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8"/>
                    <pic:cNvPicPr>
                      <a:picLocks noChangeAspect="1"/>
                    </pic:cNvPicPr>
                  </pic:nvPicPr>
                  <pic:blipFill>
                    <a:blip r:embed="rId21"/>
                    <a:stretch>
                      <a:fillRect/>
                    </a:stretch>
                  </pic:blipFill>
                  <pic:spPr>
                    <a:xfrm>
                      <a:off x="0" y="0"/>
                      <a:ext cx="142875" cy="161925"/>
                    </a:xfrm>
                    <a:prstGeom prst="rect">
                      <a:avLst/>
                    </a:prstGeom>
                    <a:noFill/>
                    <a:ln>
                      <a:noFill/>
                    </a:ln>
                  </pic:spPr>
                </pic:pic>
              </a:graphicData>
            </a:graphic>
          </wp:inline>
        </w:drawing>
      </w:r>
      <w:r>
        <w:rPr>
          <w:szCs w:val="24"/>
        </w:rPr>
        <w:t>为同温度下饱和水蒸气的分压力。</w:t>
      </w:r>
    </w:p>
    <w:p w14:paraId="7700DD05">
      <w:pPr>
        <w:ind w:firstLine="480"/>
        <w:rPr>
          <w:szCs w:val="24"/>
        </w:rPr>
      </w:pPr>
      <w:r>
        <w:rPr>
          <w:rFonts w:hint="eastAsia"/>
          <w:szCs w:val="24"/>
        </w:rPr>
        <w:t>（3）杂质含量相关计算公式</w:t>
      </w:r>
    </w:p>
    <w:p w14:paraId="101AD3FB">
      <w:pPr>
        <w:ind w:firstLine="480"/>
        <w:rPr>
          <w:szCs w:val="24"/>
        </w:rPr>
      </w:pPr>
      <w:r>
        <w:rPr>
          <w:szCs w:val="24"/>
        </w:rPr>
        <w:fldChar w:fldCharType="begin"/>
      </w:r>
      <w:r>
        <w:rPr>
          <w:szCs w:val="24"/>
        </w:rPr>
        <w:instrText xml:space="preserve"> </w:instrText>
      </w:r>
      <w:r>
        <w:rPr>
          <w:rFonts w:hint="eastAsia"/>
          <w:szCs w:val="24"/>
        </w:rPr>
        <w:instrText xml:space="preserve">= 1 \* GB3</w:instrText>
      </w:r>
      <w:r>
        <w:rPr>
          <w:szCs w:val="24"/>
        </w:rPr>
        <w:instrText xml:space="preserve"> </w:instrText>
      </w:r>
      <w:r>
        <w:rPr>
          <w:szCs w:val="24"/>
        </w:rPr>
        <w:fldChar w:fldCharType="separate"/>
      </w:r>
      <w:r>
        <w:rPr>
          <w:rFonts w:hint="eastAsia"/>
          <w:szCs w:val="24"/>
        </w:rPr>
        <w:t>①</w:t>
      </w:r>
      <w:r>
        <w:rPr>
          <w:szCs w:val="24"/>
        </w:rPr>
        <w:fldChar w:fldCharType="end"/>
      </w:r>
      <w:r>
        <w:rPr>
          <w:rFonts w:hint="eastAsia"/>
          <w:szCs w:val="24"/>
        </w:rPr>
        <w:t>体积分数计算公式：</w:t>
      </w:r>
    </w:p>
    <w:p w14:paraId="195E0702">
      <w:pPr>
        <w:ind w:firstLine="480"/>
        <w:jc w:val="center"/>
      </w:pPr>
      <w:r>
        <w:drawing>
          <wp:inline distT="0" distB="0" distL="114300" distR="114300">
            <wp:extent cx="971550" cy="390525"/>
            <wp:effectExtent l="0" t="0" r="6350" b="0"/>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
                    <pic:cNvPicPr>
                      <a:picLocks noChangeAspect="1"/>
                    </pic:cNvPicPr>
                  </pic:nvPicPr>
                  <pic:blipFill>
                    <a:blip r:embed="rId22"/>
                    <a:stretch>
                      <a:fillRect/>
                    </a:stretch>
                  </pic:blipFill>
                  <pic:spPr>
                    <a:xfrm>
                      <a:off x="0" y="0"/>
                      <a:ext cx="971550" cy="390525"/>
                    </a:xfrm>
                    <a:prstGeom prst="rect">
                      <a:avLst/>
                    </a:prstGeom>
                    <a:noFill/>
                    <a:ln>
                      <a:noFill/>
                    </a:ln>
                  </pic:spPr>
                </pic:pic>
              </a:graphicData>
            </a:graphic>
          </wp:inline>
        </w:drawing>
      </w:r>
    </w:p>
    <w:p w14:paraId="02BEB1E3">
      <w:pPr>
        <w:ind w:firstLine="480"/>
        <w:rPr>
          <w:szCs w:val="24"/>
        </w:rPr>
      </w:pPr>
      <w:r>
        <w:rPr>
          <w:szCs w:val="24"/>
        </w:rPr>
        <w:t>其中</w:t>
      </w:r>
      <w:r>
        <w:rPr>
          <w:szCs w:val="24"/>
        </w:rPr>
        <w:drawing>
          <wp:inline distT="0" distB="0" distL="114300" distR="114300">
            <wp:extent cx="171450" cy="171450"/>
            <wp:effectExtent l="0" t="0" r="0" b="0"/>
            <wp:docPr id="1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
                    <pic:cNvPicPr>
                      <a:picLocks noChangeAspect="1"/>
                    </pic:cNvPicPr>
                  </pic:nvPicPr>
                  <pic:blipFill>
                    <a:blip r:embed="rId23"/>
                    <a:stretch>
                      <a:fillRect/>
                    </a:stretch>
                  </pic:blipFill>
                  <pic:spPr>
                    <a:xfrm>
                      <a:off x="0" y="0"/>
                      <a:ext cx="171450" cy="171450"/>
                    </a:xfrm>
                    <a:prstGeom prst="rect">
                      <a:avLst/>
                    </a:prstGeom>
                    <a:noFill/>
                    <a:ln>
                      <a:noFill/>
                    </a:ln>
                  </pic:spPr>
                </pic:pic>
              </a:graphicData>
            </a:graphic>
          </wp:inline>
        </w:drawing>
      </w:r>
      <w:r>
        <w:rPr>
          <w:szCs w:val="24"/>
        </w:rPr>
        <w:t>为杂质的体积分数，</w:t>
      </w:r>
      <w:r>
        <w:rPr>
          <w:szCs w:val="24"/>
        </w:rPr>
        <w:drawing>
          <wp:inline distT="0" distB="0" distL="114300" distR="114300">
            <wp:extent cx="142875" cy="171450"/>
            <wp:effectExtent l="0" t="0" r="9525" b="0"/>
            <wp:docPr id="2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4"/>
                    <pic:cNvPicPr>
                      <a:picLocks noChangeAspect="1"/>
                    </pic:cNvPicPr>
                  </pic:nvPicPr>
                  <pic:blipFill>
                    <a:blip r:embed="rId24"/>
                    <a:stretch>
                      <a:fillRect/>
                    </a:stretch>
                  </pic:blipFill>
                  <pic:spPr>
                    <a:xfrm>
                      <a:off x="0" y="0"/>
                      <a:ext cx="142875" cy="171450"/>
                    </a:xfrm>
                    <a:prstGeom prst="rect">
                      <a:avLst/>
                    </a:prstGeom>
                    <a:noFill/>
                    <a:ln>
                      <a:noFill/>
                    </a:ln>
                  </pic:spPr>
                </pic:pic>
              </a:graphicData>
            </a:graphic>
          </wp:inline>
        </w:drawing>
      </w:r>
      <w:r>
        <w:rPr>
          <w:szCs w:val="24"/>
        </w:rPr>
        <w:t>为杂质的体积，</w:t>
      </w:r>
      <w:r>
        <w:rPr>
          <w:szCs w:val="24"/>
        </w:rPr>
        <w:drawing>
          <wp:inline distT="0" distB="0" distL="114300" distR="114300">
            <wp:extent cx="209550" cy="171450"/>
            <wp:effectExtent l="0" t="0" r="0" b="0"/>
            <wp:docPr id="2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3"/>
                    <pic:cNvPicPr>
                      <a:picLocks noChangeAspect="1"/>
                    </pic:cNvPicPr>
                  </pic:nvPicPr>
                  <pic:blipFill>
                    <a:blip r:embed="rId25"/>
                    <a:stretch>
                      <a:fillRect/>
                    </a:stretch>
                  </pic:blipFill>
                  <pic:spPr>
                    <a:xfrm>
                      <a:off x="0" y="0"/>
                      <a:ext cx="209550" cy="171450"/>
                    </a:xfrm>
                    <a:prstGeom prst="rect">
                      <a:avLst/>
                    </a:prstGeom>
                    <a:noFill/>
                    <a:ln>
                      <a:noFill/>
                    </a:ln>
                  </pic:spPr>
                </pic:pic>
              </a:graphicData>
            </a:graphic>
          </wp:inline>
        </w:drawing>
      </w:r>
      <w:r>
        <w:rPr>
          <w:szCs w:val="24"/>
        </w:rPr>
        <w:t>为混合气体的总体积。</w:t>
      </w:r>
    </w:p>
    <w:p w14:paraId="05908C24">
      <w:pPr>
        <w:ind w:firstLine="480"/>
        <w:rPr>
          <w:szCs w:val="24"/>
        </w:rPr>
      </w:pPr>
      <w:r>
        <w:rPr>
          <w:szCs w:val="24"/>
        </w:rPr>
        <w:fldChar w:fldCharType="begin"/>
      </w:r>
      <w:r>
        <w:rPr>
          <w:szCs w:val="24"/>
        </w:rPr>
        <w:instrText xml:space="preserve"> </w:instrText>
      </w:r>
      <w:r>
        <w:rPr>
          <w:rFonts w:hint="eastAsia"/>
          <w:szCs w:val="24"/>
        </w:rPr>
        <w:instrText xml:space="preserve">= 2 \* GB3</w:instrText>
      </w:r>
      <w:r>
        <w:rPr>
          <w:szCs w:val="24"/>
        </w:rPr>
        <w:instrText xml:space="preserve"> </w:instrText>
      </w:r>
      <w:r>
        <w:rPr>
          <w:szCs w:val="24"/>
        </w:rPr>
        <w:fldChar w:fldCharType="separate"/>
      </w:r>
      <w:r>
        <w:rPr>
          <w:rFonts w:hint="eastAsia"/>
          <w:szCs w:val="24"/>
        </w:rPr>
        <w:t>②</w:t>
      </w:r>
      <w:r>
        <w:rPr>
          <w:szCs w:val="24"/>
        </w:rPr>
        <w:fldChar w:fldCharType="end"/>
      </w:r>
      <w:r>
        <w:rPr>
          <w:rFonts w:hint="eastAsia"/>
          <w:szCs w:val="24"/>
        </w:rPr>
        <w:t>质量浓度计算公式：</w:t>
      </w:r>
    </w:p>
    <w:p w14:paraId="48541AE8">
      <w:pPr>
        <w:ind w:firstLine="480"/>
        <w:jc w:val="center"/>
      </w:pPr>
      <w:r>
        <w:drawing>
          <wp:inline distT="0" distB="0" distL="114300" distR="114300">
            <wp:extent cx="476250" cy="390525"/>
            <wp:effectExtent l="0" t="0" r="0" b="0"/>
            <wp:docPr id="2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9"/>
                    <pic:cNvPicPr>
                      <a:picLocks noChangeAspect="1"/>
                    </pic:cNvPicPr>
                  </pic:nvPicPr>
                  <pic:blipFill>
                    <a:blip r:embed="rId26"/>
                    <a:stretch>
                      <a:fillRect/>
                    </a:stretch>
                  </pic:blipFill>
                  <pic:spPr>
                    <a:xfrm>
                      <a:off x="0" y="0"/>
                      <a:ext cx="476250" cy="390525"/>
                    </a:xfrm>
                    <a:prstGeom prst="rect">
                      <a:avLst/>
                    </a:prstGeom>
                    <a:noFill/>
                    <a:ln>
                      <a:noFill/>
                    </a:ln>
                  </pic:spPr>
                </pic:pic>
              </a:graphicData>
            </a:graphic>
          </wp:inline>
        </w:drawing>
      </w:r>
    </w:p>
    <w:p w14:paraId="13B64BB0">
      <w:pPr>
        <w:ind w:firstLine="480"/>
        <w:rPr>
          <w:szCs w:val="24"/>
        </w:rPr>
      </w:pPr>
      <w:r>
        <w:rPr>
          <w:szCs w:val="24"/>
        </w:rPr>
        <w:t>其中</w:t>
      </w:r>
      <w:r>
        <w:rPr>
          <w:szCs w:val="24"/>
        </w:rPr>
        <w:drawing>
          <wp:inline distT="0" distB="0" distL="114300" distR="114300">
            <wp:extent cx="161925" cy="161925"/>
            <wp:effectExtent l="0" t="0" r="0" b="0"/>
            <wp:docPr id="24"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6"/>
                    <pic:cNvPicPr>
                      <a:picLocks noChangeAspect="1"/>
                    </pic:cNvPicPr>
                  </pic:nvPicPr>
                  <pic:blipFill>
                    <a:blip r:embed="rId27"/>
                    <a:stretch>
                      <a:fillRect/>
                    </a:stretch>
                  </pic:blipFill>
                  <pic:spPr>
                    <a:xfrm>
                      <a:off x="0" y="0"/>
                      <a:ext cx="161925" cy="161925"/>
                    </a:xfrm>
                    <a:prstGeom prst="rect">
                      <a:avLst/>
                    </a:prstGeom>
                    <a:noFill/>
                    <a:ln>
                      <a:noFill/>
                    </a:ln>
                  </pic:spPr>
                </pic:pic>
              </a:graphicData>
            </a:graphic>
          </wp:inline>
        </w:drawing>
      </w:r>
      <w:r>
        <w:rPr>
          <w:szCs w:val="24"/>
        </w:rPr>
        <w:t>为杂质的质量浓度，</w:t>
      </w:r>
      <w:r>
        <w:rPr>
          <w:szCs w:val="24"/>
        </w:rPr>
        <w:drawing>
          <wp:inline distT="0" distB="0" distL="114300" distR="114300">
            <wp:extent cx="180975" cy="133350"/>
            <wp:effectExtent l="0" t="0" r="0" b="0"/>
            <wp:docPr id="2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7"/>
                    <pic:cNvPicPr>
                      <a:picLocks noChangeAspect="1"/>
                    </pic:cNvPicPr>
                  </pic:nvPicPr>
                  <pic:blipFill>
                    <a:blip r:embed="rId28"/>
                    <a:stretch>
                      <a:fillRect/>
                    </a:stretch>
                  </pic:blipFill>
                  <pic:spPr>
                    <a:xfrm>
                      <a:off x="0" y="0"/>
                      <a:ext cx="180975" cy="133350"/>
                    </a:xfrm>
                    <a:prstGeom prst="rect">
                      <a:avLst/>
                    </a:prstGeom>
                    <a:noFill/>
                    <a:ln>
                      <a:noFill/>
                    </a:ln>
                  </pic:spPr>
                </pic:pic>
              </a:graphicData>
            </a:graphic>
          </wp:inline>
        </w:drawing>
      </w:r>
      <w:r>
        <w:rPr>
          <w:szCs w:val="24"/>
        </w:rPr>
        <w:t>为杂质的质量，</w:t>
      </w:r>
      <w:r>
        <w:rPr>
          <w:szCs w:val="24"/>
        </w:rPr>
        <w:drawing>
          <wp:inline distT="0" distB="0" distL="114300" distR="114300">
            <wp:extent cx="142875" cy="171450"/>
            <wp:effectExtent l="0" t="0" r="9525" b="0"/>
            <wp:docPr id="2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8"/>
                    <pic:cNvPicPr>
                      <a:picLocks noChangeAspect="1"/>
                    </pic:cNvPicPr>
                  </pic:nvPicPr>
                  <pic:blipFill>
                    <a:blip r:embed="rId29"/>
                    <a:stretch>
                      <a:fillRect/>
                    </a:stretch>
                  </pic:blipFill>
                  <pic:spPr>
                    <a:xfrm>
                      <a:off x="0" y="0"/>
                      <a:ext cx="142875" cy="171450"/>
                    </a:xfrm>
                    <a:prstGeom prst="rect">
                      <a:avLst/>
                    </a:prstGeom>
                    <a:noFill/>
                    <a:ln>
                      <a:noFill/>
                    </a:ln>
                  </pic:spPr>
                </pic:pic>
              </a:graphicData>
            </a:graphic>
          </wp:inline>
        </w:drawing>
      </w:r>
      <w:r>
        <w:rPr>
          <w:szCs w:val="24"/>
        </w:rPr>
        <w:t>为混合气体的总体积。</w:t>
      </w:r>
    </w:p>
    <w:p w14:paraId="18B28B13">
      <w:pPr>
        <w:keepNext w:val="0"/>
        <w:keepLines w:val="0"/>
        <w:pageBreakBefore w:val="0"/>
        <w:widowControl w:val="0"/>
        <w:kinsoku/>
        <w:wordWrap/>
        <w:overflowPunct/>
        <w:topLinePunct w:val="0"/>
        <w:autoSpaceDE/>
        <w:autoSpaceDN/>
        <w:bidi w:val="0"/>
        <w:adjustRightInd w:val="0"/>
        <w:snapToGrid w:val="0"/>
        <w:spacing w:before="161" w:beforeLines="50" w:line="480" w:lineRule="auto"/>
        <w:ind w:firstLine="482"/>
        <w:textAlignment w:val="auto"/>
        <w:rPr>
          <w:rFonts w:hint="eastAsia"/>
          <w:b/>
          <w:bCs/>
        </w:rPr>
      </w:pPr>
      <w:r>
        <w:rPr>
          <w:rFonts w:hint="eastAsia"/>
          <w:b/>
          <w:bCs/>
          <w:lang w:val="en-US" w:eastAsia="zh-CN"/>
        </w:rPr>
        <w:t>3.1.</w:t>
      </w:r>
      <w:r>
        <w:rPr>
          <w:rFonts w:hint="eastAsia"/>
          <w:b/>
          <w:bCs/>
        </w:rPr>
        <w:t>4 关键参数试验方法</w:t>
      </w:r>
    </w:p>
    <w:p w14:paraId="69B6C02D">
      <w:pPr>
        <w:ind w:firstLine="480"/>
        <w:rPr>
          <w:szCs w:val="24"/>
        </w:rPr>
      </w:pPr>
      <w:r>
        <w:rPr>
          <w:rFonts w:hint="eastAsia"/>
          <w:szCs w:val="24"/>
        </w:rPr>
        <w:t>（1）</w:t>
      </w:r>
      <w:r>
        <w:rPr>
          <w:szCs w:val="24"/>
        </w:rPr>
        <w:t>二氧化碳介质中含水量测定可按GB/T 5832.1或GB/T 5832.2或GB/T 11133的规定执行，当对测定结果有异议时，按照GB/T 5832.1规定的方法执行。</w:t>
      </w:r>
    </w:p>
    <w:p w14:paraId="37DBC3EC">
      <w:pPr>
        <w:ind w:firstLine="480"/>
        <w:rPr>
          <w:szCs w:val="24"/>
        </w:rPr>
      </w:pPr>
      <w:r>
        <w:rPr>
          <w:rFonts w:hint="eastAsia"/>
          <w:szCs w:val="24"/>
        </w:rPr>
        <w:t>（2）</w:t>
      </w:r>
      <w:r>
        <w:rPr>
          <w:szCs w:val="24"/>
        </w:rPr>
        <w:t>二氧化碳介质中氧气含量测定可按GB/T 6285或GB/T 43503或GB/T 13610或GB/T 28726的规定执行，允许采用其它等效方法，当对测定结果有异议时，按照GB/T 6285规定的方法执行。</w:t>
      </w:r>
    </w:p>
    <w:p w14:paraId="3A85790C">
      <w:pPr>
        <w:ind w:firstLine="480"/>
        <w:rPr>
          <w:szCs w:val="24"/>
        </w:rPr>
      </w:pPr>
      <w:r>
        <w:rPr>
          <w:rFonts w:hint="eastAsia"/>
          <w:szCs w:val="24"/>
        </w:rPr>
        <w:t>（3）</w:t>
      </w:r>
      <w:r>
        <w:rPr>
          <w:szCs w:val="24"/>
        </w:rPr>
        <w:t>二氧化碳介质中硫化氢含量测定可按GB/T 11060.10的规定执行。</w:t>
      </w:r>
    </w:p>
    <w:p w14:paraId="2288CCDD">
      <w:pPr>
        <w:ind w:firstLine="480"/>
        <w:rPr>
          <w:szCs w:val="24"/>
        </w:rPr>
      </w:pPr>
      <w:r>
        <w:rPr>
          <w:rFonts w:hint="eastAsia"/>
          <w:szCs w:val="24"/>
        </w:rPr>
        <w:t>（4）</w:t>
      </w:r>
      <w:r>
        <w:rPr>
          <w:szCs w:val="24"/>
        </w:rPr>
        <w:t>二氧化碳介质中硫氧化物含量测定宜按GB/T 11060.10的规定执行。</w:t>
      </w:r>
    </w:p>
    <w:p w14:paraId="2998B7FD">
      <w:pPr>
        <w:ind w:firstLine="480"/>
        <w:rPr>
          <w:szCs w:val="24"/>
        </w:rPr>
      </w:pPr>
      <w:r>
        <w:rPr>
          <w:rFonts w:hint="eastAsia"/>
          <w:szCs w:val="24"/>
        </w:rPr>
        <w:t>（5）</w:t>
      </w:r>
      <w:r>
        <w:rPr>
          <w:szCs w:val="24"/>
        </w:rPr>
        <w:t>二氧化碳介质中氮氧化物含量测定宜按HJ 1043或HJ 479的规定执行。</w:t>
      </w:r>
    </w:p>
    <w:p w14:paraId="47D4ABC6">
      <w:pPr>
        <w:ind w:firstLine="480"/>
        <w:rPr>
          <w:szCs w:val="24"/>
        </w:rPr>
      </w:pPr>
      <w:r>
        <w:rPr>
          <w:rFonts w:hint="eastAsia"/>
          <w:szCs w:val="24"/>
        </w:rPr>
        <w:t>（6）</w:t>
      </w:r>
      <w:r>
        <w:rPr>
          <w:szCs w:val="24"/>
        </w:rPr>
        <w:t>二氧化碳介质中非甲烷总烃含量测定可按GB/T 28726或GB/T 13610或HJ 604或HJ 38的规定执行，当对测定结果有异议时，按照GB/T 28726规定的方法执行。</w:t>
      </w:r>
    </w:p>
    <w:p w14:paraId="44B244EC">
      <w:pPr>
        <w:ind w:firstLine="480"/>
        <w:rPr>
          <w:szCs w:val="24"/>
        </w:rPr>
      </w:pPr>
      <w:r>
        <w:rPr>
          <w:rFonts w:hint="eastAsia"/>
          <w:szCs w:val="24"/>
        </w:rPr>
        <w:t>（7）</w:t>
      </w:r>
      <w:r>
        <w:rPr>
          <w:szCs w:val="24"/>
        </w:rPr>
        <w:t>其它组分含量的测定可按GB/T 28726或GB/T 13610的规定执行，允许采用其它等效方法，当对测定结果有异议时，按照GB/T 28726规定的方法执行。</w:t>
      </w:r>
    </w:p>
    <w:p w14:paraId="2C4E115D">
      <w:pPr>
        <w:ind w:firstLine="480"/>
        <w:rPr>
          <w:szCs w:val="24"/>
        </w:rPr>
      </w:pPr>
      <w:r>
        <w:rPr>
          <w:rFonts w:hint="eastAsia"/>
          <w:szCs w:val="24"/>
        </w:rPr>
        <w:t>（8）</w:t>
      </w:r>
      <w:r>
        <w:rPr>
          <w:szCs w:val="24"/>
        </w:rPr>
        <w:t>二氧化碳介质的采样操作安全应按GB/T 3723或GB/T 13609的相关规定执行。</w:t>
      </w:r>
    </w:p>
    <w:p w14:paraId="3C7E1621">
      <w:pPr>
        <w:ind w:firstLine="480"/>
        <w:rPr>
          <w:szCs w:val="24"/>
        </w:rPr>
      </w:pPr>
      <w:r>
        <w:rPr>
          <w:rFonts w:hint="eastAsia"/>
          <w:szCs w:val="24"/>
        </w:rPr>
        <w:t>（9）</w:t>
      </w:r>
      <w:r>
        <w:rPr>
          <w:szCs w:val="24"/>
        </w:rPr>
        <w:t>二氧化碳介质的采样步骤应按GB/T 6681或GB/T 13609的相关规定执行。</w:t>
      </w:r>
    </w:p>
    <w:p w14:paraId="385F35EA">
      <w:pPr>
        <w:keepNext w:val="0"/>
        <w:keepLines w:val="0"/>
        <w:pageBreakBefore w:val="0"/>
        <w:widowControl w:val="0"/>
        <w:kinsoku/>
        <w:wordWrap/>
        <w:overflowPunct/>
        <w:topLinePunct w:val="0"/>
        <w:autoSpaceDE/>
        <w:autoSpaceDN/>
        <w:bidi w:val="0"/>
        <w:adjustRightInd w:val="0"/>
        <w:snapToGrid w:val="0"/>
        <w:spacing w:before="161" w:beforeLines="50" w:line="480" w:lineRule="auto"/>
        <w:ind w:firstLine="482"/>
        <w:textAlignment w:val="auto"/>
        <w:rPr>
          <w:rFonts w:hint="eastAsia"/>
          <w:b/>
          <w:bCs/>
        </w:rPr>
      </w:pPr>
      <w:r>
        <w:rPr>
          <w:rFonts w:hint="eastAsia"/>
          <w:b/>
          <w:bCs/>
          <w:lang w:val="en-US" w:eastAsia="zh-CN"/>
        </w:rPr>
        <w:t>3.1.6</w:t>
      </w:r>
      <w:r>
        <w:rPr>
          <w:rFonts w:hint="eastAsia"/>
          <w:b/>
          <w:bCs/>
        </w:rPr>
        <w:t xml:space="preserve"> 二氧化碳管道检验规则：</w:t>
      </w:r>
    </w:p>
    <w:p w14:paraId="552CA9ED">
      <w:pPr>
        <w:ind w:firstLine="480"/>
        <w:rPr>
          <w:szCs w:val="24"/>
        </w:rPr>
      </w:pPr>
      <w:r>
        <w:rPr>
          <w:rFonts w:hint="eastAsia"/>
          <w:szCs w:val="24"/>
        </w:rPr>
        <w:t>（1）</w:t>
      </w:r>
      <w:r>
        <w:rPr>
          <w:szCs w:val="24"/>
        </w:rPr>
        <w:t>首次进入二氧化碳长输管道的气体应对本标准中规定的所有质量指标进行检验。</w:t>
      </w:r>
    </w:p>
    <w:p w14:paraId="2C438D8C">
      <w:pPr>
        <w:ind w:firstLine="480"/>
        <w:rPr>
          <w:szCs w:val="24"/>
        </w:rPr>
      </w:pPr>
      <w:r>
        <w:rPr>
          <w:rFonts w:hint="eastAsia"/>
          <w:szCs w:val="24"/>
        </w:rPr>
        <w:t>（2）</w:t>
      </w:r>
      <w:r>
        <w:rPr>
          <w:szCs w:val="24"/>
        </w:rPr>
        <w:t>进入二氧化碳长输管道后的气体应进行抽检或在线检测。</w:t>
      </w:r>
    </w:p>
    <w:p w14:paraId="2E7FEB79">
      <w:pPr>
        <w:ind w:firstLine="480"/>
        <w:rPr>
          <w:szCs w:val="24"/>
        </w:rPr>
      </w:pPr>
      <w:r>
        <w:rPr>
          <w:rFonts w:hint="eastAsia"/>
          <w:szCs w:val="24"/>
        </w:rPr>
        <w:t>（3）</w:t>
      </w:r>
      <w:r>
        <w:rPr>
          <w:szCs w:val="24"/>
        </w:rPr>
        <w:t>对于有明显证据表明不存在超标可能的指标，可以不进行检测。</w:t>
      </w:r>
    </w:p>
    <w:p w14:paraId="4CDEB992">
      <w:pPr>
        <w:keepNext w:val="0"/>
        <w:keepLines w:val="0"/>
        <w:pageBreakBefore w:val="0"/>
        <w:widowControl w:val="0"/>
        <w:kinsoku/>
        <w:wordWrap/>
        <w:overflowPunct/>
        <w:topLinePunct w:val="0"/>
        <w:autoSpaceDE/>
        <w:autoSpaceDN/>
        <w:bidi w:val="0"/>
        <w:adjustRightInd w:val="0"/>
        <w:snapToGrid w:val="0"/>
        <w:spacing w:before="161" w:beforeLines="50" w:line="480" w:lineRule="auto"/>
        <w:ind w:firstLine="482"/>
        <w:textAlignment w:val="auto"/>
        <w:rPr>
          <w:rFonts w:hint="eastAsia"/>
          <w:b/>
          <w:bCs/>
          <w:lang w:val="en-US" w:eastAsia="zh-CN"/>
        </w:rPr>
      </w:pPr>
      <w:r>
        <w:rPr>
          <w:rFonts w:hint="eastAsia"/>
          <w:b/>
          <w:bCs/>
          <w:lang w:val="en-US" w:eastAsia="zh-CN"/>
        </w:rPr>
        <w:t>3.1.7 性能要求：</w:t>
      </w:r>
    </w:p>
    <w:p w14:paraId="579B4F52">
      <w:pPr>
        <w:ind w:firstLine="480"/>
        <w:rPr>
          <w:szCs w:val="24"/>
        </w:rPr>
      </w:pPr>
      <w:r>
        <w:rPr>
          <w:rFonts w:hint="eastAsia"/>
          <w:szCs w:val="24"/>
        </w:rPr>
        <w:t>（1）</w:t>
      </w:r>
      <w:r>
        <w:rPr>
          <w:szCs w:val="24"/>
        </w:rPr>
        <w:t>采用驱油方案对CO</w:t>
      </w:r>
      <w:r>
        <w:rPr>
          <w:szCs w:val="24"/>
          <w:vertAlign w:val="subscript"/>
        </w:rPr>
        <w:t>2</w:t>
      </w:r>
      <w:r>
        <w:rPr>
          <w:szCs w:val="24"/>
        </w:rPr>
        <w:t>介质要求</w:t>
      </w:r>
    </w:p>
    <w:p w14:paraId="454104DB">
      <w:pPr>
        <w:ind w:firstLine="480"/>
        <w:rPr>
          <w:szCs w:val="24"/>
          <w:highlight w:val="none"/>
        </w:rPr>
      </w:pPr>
      <w:r>
        <w:rPr>
          <w:szCs w:val="24"/>
        </w:rPr>
        <w:t>在二氧化碳驱油（EOR,Enhanced Oil Recovery）方案中，注入的CO</w:t>
      </w:r>
      <w:r>
        <w:rPr>
          <w:szCs w:val="24"/>
          <w:vertAlign w:val="subscript"/>
        </w:rPr>
        <w:t>2</w:t>
      </w:r>
      <w:r>
        <w:rPr>
          <w:szCs w:val="24"/>
        </w:rPr>
        <w:t>必须满足一定的质量和物理条件，以确保驱油效率和储层安全性。通常要求注入的CO</w:t>
      </w:r>
      <w:r>
        <w:rPr>
          <w:szCs w:val="24"/>
          <w:vertAlign w:val="subscript"/>
        </w:rPr>
        <w:t>2</w:t>
      </w:r>
      <w:r>
        <w:rPr>
          <w:szCs w:val="24"/>
        </w:rPr>
        <w:t>纯度达到95%以上，理想状态下接近99%。高纯度CO</w:t>
      </w:r>
      <w:r>
        <w:rPr>
          <w:szCs w:val="24"/>
          <w:vertAlign w:val="subscript"/>
        </w:rPr>
        <w:t>2</w:t>
      </w:r>
      <w:r>
        <w:rPr>
          <w:szCs w:val="24"/>
        </w:rPr>
        <w:t>可以防止杂质对储层和设备的腐蚀，同时提高驱油效率。注入的CO</w:t>
      </w:r>
      <w:r>
        <w:rPr>
          <w:szCs w:val="24"/>
          <w:vertAlign w:val="subscript"/>
        </w:rPr>
        <w:t>2</w:t>
      </w:r>
      <w:r>
        <w:rPr>
          <w:szCs w:val="24"/>
        </w:rPr>
        <w:t>通常保持在超临界状态（31°C以上、7.4 MPa以上），这样既具备液体的溶解性又具有气体的扩散能力，有利于CO</w:t>
      </w:r>
      <w:r>
        <w:rPr>
          <w:szCs w:val="24"/>
          <w:vertAlign w:val="subscript"/>
        </w:rPr>
        <w:t>2</w:t>
      </w:r>
      <w:r>
        <w:rPr>
          <w:szCs w:val="24"/>
        </w:rPr>
        <w:t>在储层中有效渗透并溶解于油中，降低原油黏度，提升采收率。氮气和氧气</w:t>
      </w:r>
      <w:bookmarkStart w:id="18" w:name="_GoBack"/>
      <w:r>
        <w:rPr>
          <w:szCs w:val="24"/>
          <w:highlight w:val="none"/>
        </w:rPr>
        <w:t>等杂质的含量需要严格控制，尤其是氧气，因为其可能引起油层中的微生物活动，导致储层堵塞问题，氮气含量的增加则会影响注入气的有效性。</w:t>
      </w:r>
    </w:p>
    <w:p w14:paraId="460126B5">
      <w:pPr>
        <w:ind w:firstLine="480"/>
        <w:rPr>
          <w:szCs w:val="24"/>
          <w:highlight w:val="none"/>
        </w:rPr>
      </w:pPr>
      <w:r>
        <w:rPr>
          <w:szCs w:val="24"/>
          <w:highlight w:val="none"/>
        </w:rPr>
        <w:t>以大庆敖南油田CCUS-EOR为例，根据开发方案预测，2024年~2030年，油田伴生气量为75.6t/d~737t/d、CO</w:t>
      </w:r>
      <w:r>
        <w:rPr>
          <w:szCs w:val="24"/>
          <w:highlight w:val="none"/>
          <w:vertAlign w:val="subscript"/>
        </w:rPr>
        <w:t>2</w:t>
      </w:r>
      <w:r>
        <w:rPr>
          <w:szCs w:val="24"/>
          <w:highlight w:val="none"/>
        </w:rPr>
        <w:t>含量为64.5%~94%。碳源与油田伴生气混合后CO2含量需达到95%以上，才能保证油田CO</w:t>
      </w:r>
      <w:r>
        <w:rPr>
          <w:szCs w:val="24"/>
          <w:highlight w:val="none"/>
          <w:vertAlign w:val="subscript"/>
        </w:rPr>
        <w:t>2</w:t>
      </w:r>
      <w:r>
        <w:rPr>
          <w:szCs w:val="24"/>
          <w:highlight w:val="none"/>
        </w:rPr>
        <w:t>注入和油藏开发要求。针对非混相驱油藏专业建议采用碳源产品浓度95%，CCUS-EOR工程中管道气碳源中CO</w:t>
      </w:r>
      <w:r>
        <w:rPr>
          <w:szCs w:val="24"/>
          <w:highlight w:val="none"/>
          <w:vertAlign w:val="subscript"/>
        </w:rPr>
        <w:t>2</w:t>
      </w:r>
      <w:r>
        <w:rPr>
          <w:szCs w:val="24"/>
          <w:highlight w:val="none"/>
        </w:rPr>
        <w:t>含量需要达到99%以上。</w:t>
      </w:r>
    </w:p>
    <w:p w14:paraId="0DE6A443">
      <w:pPr>
        <w:ind w:firstLine="480"/>
        <w:rPr>
          <w:szCs w:val="24"/>
          <w:highlight w:val="none"/>
        </w:rPr>
      </w:pPr>
      <w:r>
        <w:rPr>
          <w:rFonts w:hint="eastAsia"/>
          <w:szCs w:val="24"/>
          <w:highlight w:val="none"/>
        </w:rPr>
        <w:t>（2）</w:t>
      </w:r>
      <w:r>
        <w:rPr>
          <w:szCs w:val="24"/>
          <w:highlight w:val="none"/>
        </w:rPr>
        <w:t>采用封存方案对CO</w:t>
      </w:r>
      <w:r>
        <w:rPr>
          <w:szCs w:val="24"/>
          <w:highlight w:val="none"/>
          <w:vertAlign w:val="subscript"/>
        </w:rPr>
        <w:t>2</w:t>
      </w:r>
      <w:r>
        <w:rPr>
          <w:szCs w:val="24"/>
          <w:highlight w:val="none"/>
        </w:rPr>
        <w:t>介质要求</w:t>
      </w:r>
    </w:p>
    <w:p w14:paraId="619701DE">
      <w:pPr>
        <w:ind w:firstLine="480"/>
        <w:rPr>
          <w:szCs w:val="24"/>
          <w:highlight w:val="none"/>
        </w:rPr>
      </w:pPr>
      <w:r>
        <w:rPr>
          <w:szCs w:val="24"/>
          <w:highlight w:val="none"/>
        </w:rPr>
        <w:t>地质封存通常要求CO</w:t>
      </w:r>
      <w:r>
        <w:rPr>
          <w:szCs w:val="24"/>
          <w:highlight w:val="none"/>
          <w:vertAlign w:val="subscript"/>
        </w:rPr>
        <w:t>2</w:t>
      </w:r>
      <w:r>
        <w:rPr>
          <w:szCs w:val="24"/>
          <w:highlight w:val="none"/>
        </w:rPr>
        <w:t>纯度达到90%以上，比驱油所需浓度略低。不过纯度越高，封存效果越稳定，且封存后的泄漏风险更低。在封存过程中的CO</w:t>
      </w:r>
      <w:r>
        <w:rPr>
          <w:szCs w:val="24"/>
          <w:highlight w:val="none"/>
          <w:vertAlign w:val="subscript"/>
        </w:rPr>
        <w:t>2</w:t>
      </w:r>
      <w:r>
        <w:rPr>
          <w:szCs w:val="24"/>
          <w:highlight w:val="none"/>
        </w:rPr>
        <w:t>最佳注入相态也为超临界态，此状态下二氧化碳密度较高，便于提高封存效率，减少其在储层中的迁移和扩散。封存还需考虑压力控制，注入压力应低于储层的破裂压力，以避免破坏封存层的岩石结构，同时确保CO</w:t>
      </w:r>
      <w:r>
        <w:rPr>
          <w:szCs w:val="24"/>
          <w:highlight w:val="none"/>
          <w:vertAlign w:val="subscript"/>
        </w:rPr>
        <w:t>2</w:t>
      </w:r>
      <w:r>
        <w:rPr>
          <w:szCs w:val="24"/>
          <w:highlight w:val="none"/>
        </w:rPr>
        <w:t>能安全渗透到预定的封存区域。</w:t>
      </w:r>
    </w:p>
    <w:p w14:paraId="4A866988">
      <w:pPr>
        <w:ind w:firstLine="480"/>
        <w:rPr>
          <w:szCs w:val="24"/>
          <w:highlight w:val="none"/>
        </w:rPr>
      </w:pPr>
      <w:r>
        <w:rPr>
          <w:szCs w:val="24"/>
          <w:highlight w:val="none"/>
        </w:rPr>
        <w:t>封存对CO</w:t>
      </w:r>
      <w:r>
        <w:rPr>
          <w:szCs w:val="24"/>
          <w:highlight w:val="none"/>
          <w:vertAlign w:val="subscript"/>
        </w:rPr>
        <w:t>2</w:t>
      </w:r>
      <w:r>
        <w:rPr>
          <w:szCs w:val="24"/>
          <w:highlight w:val="none"/>
        </w:rPr>
        <w:t>的组分也有要求。CO</w:t>
      </w:r>
      <w:r>
        <w:rPr>
          <w:szCs w:val="24"/>
          <w:highlight w:val="none"/>
          <w:vertAlign w:val="subscript"/>
        </w:rPr>
        <w:t>2</w:t>
      </w:r>
      <w:r>
        <w:rPr>
          <w:szCs w:val="24"/>
          <w:highlight w:val="none"/>
        </w:rPr>
        <w:t>的水含量一般要求低于50 ppm，以防止水合物或碳酸盐形成，从而避免对封存管道、井筒和储层造成腐蚀损害。低水分含量还能避免在注入过程中发生堵塞，确保CO</w:t>
      </w:r>
      <w:r>
        <w:rPr>
          <w:szCs w:val="24"/>
          <w:highlight w:val="none"/>
          <w:vertAlign w:val="subscript"/>
        </w:rPr>
        <w:t>2</w:t>
      </w:r>
      <w:r>
        <w:rPr>
          <w:szCs w:val="24"/>
          <w:highlight w:val="none"/>
        </w:rPr>
        <w:t>平稳注入。</w:t>
      </w:r>
    </w:p>
    <w:bookmarkEnd w:id="9"/>
    <w:p w14:paraId="7F050858">
      <w:pPr>
        <w:keepNext w:val="0"/>
        <w:keepLines w:val="0"/>
        <w:pageBreakBefore w:val="0"/>
        <w:widowControl w:val="0"/>
        <w:kinsoku/>
        <w:wordWrap/>
        <w:overflowPunct/>
        <w:topLinePunct w:val="0"/>
        <w:autoSpaceDE/>
        <w:autoSpaceDN/>
        <w:bidi w:val="0"/>
        <w:adjustRightInd/>
        <w:snapToGrid/>
        <w:spacing w:line="480" w:lineRule="auto"/>
        <w:ind w:firstLine="482"/>
        <w:textAlignment w:val="auto"/>
        <w:rPr>
          <w:rFonts w:hint="eastAsia"/>
          <w:b/>
          <w:bCs/>
          <w:highlight w:val="none"/>
        </w:rPr>
      </w:pPr>
      <w:r>
        <w:rPr>
          <w:rFonts w:hint="eastAsia"/>
          <w:b/>
          <w:bCs/>
          <w:highlight w:val="none"/>
        </w:rPr>
        <w:t>3.2 综述报告</w:t>
      </w:r>
    </w:p>
    <w:p w14:paraId="4556C17A">
      <w:pPr>
        <w:ind w:firstLine="480"/>
        <w:rPr>
          <w:rFonts w:hint="eastAsia"/>
          <w:szCs w:val="24"/>
          <w:highlight w:val="none"/>
          <w:lang w:eastAsia="zh-CN"/>
        </w:rPr>
      </w:pPr>
      <w:r>
        <w:rPr>
          <w:rFonts w:hint="eastAsia"/>
          <w:szCs w:val="24"/>
          <w:highlight w:val="none"/>
        </w:rPr>
        <w:t>ISO 27913-2016《Carbon dioxide capture transportation and geological storage--Pipeline transportation systems》，提出了二氧化碳流输送管道安全可靠性设计、建设和运营等方面的要求和推荐做法。标准中提到为避免CO</w:t>
      </w:r>
      <w:r>
        <w:rPr>
          <w:rFonts w:hint="eastAsia"/>
          <w:szCs w:val="24"/>
          <w:highlight w:val="none"/>
          <w:vertAlign w:val="subscript"/>
        </w:rPr>
        <w:t>2</w:t>
      </w:r>
      <w:r>
        <w:rPr>
          <w:rFonts w:hint="eastAsia"/>
          <w:szCs w:val="24"/>
          <w:highlight w:val="none"/>
        </w:rPr>
        <w:t>中的杂质影响管道完整性，在设计阶段应规定CO</w:t>
      </w:r>
      <w:r>
        <w:rPr>
          <w:rFonts w:hint="eastAsia"/>
          <w:szCs w:val="24"/>
          <w:highlight w:val="none"/>
          <w:vertAlign w:val="subscript"/>
        </w:rPr>
        <w:t>2</w:t>
      </w:r>
      <w:r>
        <w:rPr>
          <w:rFonts w:hint="eastAsia"/>
          <w:szCs w:val="24"/>
          <w:highlight w:val="none"/>
        </w:rPr>
        <w:t>流中允许的最大杂质含量。</w:t>
      </w:r>
      <w:r>
        <w:rPr>
          <w:szCs w:val="24"/>
          <w:highlight w:val="none"/>
        </w:rPr>
        <w:t xml:space="preserve">国内也制定了 </w:t>
      </w:r>
      <w:r>
        <w:rPr>
          <w:rFonts w:hint="eastAsia"/>
          <w:szCs w:val="24"/>
          <w:highlight w:val="none"/>
        </w:rPr>
        <w:t>SH/T 3202-2018《二氧化碳输送管道工程设计标准》</w:t>
      </w:r>
      <w:r>
        <w:rPr>
          <w:rFonts w:hint="eastAsia"/>
          <w:szCs w:val="24"/>
          <w:highlight w:val="none"/>
          <w:lang w:eastAsia="zh-CN"/>
        </w:rPr>
        <w:t>，</w:t>
      </w:r>
      <w:r>
        <w:rPr>
          <w:rFonts w:hint="eastAsia"/>
          <w:szCs w:val="24"/>
          <w:highlight w:val="none"/>
        </w:rPr>
        <w:t>中提出了陆上二氧化碳输送管道工程要求二氧化碳介质</w:t>
      </w:r>
      <w:r>
        <w:rPr>
          <w:rFonts w:hint="eastAsia"/>
          <w:szCs w:val="24"/>
          <w:highlight w:val="none"/>
          <w:lang w:val="en-US" w:eastAsia="zh-CN"/>
        </w:rPr>
        <w:t>组分的定性</w:t>
      </w:r>
      <w:r>
        <w:rPr>
          <w:rFonts w:hint="eastAsia"/>
          <w:szCs w:val="24"/>
          <w:highlight w:val="none"/>
        </w:rPr>
        <w:t>规定</w:t>
      </w:r>
      <w:r>
        <w:rPr>
          <w:rFonts w:hint="eastAsia"/>
          <w:szCs w:val="24"/>
          <w:highlight w:val="none"/>
          <w:lang w:eastAsia="zh-CN"/>
        </w:rPr>
        <w:t>。</w:t>
      </w:r>
    </w:p>
    <w:p w14:paraId="4F49B439">
      <w:pPr>
        <w:ind w:firstLine="480"/>
        <w:rPr>
          <w:szCs w:val="24"/>
          <w:highlight w:val="none"/>
        </w:rPr>
      </w:pPr>
      <w:r>
        <w:rPr>
          <w:rFonts w:hint="eastAsia"/>
          <w:szCs w:val="24"/>
          <w:highlight w:val="none"/>
        </w:rPr>
        <w:t>GB/T 42797</w:t>
      </w:r>
      <w:r>
        <w:rPr>
          <w:rFonts w:hint="eastAsia"/>
          <w:szCs w:val="24"/>
          <w:highlight w:val="none"/>
          <w:lang w:eastAsia="zh-CN"/>
        </w:rPr>
        <w:t>《</w:t>
      </w:r>
      <w:r>
        <w:rPr>
          <w:rFonts w:hint="eastAsia"/>
          <w:szCs w:val="24"/>
          <w:highlight w:val="none"/>
        </w:rPr>
        <w:t>二氧化碳捕集、输送和地质封存 管道输送系统</w:t>
      </w:r>
      <w:r>
        <w:rPr>
          <w:rFonts w:hint="eastAsia"/>
          <w:szCs w:val="24"/>
          <w:highlight w:val="none"/>
          <w:lang w:eastAsia="zh-CN"/>
        </w:rPr>
        <w:t>》</w:t>
      </w:r>
      <w:r>
        <w:rPr>
          <w:szCs w:val="24"/>
          <w:highlight w:val="none"/>
        </w:rPr>
        <w:t>为针对</w:t>
      </w:r>
      <w:r>
        <w:rPr>
          <w:rFonts w:hint="eastAsia"/>
          <w:szCs w:val="24"/>
          <w:highlight w:val="none"/>
        </w:rPr>
        <w:t>二氧化碳捕集、输送和地质封存</w:t>
      </w:r>
      <w:r>
        <w:rPr>
          <w:rFonts w:hint="eastAsia"/>
          <w:szCs w:val="24"/>
          <w:highlight w:val="none"/>
          <w:lang w:val="en-US" w:eastAsia="zh-CN"/>
        </w:rPr>
        <w:t>产业链中二氧化碳管道输送系统的</w:t>
      </w:r>
      <w:r>
        <w:rPr>
          <w:szCs w:val="24"/>
          <w:highlight w:val="none"/>
        </w:rPr>
        <w:t>标准，详细地描述了</w:t>
      </w:r>
      <w:r>
        <w:rPr>
          <w:rFonts w:hint="eastAsia"/>
          <w:szCs w:val="24"/>
          <w:highlight w:val="none"/>
          <w:lang w:val="en-US" w:eastAsia="zh-CN"/>
        </w:rPr>
        <w:t>二氧化碳流</w:t>
      </w:r>
      <w:r>
        <w:rPr>
          <w:rFonts w:hint="eastAsia"/>
          <w:szCs w:val="24"/>
          <w:highlight w:val="none"/>
        </w:rPr>
        <w:t>输送管道</w:t>
      </w:r>
      <w:r>
        <w:rPr>
          <w:rFonts w:hint="eastAsia"/>
          <w:szCs w:val="24"/>
          <w:highlight w:val="none"/>
          <w:lang w:val="en-US" w:eastAsia="zh-CN"/>
        </w:rPr>
        <w:t>安全可靠性设计、建设和运营等方面的要求和推荐做法</w:t>
      </w:r>
      <w:r>
        <w:rPr>
          <w:szCs w:val="24"/>
          <w:highlight w:val="none"/>
        </w:rPr>
        <w:t xml:space="preserve">，本标准制定过程中参考了 </w:t>
      </w:r>
      <w:r>
        <w:rPr>
          <w:rFonts w:hint="eastAsia"/>
          <w:szCs w:val="24"/>
          <w:highlight w:val="none"/>
        </w:rPr>
        <w:t>GB/T 42797</w:t>
      </w:r>
      <w:r>
        <w:rPr>
          <w:szCs w:val="24"/>
          <w:highlight w:val="none"/>
        </w:rPr>
        <w:t>。</w:t>
      </w:r>
    </w:p>
    <w:p w14:paraId="7B53C7B2">
      <w:pPr>
        <w:keepNext w:val="0"/>
        <w:keepLines w:val="0"/>
        <w:pageBreakBefore w:val="0"/>
        <w:widowControl w:val="0"/>
        <w:kinsoku/>
        <w:wordWrap/>
        <w:overflowPunct/>
        <w:topLinePunct w:val="0"/>
        <w:autoSpaceDE/>
        <w:autoSpaceDN/>
        <w:bidi w:val="0"/>
        <w:adjustRightInd/>
        <w:snapToGrid/>
        <w:spacing w:line="480" w:lineRule="auto"/>
        <w:ind w:firstLine="482"/>
        <w:textAlignment w:val="auto"/>
        <w:rPr>
          <w:rFonts w:hint="eastAsia"/>
          <w:b/>
          <w:bCs/>
          <w:highlight w:val="none"/>
        </w:rPr>
      </w:pPr>
      <w:r>
        <w:rPr>
          <w:rFonts w:hint="eastAsia"/>
          <w:b/>
          <w:bCs/>
          <w:highlight w:val="none"/>
        </w:rPr>
        <w:t>3.3 技术经济论证</w:t>
      </w:r>
    </w:p>
    <w:p w14:paraId="0516A886">
      <w:pPr>
        <w:ind w:firstLine="480"/>
        <w:rPr>
          <w:rFonts w:hint="eastAsia"/>
          <w:szCs w:val="24"/>
          <w:highlight w:val="none"/>
          <w:lang w:val="en-US" w:eastAsia="zh-CN"/>
        </w:rPr>
      </w:pPr>
      <w:r>
        <w:rPr>
          <w:rFonts w:hint="eastAsia"/>
          <w:szCs w:val="24"/>
          <w:highlight w:val="none"/>
          <w:lang w:val="en-US" w:eastAsia="zh-CN"/>
        </w:rPr>
        <w:t>本标准的制定，完善了国内二氧化碳管道输送系统输送介质质量方面的要求，方法的建立对于驱油用、封存用或工业用CO</w:t>
      </w:r>
      <w:r>
        <w:rPr>
          <w:rFonts w:hint="eastAsia"/>
          <w:szCs w:val="24"/>
          <w:highlight w:val="none"/>
          <w:vertAlign w:val="subscript"/>
          <w:lang w:val="en-US" w:eastAsia="zh-CN"/>
        </w:rPr>
        <w:t>2</w:t>
      </w:r>
      <w:r>
        <w:rPr>
          <w:rFonts w:hint="eastAsia"/>
          <w:szCs w:val="24"/>
          <w:highlight w:val="none"/>
          <w:lang w:val="en-US" w:eastAsia="zh-CN"/>
        </w:rPr>
        <w:t>的质量保障将起到重要作用。标准制定过程中从管道输送效率、避免冰堵、管材止裂、泄漏扩散和腐蚀控制等方法进行了充分的研究和试验验证，使本标准具有科学性和技术经济可行性。</w:t>
      </w:r>
    </w:p>
    <w:p w14:paraId="7533B33A">
      <w:pPr>
        <w:keepNext w:val="0"/>
        <w:keepLines w:val="0"/>
        <w:pageBreakBefore w:val="0"/>
        <w:widowControl w:val="0"/>
        <w:kinsoku/>
        <w:wordWrap/>
        <w:overflowPunct/>
        <w:topLinePunct w:val="0"/>
        <w:autoSpaceDE/>
        <w:autoSpaceDN/>
        <w:bidi w:val="0"/>
        <w:adjustRightInd/>
        <w:snapToGrid/>
        <w:spacing w:line="480" w:lineRule="auto"/>
        <w:ind w:firstLine="482"/>
        <w:textAlignment w:val="auto"/>
        <w:rPr>
          <w:rFonts w:hint="eastAsia"/>
          <w:b/>
          <w:bCs/>
          <w:highlight w:val="none"/>
          <w:lang w:val="en-US" w:eastAsia="zh-CN"/>
        </w:rPr>
      </w:pPr>
      <w:r>
        <w:rPr>
          <w:rFonts w:hint="eastAsia"/>
          <w:b/>
          <w:bCs/>
          <w:highlight w:val="none"/>
        </w:rPr>
        <w:t>3.4 预期效益</w:t>
      </w:r>
    </w:p>
    <w:p w14:paraId="0DFDAA53">
      <w:pPr>
        <w:ind w:firstLine="480"/>
        <w:rPr>
          <w:rFonts w:hint="eastAsia" w:eastAsia="宋体"/>
          <w:highlight w:val="none"/>
          <w:lang w:eastAsia="zh-CN"/>
        </w:rPr>
      </w:pPr>
      <w:r>
        <w:rPr>
          <w:rFonts w:hint="eastAsia"/>
          <w:highlight w:val="none"/>
          <w:lang w:eastAsia="zh-CN"/>
        </w:rPr>
        <w:t>（1）经济效益</w:t>
      </w:r>
    </w:p>
    <w:p w14:paraId="37B1ABE5">
      <w:pPr>
        <w:ind w:firstLine="480"/>
        <w:rPr>
          <w:highlight w:val="none"/>
        </w:rPr>
      </w:pPr>
      <w:r>
        <w:rPr>
          <w:rFonts w:hint="eastAsia"/>
          <w:highlight w:val="none"/>
        </w:rPr>
        <w:t>综合考虑CCUS上下游对二氧化碳纯度、杂质含量等质量要求，促使上游企业改进捕集工艺，保证质量稳定，使进入长输管道的二氧化碳介质符合驱油、封存、工业应用、食品加工、化工合成等下游产业对二氧化碳质量要求。</w:t>
      </w:r>
      <w:r>
        <w:rPr>
          <w:rFonts w:hint="eastAsia"/>
          <w:highlight w:val="none"/>
          <w:lang w:val="en-US" w:eastAsia="zh-CN"/>
        </w:rPr>
        <w:t>本标准</w:t>
      </w:r>
      <w:r>
        <w:rPr>
          <w:rFonts w:hint="eastAsia"/>
          <w:highlight w:val="none"/>
        </w:rPr>
        <w:t>有助于建立公平公正的市场环境。不同地区的二氧化碳交易可以依据统一的国家标准进行，减少贸易纠纷，增强市场的信任度，促进二氧化碳资源的合理流通和有效利用。</w:t>
      </w:r>
    </w:p>
    <w:p w14:paraId="0D8A75F2">
      <w:pPr>
        <w:ind w:firstLine="480"/>
        <w:rPr>
          <w:rFonts w:hint="default" w:eastAsia="宋体"/>
          <w:highlight w:val="none"/>
          <w:lang w:val="en-US" w:eastAsia="zh-CN"/>
        </w:rPr>
      </w:pP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lang w:val="en-US" w:eastAsia="zh-CN"/>
        </w:rPr>
        <w:t>社会效益</w:t>
      </w:r>
    </w:p>
    <w:p w14:paraId="7630DA36">
      <w:pPr>
        <w:ind w:firstLine="480"/>
        <w:rPr>
          <w:rFonts w:hint="eastAsia"/>
          <w:highlight w:val="none"/>
        </w:rPr>
      </w:pPr>
      <w:r>
        <w:rPr>
          <w:rFonts w:hint="eastAsia"/>
          <w:highlight w:val="none"/>
          <w:lang w:val="en-US" w:eastAsia="zh-CN"/>
        </w:rPr>
        <w:t>CO</w:t>
      </w:r>
      <w:r>
        <w:rPr>
          <w:rFonts w:hint="eastAsia"/>
          <w:highlight w:val="none"/>
          <w:vertAlign w:val="subscript"/>
          <w:lang w:val="en-US" w:eastAsia="zh-CN"/>
        </w:rPr>
        <w:t>2</w:t>
      </w:r>
      <w:r>
        <w:rPr>
          <w:rFonts w:hint="eastAsia"/>
          <w:highlight w:val="none"/>
        </w:rPr>
        <w:t>管道处于一定压力、温度等条件下运行，规定二氧化碳质量标准可以防止其中杂质（如水分、硫化物等）对管道造成腐蚀，减少管道泄漏、破裂等事故风险，保障沿线居民生命财产安全和生态环境安全。</w:t>
      </w:r>
    </w:p>
    <w:p w14:paraId="2959BBC5">
      <w:pPr>
        <w:numPr>
          <w:ilvl w:val="0"/>
          <w:numId w:val="4"/>
        </w:numPr>
        <w:ind w:firstLine="480"/>
        <w:rPr>
          <w:rFonts w:hint="eastAsia"/>
          <w:highlight w:val="none"/>
          <w:lang w:val="en-US" w:eastAsia="zh-CN"/>
        </w:rPr>
      </w:pPr>
      <w:r>
        <w:rPr>
          <w:rFonts w:hint="eastAsia"/>
          <w:highlight w:val="none"/>
          <w:lang w:val="en-US" w:eastAsia="zh-CN"/>
        </w:rPr>
        <w:t>环境效益</w:t>
      </w:r>
    </w:p>
    <w:p w14:paraId="0FEDEE24">
      <w:pPr>
        <w:numPr>
          <w:ilvl w:val="0"/>
          <w:numId w:val="0"/>
        </w:numPr>
        <w:rPr>
          <w:rFonts w:hint="default"/>
          <w:highlight w:val="none"/>
          <w:lang w:val="en-US" w:eastAsia="zh-CN"/>
        </w:rPr>
      </w:pPr>
      <w:r>
        <w:rPr>
          <w:rFonts w:hint="eastAsia"/>
          <w:highlight w:val="none"/>
          <w:lang w:val="en-US" w:eastAsia="zh-CN"/>
        </w:rPr>
        <w:t xml:space="preserve">    目前我国年碳排放量超过105亿吨，约占全球三分之一。为实现我国2030年碳达峰，2060年碳中和目标，CCUS是必不可少的技术手段。管道输送二氧化碳是实现长距离、规模化运输最有效的方式。建立进入二氧化碳管道的介质质量要求的国家标准，可以促进整个CCUS产业链的发展，助力我国碳中和的实现。</w:t>
      </w:r>
    </w:p>
    <w:p w14:paraId="102D8E55">
      <w:pPr>
        <w:pStyle w:val="25"/>
        <w:ind w:firstLine="0" w:firstLineChars="0"/>
        <w:rPr>
          <w:highlight w:val="none"/>
        </w:rPr>
      </w:pPr>
      <w:bookmarkStart w:id="10" w:name="_Toc186037015"/>
      <w:r>
        <w:rPr>
          <w:rFonts w:hint="eastAsia"/>
          <w:highlight w:val="none"/>
        </w:rPr>
        <w:t>四、采用国际标准和国外先进标准的程度，以及与国际、国外同类标准水平的对比情况，或与测试的国外样品、样机的有关数据对比情况</w:t>
      </w:r>
      <w:bookmarkEnd w:id="10"/>
    </w:p>
    <w:p w14:paraId="6CEFDDB0">
      <w:pPr>
        <w:ind w:firstLine="480"/>
      </w:pPr>
      <w:r>
        <w:rPr>
          <w:highlight w:val="none"/>
        </w:rPr>
        <w:t>本标准未直接采用国际标准和国外先进标准。</w:t>
      </w:r>
      <w:r>
        <w:rPr>
          <w:rFonts w:hint="eastAsia"/>
          <w:highlight w:val="none"/>
        </w:rPr>
        <w:t>本标准在制订过程中对国内</w:t>
      </w:r>
      <w:bookmarkEnd w:id="18"/>
      <w:r>
        <w:rPr>
          <w:szCs w:val="21"/>
        </w:rPr>
        <w:t>CO</w:t>
      </w:r>
      <w:r>
        <w:rPr>
          <w:szCs w:val="21"/>
          <w:vertAlign w:val="subscript"/>
        </w:rPr>
        <w:t>2</w:t>
      </w:r>
      <w:r>
        <w:rPr>
          <w:szCs w:val="21"/>
        </w:rPr>
        <w:t>输送</w:t>
      </w:r>
      <w:r>
        <w:rPr>
          <w:rFonts w:hint="eastAsia"/>
          <w:szCs w:val="21"/>
        </w:rPr>
        <w:t>管道环境</w:t>
      </w:r>
      <w:r>
        <w:rPr>
          <w:rFonts w:hint="eastAsia"/>
        </w:rPr>
        <w:t>进行了充分的调查研究，并广泛征求和采纳了国内相关领域专家的意见和建议，所制定的标准适合我国国情，具有先进性、科学性、实用性和可操作性。</w:t>
      </w:r>
    </w:p>
    <w:p w14:paraId="7A9B754D">
      <w:pPr>
        <w:ind w:firstLine="480"/>
      </w:pPr>
      <w:r>
        <w:rPr>
          <w:rFonts w:hint="eastAsia"/>
        </w:rPr>
        <w:t>本标准制定过程中，参考了相关国内外</w:t>
      </w:r>
      <w:r>
        <w:rPr>
          <w:szCs w:val="21"/>
        </w:rPr>
        <w:t>CO</w:t>
      </w:r>
      <w:r>
        <w:rPr>
          <w:szCs w:val="21"/>
          <w:vertAlign w:val="subscript"/>
        </w:rPr>
        <w:t>2</w:t>
      </w:r>
      <w:r>
        <w:rPr>
          <w:szCs w:val="21"/>
        </w:rPr>
        <w:t>输送管道</w:t>
      </w:r>
      <w:r>
        <w:rPr>
          <w:rFonts w:hint="eastAsia"/>
        </w:rPr>
        <w:t>实际工况，并协调了指标。相关标准指标对比说明如下：</w:t>
      </w:r>
    </w:p>
    <w:p w14:paraId="530EA214">
      <w:pPr>
        <w:ind w:firstLine="480"/>
      </w:pPr>
      <w:r>
        <w:rPr>
          <w:rFonts w:hint="eastAsia"/>
        </w:rPr>
        <w:t>（1）</w:t>
      </w:r>
      <w:r>
        <w:t>国内外管道杂质指标汇总</w:t>
      </w:r>
    </w:p>
    <w:p w14:paraId="76E602FD">
      <w:pPr>
        <w:ind w:firstLine="480"/>
        <w:rPr>
          <w:szCs w:val="24"/>
        </w:rPr>
      </w:pPr>
      <w:r>
        <w:rPr>
          <w:szCs w:val="24"/>
        </w:rPr>
        <w:t>现将国内外输送管道杂质指标进行汇总，见表</w:t>
      </w:r>
      <w:r>
        <w:rPr>
          <w:rFonts w:hint="eastAsia"/>
          <w:szCs w:val="24"/>
        </w:rPr>
        <w:t>5</w:t>
      </w:r>
      <w:r>
        <w:rPr>
          <w:szCs w:val="24"/>
        </w:rPr>
        <w:t>所示</w:t>
      </w:r>
      <w:r>
        <w:rPr>
          <w:rFonts w:hint="eastAsia"/>
          <w:szCs w:val="24"/>
        </w:rPr>
        <w:t>。</w:t>
      </w:r>
      <w:r>
        <w:rPr>
          <w:szCs w:val="24"/>
        </w:rPr>
        <w:t>国内目前大部分输送管道的</w:t>
      </w:r>
      <w:r>
        <w:rPr>
          <w:rFonts w:hint="eastAsia"/>
          <w:szCs w:val="24"/>
        </w:rPr>
        <w:t>二氧化碳</w:t>
      </w:r>
      <w:r>
        <w:rPr>
          <w:szCs w:val="24"/>
        </w:rPr>
        <w:t>纯度在99%以上，</w:t>
      </w:r>
      <w:r>
        <w:rPr>
          <w:rFonts w:hint="eastAsia"/>
          <w:szCs w:val="24"/>
        </w:rPr>
        <w:t>其中，吉林油田CO</w:t>
      </w:r>
      <w:r>
        <w:rPr>
          <w:rFonts w:hint="eastAsia"/>
          <w:szCs w:val="24"/>
          <w:vertAlign w:val="subscript"/>
        </w:rPr>
        <w:t>2</w:t>
      </w:r>
      <w:r>
        <w:rPr>
          <w:rFonts w:hint="eastAsia"/>
          <w:szCs w:val="24"/>
        </w:rPr>
        <w:t>体积分数75.01-78.95；</w:t>
      </w:r>
      <w:r>
        <w:rPr>
          <w:szCs w:val="24"/>
        </w:rPr>
        <w:t>国外除个别管道低于95%以外，总体</w:t>
      </w:r>
      <w:r>
        <w:rPr>
          <w:rFonts w:hint="eastAsia"/>
          <w:szCs w:val="24"/>
        </w:rPr>
        <w:t>二氧化碳</w:t>
      </w:r>
      <w:r>
        <w:rPr>
          <w:szCs w:val="24"/>
        </w:rPr>
        <w:t>纯度</w:t>
      </w:r>
      <w:r>
        <w:rPr>
          <w:rFonts w:hint="eastAsia"/>
          <w:szCs w:val="24"/>
        </w:rPr>
        <w:t>均</w:t>
      </w:r>
      <w:r>
        <w:rPr>
          <w:szCs w:val="24"/>
        </w:rPr>
        <w:t>高于95%。</w:t>
      </w:r>
    </w:p>
    <w:p w14:paraId="3DBF88D9">
      <w:pPr>
        <w:ind w:firstLine="480"/>
        <w:jc w:val="center"/>
        <w:rPr>
          <w:szCs w:val="21"/>
        </w:rPr>
      </w:pPr>
      <w:r>
        <w:rPr>
          <w:szCs w:val="21"/>
        </w:rPr>
        <w:t>表</w:t>
      </w:r>
      <w:r>
        <w:rPr>
          <w:rFonts w:hint="eastAsia"/>
          <w:szCs w:val="21"/>
        </w:rPr>
        <w:t>5</w:t>
      </w:r>
      <w:r>
        <w:rPr>
          <w:szCs w:val="21"/>
        </w:rPr>
        <w:t xml:space="preserve"> 国内外CO</w:t>
      </w:r>
      <w:r>
        <w:rPr>
          <w:szCs w:val="21"/>
          <w:vertAlign w:val="subscript"/>
        </w:rPr>
        <w:t>2</w:t>
      </w:r>
      <w:r>
        <w:rPr>
          <w:szCs w:val="21"/>
        </w:rPr>
        <w:t>输送管道杂质汇总表</w:t>
      </w:r>
    </w:p>
    <w:tbl>
      <w:tblPr>
        <w:tblStyle w:val="2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2127"/>
        <w:gridCol w:w="1134"/>
        <w:gridCol w:w="991"/>
        <w:gridCol w:w="1134"/>
        <w:gridCol w:w="850"/>
        <w:gridCol w:w="851"/>
        <w:gridCol w:w="1035"/>
      </w:tblGrid>
      <w:tr w14:paraId="02231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79" w:type="pct"/>
            <w:gridSpan w:val="2"/>
            <w:shd w:val="clear" w:color="auto" w:fill="auto"/>
            <w:noWrap/>
            <w:vAlign w:val="center"/>
          </w:tcPr>
          <w:p w14:paraId="6F40D5B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管道名称</w:t>
            </w:r>
          </w:p>
        </w:tc>
        <w:tc>
          <w:tcPr>
            <w:tcW w:w="666" w:type="pct"/>
            <w:shd w:val="clear" w:color="auto" w:fill="auto"/>
            <w:noWrap/>
            <w:vAlign w:val="center"/>
          </w:tcPr>
          <w:p w14:paraId="5E80507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CO</w:t>
            </w:r>
            <w:r>
              <w:rPr>
                <w:color w:val="000000"/>
                <w:kern w:val="0"/>
                <w:sz w:val="21"/>
                <w:szCs w:val="18"/>
                <w:vertAlign w:val="subscript"/>
              </w:rPr>
              <w:t>2</w:t>
            </w:r>
            <w:r>
              <w:rPr>
                <w:color w:val="000000"/>
                <w:kern w:val="0"/>
                <w:sz w:val="21"/>
                <w:szCs w:val="18"/>
              </w:rPr>
              <w:t>含量</w:t>
            </w:r>
            <w:r>
              <w:rPr>
                <w:rFonts w:hint="eastAsia"/>
                <w:color w:val="000000"/>
                <w:kern w:val="0"/>
                <w:sz w:val="21"/>
                <w:szCs w:val="18"/>
              </w:rPr>
              <w:t>（</w:t>
            </w:r>
            <w:r>
              <w:rPr>
                <w:color w:val="000000"/>
                <w:kern w:val="0"/>
                <w:sz w:val="21"/>
                <w:szCs w:val="18"/>
              </w:rPr>
              <w:t>mol%</w:t>
            </w:r>
            <w:r>
              <w:rPr>
                <w:rFonts w:hint="eastAsia"/>
                <w:color w:val="000000"/>
                <w:kern w:val="0"/>
                <w:sz w:val="21"/>
                <w:szCs w:val="18"/>
              </w:rPr>
              <w:t>）</w:t>
            </w:r>
          </w:p>
        </w:tc>
        <w:tc>
          <w:tcPr>
            <w:tcW w:w="582" w:type="pct"/>
            <w:shd w:val="clear" w:color="auto" w:fill="auto"/>
            <w:noWrap/>
            <w:vAlign w:val="center"/>
          </w:tcPr>
          <w:p w14:paraId="6BE342F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管长</w:t>
            </w:r>
            <w:r>
              <w:rPr>
                <w:rFonts w:hint="eastAsia"/>
                <w:color w:val="000000"/>
                <w:kern w:val="0"/>
                <w:sz w:val="21"/>
                <w:szCs w:val="18"/>
              </w:rPr>
              <w:t>（km）</w:t>
            </w:r>
          </w:p>
        </w:tc>
        <w:tc>
          <w:tcPr>
            <w:tcW w:w="666" w:type="pct"/>
            <w:shd w:val="clear" w:color="auto" w:fill="auto"/>
            <w:noWrap/>
            <w:vAlign w:val="center"/>
          </w:tcPr>
          <w:p w14:paraId="08C4FE2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管径（mm）</w:t>
            </w:r>
          </w:p>
        </w:tc>
        <w:tc>
          <w:tcPr>
            <w:tcW w:w="499" w:type="pct"/>
            <w:shd w:val="clear" w:color="auto" w:fill="auto"/>
            <w:noWrap/>
            <w:vAlign w:val="center"/>
          </w:tcPr>
          <w:p w14:paraId="061FA12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输量</w:t>
            </w:r>
            <w:r>
              <w:rPr>
                <w:rFonts w:hint="eastAsia"/>
                <w:color w:val="000000"/>
                <w:kern w:val="0"/>
                <w:sz w:val="21"/>
                <w:szCs w:val="18"/>
              </w:rPr>
              <w:t>（t/a）</w:t>
            </w:r>
          </w:p>
        </w:tc>
        <w:tc>
          <w:tcPr>
            <w:tcW w:w="500" w:type="pct"/>
            <w:shd w:val="clear" w:color="auto" w:fill="auto"/>
            <w:noWrap/>
            <w:vAlign w:val="center"/>
          </w:tcPr>
          <w:p w14:paraId="50B1102D">
            <w:pPr>
              <w:widowControl/>
              <w:adjustRightInd w:val="0"/>
              <w:snapToGrid w:val="0"/>
              <w:spacing w:line="240" w:lineRule="auto"/>
              <w:ind w:firstLine="0" w:firstLineChars="0"/>
              <w:jc w:val="center"/>
              <w:rPr>
                <w:color w:val="000000"/>
                <w:kern w:val="0"/>
                <w:sz w:val="21"/>
                <w:szCs w:val="18"/>
              </w:rPr>
            </w:pPr>
            <w:r>
              <w:rPr>
                <w:color w:val="000000"/>
                <w:kern w:val="0"/>
                <w:sz w:val="21"/>
                <w:szCs w:val="18"/>
              </w:rPr>
              <w:t>温度（</w:t>
            </w:r>
            <w:r>
              <w:rPr>
                <w:rFonts w:hint="eastAsia" w:ascii="宋体" w:hAnsi="宋体" w:cs="宋体"/>
                <w:color w:val="000000"/>
                <w:kern w:val="0"/>
                <w:sz w:val="21"/>
                <w:szCs w:val="18"/>
              </w:rPr>
              <w:t>℃</w:t>
            </w:r>
            <w:r>
              <w:rPr>
                <w:color w:val="000000"/>
                <w:kern w:val="0"/>
                <w:sz w:val="21"/>
                <w:szCs w:val="18"/>
              </w:rPr>
              <w:t>）</w:t>
            </w:r>
          </w:p>
        </w:tc>
        <w:tc>
          <w:tcPr>
            <w:tcW w:w="608" w:type="pct"/>
            <w:shd w:val="clear" w:color="auto" w:fill="auto"/>
            <w:noWrap/>
            <w:vAlign w:val="center"/>
          </w:tcPr>
          <w:p w14:paraId="0554D50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压力（MPa）</w:t>
            </w:r>
          </w:p>
        </w:tc>
      </w:tr>
      <w:tr w14:paraId="2A0F8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30" w:type="pct"/>
            <w:vMerge w:val="restart"/>
            <w:noWrap/>
            <w:vAlign w:val="center"/>
          </w:tcPr>
          <w:p w14:paraId="5BF449D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国内</w:t>
            </w:r>
          </w:p>
        </w:tc>
        <w:tc>
          <w:tcPr>
            <w:tcW w:w="1249" w:type="pct"/>
            <w:noWrap/>
            <w:vAlign w:val="center"/>
          </w:tcPr>
          <w:p w14:paraId="4932B65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齐鲁石化-胜利油田管道</w:t>
            </w:r>
          </w:p>
        </w:tc>
        <w:tc>
          <w:tcPr>
            <w:tcW w:w="666" w:type="pct"/>
            <w:noWrap/>
            <w:vAlign w:val="center"/>
          </w:tcPr>
          <w:p w14:paraId="2D6779D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99.2931</w:t>
            </w:r>
          </w:p>
        </w:tc>
        <w:tc>
          <w:tcPr>
            <w:tcW w:w="582" w:type="pct"/>
            <w:noWrap/>
            <w:vAlign w:val="center"/>
          </w:tcPr>
          <w:p w14:paraId="4DAB343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72</w:t>
            </w:r>
          </w:p>
        </w:tc>
        <w:tc>
          <w:tcPr>
            <w:tcW w:w="666" w:type="pct"/>
            <w:noWrap/>
            <w:vAlign w:val="center"/>
          </w:tcPr>
          <w:p w14:paraId="2CF03E3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299.9</w:t>
            </w:r>
          </w:p>
          <w:p w14:paraId="7B82FA2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63D2382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100×10</w:t>
            </w:r>
            <w:r>
              <w:rPr>
                <w:color w:val="000000"/>
                <w:kern w:val="0"/>
                <w:sz w:val="21"/>
                <w:szCs w:val="18"/>
                <w:vertAlign w:val="superscript"/>
              </w:rPr>
              <w:t>4</w:t>
            </w:r>
          </w:p>
        </w:tc>
        <w:tc>
          <w:tcPr>
            <w:tcW w:w="500" w:type="pct"/>
            <w:noWrap/>
            <w:vAlign w:val="center"/>
          </w:tcPr>
          <w:p w14:paraId="2857B09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常温</w:t>
            </w:r>
          </w:p>
        </w:tc>
        <w:tc>
          <w:tcPr>
            <w:tcW w:w="608" w:type="pct"/>
            <w:noWrap/>
            <w:vAlign w:val="center"/>
          </w:tcPr>
          <w:p w14:paraId="6AC60ED2">
            <w:pPr>
              <w:widowControl/>
              <w:adjustRightInd w:val="0"/>
              <w:snapToGrid w:val="0"/>
              <w:spacing w:line="240" w:lineRule="auto"/>
              <w:ind w:firstLine="0" w:firstLineChars="0"/>
              <w:jc w:val="center"/>
              <w:rPr>
                <w:kern w:val="0"/>
                <w:sz w:val="21"/>
                <w:szCs w:val="18"/>
              </w:rPr>
            </w:pPr>
            <w:r>
              <w:rPr>
                <w:kern w:val="0"/>
                <w:sz w:val="21"/>
                <w:szCs w:val="18"/>
              </w:rPr>
              <w:t>10</w:t>
            </w:r>
          </w:p>
        </w:tc>
      </w:tr>
      <w:tr w14:paraId="3315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30" w:type="pct"/>
            <w:vMerge w:val="continue"/>
            <w:noWrap/>
            <w:vAlign w:val="center"/>
          </w:tcPr>
          <w:p w14:paraId="46A0CA2F">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737977A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延长油田管道</w:t>
            </w:r>
          </w:p>
        </w:tc>
        <w:tc>
          <w:tcPr>
            <w:tcW w:w="666" w:type="pct"/>
            <w:noWrap/>
            <w:vAlign w:val="center"/>
          </w:tcPr>
          <w:p w14:paraId="60F0A1F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98.8042</w:t>
            </w:r>
          </w:p>
        </w:tc>
        <w:tc>
          <w:tcPr>
            <w:tcW w:w="582" w:type="pct"/>
            <w:noWrap/>
            <w:vAlign w:val="center"/>
          </w:tcPr>
          <w:p w14:paraId="318EFA5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42/63/2.8</w:t>
            </w:r>
          </w:p>
        </w:tc>
        <w:tc>
          <w:tcPr>
            <w:tcW w:w="666" w:type="pct"/>
            <w:noWrap/>
            <w:vAlign w:val="center"/>
          </w:tcPr>
          <w:p w14:paraId="1BDCEF5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168/140/65</w:t>
            </w:r>
          </w:p>
        </w:tc>
        <w:tc>
          <w:tcPr>
            <w:tcW w:w="499" w:type="pct"/>
            <w:noWrap/>
            <w:vAlign w:val="center"/>
          </w:tcPr>
          <w:p w14:paraId="120260C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36×10</w:t>
            </w:r>
            <w:r>
              <w:rPr>
                <w:color w:val="000000"/>
                <w:kern w:val="0"/>
                <w:sz w:val="21"/>
                <w:szCs w:val="18"/>
                <w:vertAlign w:val="superscript"/>
              </w:rPr>
              <w:t>4</w:t>
            </w:r>
          </w:p>
        </w:tc>
        <w:tc>
          <w:tcPr>
            <w:tcW w:w="500" w:type="pct"/>
            <w:noWrap/>
            <w:vAlign w:val="center"/>
          </w:tcPr>
          <w:p w14:paraId="3B26F22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45</w:t>
            </w:r>
          </w:p>
        </w:tc>
        <w:tc>
          <w:tcPr>
            <w:tcW w:w="608" w:type="pct"/>
            <w:noWrap/>
            <w:vAlign w:val="center"/>
          </w:tcPr>
          <w:p w14:paraId="3A9AE27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13/15</w:t>
            </w:r>
          </w:p>
        </w:tc>
      </w:tr>
      <w:tr w14:paraId="0B5F1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 w:type="pct"/>
            <w:vMerge w:val="continue"/>
            <w:noWrap/>
            <w:vAlign w:val="center"/>
          </w:tcPr>
          <w:p w14:paraId="11CCA18C">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0E416356">
            <w:pPr>
              <w:widowControl/>
              <w:adjustRightInd w:val="0"/>
              <w:snapToGrid w:val="0"/>
              <w:spacing w:line="240" w:lineRule="auto"/>
              <w:ind w:firstLine="0" w:firstLineChars="0"/>
              <w:jc w:val="center"/>
              <w:rPr>
                <w:color w:val="000000"/>
                <w:kern w:val="0"/>
                <w:sz w:val="21"/>
                <w:szCs w:val="18"/>
              </w:rPr>
            </w:pPr>
            <w:r>
              <w:rPr>
                <w:color w:val="000000"/>
                <w:kern w:val="0"/>
                <w:sz w:val="21"/>
                <w:szCs w:val="18"/>
              </w:rPr>
              <w:t>新疆油田CO</w:t>
            </w:r>
            <w:r>
              <w:rPr>
                <w:color w:val="000000"/>
                <w:kern w:val="0"/>
                <w:sz w:val="21"/>
                <w:szCs w:val="18"/>
                <w:vertAlign w:val="subscript"/>
              </w:rPr>
              <w:t>2</w:t>
            </w:r>
            <w:r>
              <w:rPr>
                <w:color w:val="000000"/>
                <w:kern w:val="0"/>
                <w:sz w:val="21"/>
                <w:szCs w:val="18"/>
              </w:rPr>
              <w:t>管道示范项目</w:t>
            </w:r>
          </w:p>
        </w:tc>
        <w:tc>
          <w:tcPr>
            <w:tcW w:w="666" w:type="pct"/>
            <w:noWrap/>
            <w:vAlign w:val="center"/>
          </w:tcPr>
          <w:p w14:paraId="324E01D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99.5</w:t>
            </w:r>
          </w:p>
        </w:tc>
        <w:tc>
          <w:tcPr>
            <w:tcW w:w="582" w:type="pct"/>
            <w:noWrap/>
            <w:vAlign w:val="center"/>
          </w:tcPr>
          <w:p w14:paraId="2A078F9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100</w:t>
            </w:r>
          </w:p>
        </w:tc>
        <w:tc>
          <w:tcPr>
            <w:tcW w:w="666" w:type="pct"/>
            <w:noWrap/>
            <w:vAlign w:val="center"/>
          </w:tcPr>
          <w:p w14:paraId="68B06DC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273</w:t>
            </w:r>
          </w:p>
        </w:tc>
        <w:tc>
          <w:tcPr>
            <w:tcW w:w="499" w:type="pct"/>
            <w:noWrap/>
            <w:vAlign w:val="center"/>
          </w:tcPr>
          <w:p w14:paraId="27A1B68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300×10</w:t>
            </w:r>
            <w:r>
              <w:rPr>
                <w:color w:val="000000"/>
                <w:kern w:val="0"/>
                <w:sz w:val="21"/>
                <w:szCs w:val="18"/>
                <w:vertAlign w:val="superscript"/>
              </w:rPr>
              <w:t>4</w:t>
            </w:r>
          </w:p>
        </w:tc>
        <w:tc>
          <w:tcPr>
            <w:tcW w:w="500" w:type="pct"/>
            <w:noWrap/>
            <w:vAlign w:val="center"/>
          </w:tcPr>
          <w:p w14:paraId="2C41D02D">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35</w:t>
            </w:r>
          </w:p>
        </w:tc>
        <w:tc>
          <w:tcPr>
            <w:tcW w:w="608" w:type="pct"/>
            <w:noWrap/>
            <w:vAlign w:val="center"/>
          </w:tcPr>
          <w:p w14:paraId="67D1897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12</w:t>
            </w:r>
          </w:p>
        </w:tc>
      </w:tr>
      <w:tr w14:paraId="4121D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30" w:type="pct"/>
            <w:vMerge w:val="continue"/>
            <w:vAlign w:val="center"/>
          </w:tcPr>
          <w:p w14:paraId="65B28F35">
            <w:pPr>
              <w:widowControl/>
              <w:adjustRightInd w:val="0"/>
              <w:snapToGrid w:val="0"/>
              <w:spacing w:line="240" w:lineRule="auto"/>
              <w:ind w:firstLine="0" w:firstLineChars="0"/>
              <w:jc w:val="center"/>
              <w:rPr>
                <w:color w:val="000000"/>
                <w:kern w:val="0"/>
                <w:sz w:val="21"/>
                <w:szCs w:val="18"/>
              </w:rPr>
            </w:pPr>
          </w:p>
        </w:tc>
        <w:tc>
          <w:tcPr>
            <w:tcW w:w="1249" w:type="pct"/>
            <w:vAlign w:val="center"/>
          </w:tcPr>
          <w:p w14:paraId="71D4805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中石油工程建设有限公司西南分公司研究项目《CO</w:t>
            </w:r>
            <w:r>
              <w:rPr>
                <w:color w:val="000000"/>
                <w:kern w:val="0"/>
                <w:sz w:val="21"/>
                <w:szCs w:val="18"/>
                <w:vertAlign w:val="subscript"/>
              </w:rPr>
              <w:t>2</w:t>
            </w:r>
            <w:r>
              <w:rPr>
                <w:color w:val="000000"/>
                <w:kern w:val="0"/>
                <w:sz w:val="21"/>
                <w:szCs w:val="18"/>
              </w:rPr>
              <w:t>输送管道工艺与流动保障技术资料》</w:t>
            </w:r>
          </w:p>
        </w:tc>
        <w:tc>
          <w:tcPr>
            <w:tcW w:w="666" w:type="pct"/>
            <w:noWrap/>
            <w:vAlign w:val="center"/>
          </w:tcPr>
          <w:p w14:paraId="5DD467B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98.6702</w:t>
            </w:r>
          </w:p>
        </w:tc>
        <w:tc>
          <w:tcPr>
            <w:tcW w:w="582" w:type="pct"/>
            <w:noWrap/>
            <w:vAlign w:val="center"/>
          </w:tcPr>
          <w:p w14:paraId="41DADE2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14.7</w:t>
            </w:r>
          </w:p>
        </w:tc>
        <w:tc>
          <w:tcPr>
            <w:tcW w:w="666" w:type="pct"/>
            <w:noWrap/>
            <w:vAlign w:val="center"/>
          </w:tcPr>
          <w:p w14:paraId="5A1165AD">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457</w:t>
            </w:r>
          </w:p>
        </w:tc>
        <w:tc>
          <w:tcPr>
            <w:tcW w:w="499" w:type="pct"/>
            <w:noWrap/>
            <w:vAlign w:val="center"/>
          </w:tcPr>
          <w:p w14:paraId="4C04C6C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138.9</w:t>
            </w:r>
          </w:p>
          <w:p w14:paraId="4F933900">
            <w:pPr>
              <w:widowControl/>
              <w:adjustRightInd w:val="0"/>
              <w:snapToGrid w:val="0"/>
              <w:spacing w:line="240" w:lineRule="auto"/>
              <w:ind w:firstLine="0" w:firstLineChars="0"/>
              <w:jc w:val="center"/>
              <w:rPr>
                <w:color w:val="000000"/>
                <w:kern w:val="0"/>
                <w:sz w:val="21"/>
                <w:szCs w:val="18"/>
              </w:rPr>
            </w:pPr>
            <w:r>
              <w:rPr>
                <w:rFonts w:hint="eastAsia"/>
                <w:color w:val="000000"/>
                <w:kern w:val="0"/>
                <w:sz w:val="21"/>
                <w:szCs w:val="18"/>
              </w:rPr>
              <w:t>（kg/s）</w:t>
            </w:r>
          </w:p>
        </w:tc>
        <w:tc>
          <w:tcPr>
            <w:tcW w:w="500" w:type="pct"/>
            <w:noWrap/>
            <w:vAlign w:val="center"/>
          </w:tcPr>
          <w:p w14:paraId="5ED1C3B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30</w:t>
            </w:r>
          </w:p>
        </w:tc>
        <w:tc>
          <w:tcPr>
            <w:tcW w:w="608" w:type="pct"/>
            <w:noWrap/>
            <w:vAlign w:val="center"/>
          </w:tcPr>
          <w:p w14:paraId="35F576A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13</w:t>
            </w:r>
          </w:p>
        </w:tc>
      </w:tr>
      <w:tr w14:paraId="11676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230" w:type="pct"/>
            <w:vMerge w:val="continue"/>
            <w:noWrap/>
            <w:vAlign w:val="center"/>
          </w:tcPr>
          <w:p w14:paraId="18E365BC">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5C9C2BC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中海油某项目海管气体</w:t>
            </w:r>
          </w:p>
        </w:tc>
        <w:tc>
          <w:tcPr>
            <w:tcW w:w="666" w:type="pct"/>
            <w:noWrap/>
            <w:vAlign w:val="center"/>
          </w:tcPr>
          <w:p w14:paraId="3C1CB2F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97.29</w:t>
            </w:r>
          </w:p>
        </w:tc>
        <w:tc>
          <w:tcPr>
            <w:tcW w:w="582" w:type="pct"/>
            <w:noWrap/>
            <w:vAlign w:val="center"/>
          </w:tcPr>
          <w:p w14:paraId="79980A3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66" w:type="pct"/>
            <w:noWrap/>
            <w:vAlign w:val="center"/>
          </w:tcPr>
          <w:p w14:paraId="429A583A">
            <w:pPr>
              <w:widowControl/>
              <w:adjustRightInd w:val="0"/>
              <w:snapToGrid w:val="0"/>
              <w:spacing w:line="240" w:lineRule="auto"/>
              <w:ind w:firstLine="0" w:firstLineChars="0"/>
              <w:jc w:val="center"/>
              <w:rPr>
                <w:kern w:val="0"/>
                <w:sz w:val="21"/>
                <w:szCs w:val="18"/>
              </w:rPr>
            </w:pPr>
            <w:r>
              <w:rPr>
                <w:kern w:val="0"/>
                <w:sz w:val="21"/>
                <w:szCs w:val="18"/>
              </w:rPr>
              <w:t>-</w:t>
            </w:r>
          </w:p>
        </w:tc>
        <w:tc>
          <w:tcPr>
            <w:tcW w:w="499" w:type="pct"/>
            <w:noWrap/>
            <w:vAlign w:val="center"/>
          </w:tcPr>
          <w:p w14:paraId="1418F6BF">
            <w:pPr>
              <w:widowControl/>
              <w:adjustRightInd w:val="0"/>
              <w:snapToGrid w:val="0"/>
              <w:spacing w:line="240" w:lineRule="auto"/>
              <w:ind w:firstLine="0" w:firstLineChars="0"/>
              <w:jc w:val="center"/>
              <w:rPr>
                <w:kern w:val="0"/>
                <w:sz w:val="21"/>
                <w:szCs w:val="18"/>
              </w:rPr>
            </w:pPr>
            <w:r>
              <w:rPr>
                <w:kern w:val="0"/>
                <w:sz w:val="21"/>
                <w:szCs w:val="18"/>
              </w:rPr>
              <w:t>-</w:t>
            </w:r>
          </w:p>
        </w:tc>
        <w:tc>
          <w:tcPr>
            <w:tcW w:w="500" w:type="pct"/>
            <w:noWrap/>
            <w:vAlign w:val="center"/>
          </w:tcPr>
          <w:p w14:paraId="6BD86AAA">
            <w:pPr>
              <w:widowControl/>
              <w:adjustRightInd w:val="0"/>
              <w:snapToGrid w:val="0"/>
              <w:spacing w:line="240" w:lineRule="auto"/>
              <w:ind w:firstLine="0" w:firstLineChars="0"/>
              <w:jc w:val="center"/>
              <w:rPr>
                <w:kern w:val="0"/>
                <w:sz w:val="21"/>
                <w:szCs w:val="18"/>
              </w:rPr>
            </w:pPr>
            <w:r>
              <w:rPr>
                <w:kern w:val="0"/>
                <w:sz w:val="21"/>
                <w:szCs w:val="18"/>
              </w:rPr>
              <w:t>-</w:t>
            </w:r>
          </w:p>
        </w:tc>
        <w:tc>
          <w:tcPr>
            <w:tcW w:w="608" w:type="pct"/>
            <w:noWrap/>
            <w:vAlign w:val="center"/>
          </w:tcPr>
          <w:p w14:paraId="7093D6FE">
            <w:pPr>
              <w:widowControl/>
              <w:adjustRightInd w:val="0"/>
              <w:snapToGrid w:val="0"/>
              <w:spacing w:line="240" w:lineRule="auto"/>
              <w:ind w:firstLine="0" w:firstLineChars="0"/>
              <w:jc w:val="center"/>
              <w:rPr>
                <w:kern w:val="0"/>
                <w:sz w:val="21"/>
                <w:szCs w:val="18"/>
              </w:rPr>
            </w:pPr>
            <w:r>
              <w:rPr>
                <w:kern w:val="0"/>
                <w:sz w:val="21"/>
                <w:szCs w:val="18"/>
              </w:rPr>
              <w:t>-</w:t>
            </w:r>
          </w:p>
        </w:tc>
      </w:tr>
      <w:tr w14:paraId="6FF1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5FEB8043">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0562635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东方1-1气田</w:t>
            </w:r>
          </w:p>
        </w:tc>
        <w:tc>
          <w:tcPr>
            <w:tcW w:w="666" w:type="pct"/>
            <w:noWrap/>
            <w:vAlign w:val="center"/>
          </w:tcPr>
          <w:p w14:paraId="2617DD8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99.6139</w:t>
            </w:r>
          </w:p>
        </w:tc>
        <w:tc>
          <w:tcPr>
            <w:tcW w:w="582" w:type="pct"/>
            <w:noWrap/>
            <w:vAlign w:val="center"/>
          </w:tcPr>
          <w:p w14:paraId="229AACB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105.1</w:t>
            </w:r>
          </w:p>
        </w:tc>
        <w:tc>
          <w:tcPr>
            <w:tcW w:w="666" w:type="pct"/>
            <w:noWrap/>
            <w:vAlign w:val="center"/>
          </w:tcPr>
          <w:p w14:paraId="00B27EB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499" w:type="pct"/>
            <w:noWrap/>
            <w:vAlign w:val="center"/>
          </w:tcPr>
          <w:p w14:paraId="7BC78E6D">
            <w:pPr>
              <w:widowControl/>
              <w:adjustRightInd w:val="0"/>
              <w:snapToGrid w:val="0"/>
              <w:spacing w:line="240" w:lineRule="auto"/>
              <w:ind w:firstLine="0" w:firstLineChars="0"/>
              <w:jc w:val="center"/>
              <w:rPr>
                <w:kern w:val="0"/>
                <w:sz w:val="21"/>
                <w:szCs w:val="18"/>
              </w:rPr>
            </w:pPr>
            <w:r>
              <w:rPr>
                <w:kern w:val="0"/>
                <w:sz w:val="21"/>
                <w:szCs w:val="18"/>
              </w:rPr>
              <w:t>-</w:t>
            </w:r>
          </w:p>
        </w:tc>
        <w:tc>
          <w:tcPr>
            <w:tcW w:w="500" w:type="pct"/>
            <w:noWrap/>
            <w:vAlign w:val="center"/>
          </w:tcPr>
          <w:p w14:paraId="4CB7A822">
            <w:pPr>
              <w:widowControl/>
              <w:adjustRightInd w:val="0"/>
              <w:snapToGrid w:val="0"/>
              <w:spacing w:line="240" w:lineRule="auto"/>
              <w:ind w:firstLine="0" w:firstLineChars="0"/>
              <w:jc w:val="center"/>
              <w:rPr>
                <w:kern w:val="0"/>
                <w:sz w:val="21"/>
                <w:szCs w:val="18"/>
              </w:rPr>
            </w:pPr>
            <w:r>
              <w:rPr>
                <w:kern w:val="0"/>
                <w:sz w:val="21"/>
                <w:szCs w:val="18"/>
              </w:rPr>
              <w:t>-</w:t>
            </w:r>
          </w:p>
        </w:tc>
        <w:tc>
          <w:tcPr>
            <w:tcW w:w="608" w:type="pct"/>
            <w:noWrap/>
            <w:vAlign w:val="center"/>
          </w:tcPr>
          <w:p w14:paraId="4A8B1B2C">
            <w:pPr>
              <w:widowControl/>
              <w:adjustRightInd w:val="0"/>
              <w:snapToGrid w:val="0"/>
              <w:spacing w:line="240" w:lineRule="auto"/>
              <w:ind w:firstLine="0" w:firstLineChars="0"/>
              <w:jc w:val="center"/>
              <w:rPr>
                <w:kern w:val="0"/>
                <w:sz w:val="21"/>
                <w:szCs w:val="18"/>
              </w:rPr>
            </w:pPr>
            <w:r>
              <w:rPr>
                <w:kern w:val="0"/>
                <w:sz w:val="21"/>
                <w:szCs w:val="18"/>
              </w:rPr>
              <w:t>-</w:t>
            </w:r>
          </w:p>
        </w:tc>
      </w:tr>
      <w:tr w14:paraId="71C90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63F61226">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58FA9824">
            <w:pPr>
              <w:widowControl/>
              <w:adjustRightInd w:val="0"/>
              <w:snapToGrid w:val="0"/>
              <w:spacing w:line="240" w:lineRule="auto"/>
              <w:ind w:firstLine="0" w:firstLineChars="0"/>
              <w:jc w:val="center"/>
              <w:rPr>
                <w:color w:val="000000"/>
                <w:kern w:val="0"/>
                <w:sz w:val="21"/>
                <w:szCs w:val="18"/>
              </w:rPr>
            </w:pPr>
            <w:r>
              <w:rPr>
                <w:rFonts w:hint="eastAsia"/>
                <w:color w:val="000000"/>
                <w:kern w:val="0"/>
                <w:sz w:val="21"/>
                <w:szCs w:val="18"/>
              </w:rPr>
              <w:t>吉林油田</w:t>
            </w:r>
          </w:p>
        </w:tc>
        <w:tc>
          <w:tcPr>
            <w:tcW w:w="666" w:type="pct"/>
            <w:noWrap/>
            <w:vAlign w:val="center"/>
          </w:tcPr>
          <w:p w14:paraId="54D8BF74">
            <w:pPr>
              <w:widowControl/>
              <w:adjustRightInd w:val="0"/>
              <w:snapToGrid w:val="0"/>
              <w:spacing w:line="240" w:lineRule="auto"/>
              <w:ind w:firstLine="0" w:firstLineChars="0"/>
              <w:jc w:val="center"/>
              <w:rPr>
                <w:color w:val="000000"/>
                <w:kern w:val="0"/>
                <w:sz w:val="21"/>
                <w:szCs w:val="18"/>
              </w:rPr>
            </w:pPr>
            <w:r>
              <w:rPr>
                <w:rFonts w:hint="eastAsia"/>
                <w:color w:val="000000"/>
                <w:kern w:val="0"/>
                <w:sz w:val="21"/>
                <w:szCs w:val="18"/>
              </w:rPr>
              <w:t>75.01-78.95</w:t>
            </w:r>
          </w:p>
        </w:tc>
        <w:tc>
          <w:tcPr>
            <w:tcW w:w="582" w:type="pct"/>
            <w:noWrap/>
            <w:vAlign w:val="center"/>
          </w:tcPr>
          <w:p w14:paraId="3F18F471">
            <w:pPr>
              <w:widowControl/>
              <w:adjustRightInd w:val="0"/>
              <w:snapToGrid w:val="0"/>
              <w:spacing w:line="240" w:lineRule="auto"/>
              <w:ind w:firstLine="0" w:firstLineChars="0"/>
              <w:jc w:val="center"/>
              <w:rPr>
                <w:color w:val="000000"/>
                <w:kern w:val="0"/>
                <w:sz w:val="21"/>
                <w:szCs w:val="18"/>
              </w:rPr>
            </w:pPr>
          </w:p>
        </w:tc>
        <w:tc>
          <w:tcPr>
            <w:tcW w:w="666" w:type="pct"/>
            <w:noWrap/>
            <w:vAlign w:val="center"/>
          </w:tcPr>
          <w:p w14:paraId="2335915A">
            <w:pPr>
              <w:widowControl/>
              <w:adjustRightInd w:val="0"/>
              <w:snapToGrid w:val="0"/>
              <w:spacing w:line="240" w:lineRule="auto"/>
              <w:ind w:firstLine="0" w:firstLineChars="0"/>
              <w:jc w:val="center"/>
              <w:rPr>
                <w:color w:val="000000"/>
                <w:kern w:val="0"/>
                <w:sz w:val="21"/>
                <w:szCs w:val="18"/>
              </w:rPr>
            </w:pPr>
          </w:p>
        </w:tc>
        <w:tc>
          <w:tcPr>
            <w:tcW w:w="499" w:type="pct"/>
            <w:noWrap/>
            <w:vAlign w:val="center"/>
          </w:tcPr>
          <w:p w14:paraId="16096C27">
            <w:pPr>
              <w:widowControl/>
              <w:adjustRightInd w:val="0"/>
              <w:snapToGrid w:val="0"/>
              <w:spacing w:line="240" w:lineRule="auto"/>
              <w:ind w:firstLine="0" w:firstLineChars="0"/>
              <w:jc w:val="center"/>
              <w:rPr>
                <w:kern w:val="0"/>
                <w:sz w:val="21"/>
                <w:szCs w:val="18"/>
              </w:rPr>
            </w:pPr>
          </w:p>
        </w:tc>
        <w:tc>
          <w:tcPr>
            <w:tcW w:w="500" w:type="pct"/>
            <w:noWrap/>
            <w:vAlign w:val="center"/>
          </w:tcPr>
          <w:p w14:paraId="308A8DF3">
            <w:pPr>
              <w:widowControl/>
              <w:adjustRightInd w:val="0"/>
              <w:snapToGrid w:val="0"/>
              <w:spacing w:line="240" w:lineRule="auto"/>
              <w:ind w:firstLine="0" w:firstLineChars="0"/>
              <w:jc w:val="center"/>
              <w:rPr>
                <w:kern w:val="0"/>
                <w:sz w:val="21"/>
                <w:szCs w:val="18"/>
              </w:rPr>
            </w:pPr>
          </w:p>
        </w:tc>
        <w:tc>
          <w:tcPr>
            <w:tcW w:w="608" w:type="pct"/>
            <w:noWrap/>
            <w:vAlign w:val="center"/>
          </w:tcPr>
          <w:p w14:paraId="72FE4467">
            <w:pPr>
              <w:widowControl/>
              <w:adjustRightInd w:val="0"/>
              <w:snapToGrid w:val="0"/>
              <w:spacing w:line="240" w:lineRule="auto"/>
              <w:ind w:firstLine="0" w:firstLineChars="0"/>
              <w:jc w:val="center"/>
              <w:rPr>
                <w:kern w:val="0"/>
                <w:sz w:val="21"/>
                <w:szCs w:val="18"/>
              </w:rPr>
            </w:pPr>
          </w:p>
        </w:tc>
      </w:tr>
      <w:tr w14:paraId="6D8E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0C27989B">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1CE76592">
            <w:pPr>
              <w:widowControl/>
              <w:adjustRightInd w:val="0"/>
              <w:snapToGrid w:val="0"/>
              <w:spacing w:line="240" w:lineRule="auto"/>
              <w:ind w:firstLine="0" w:firstLineChars="0"/>
              <w:jc w:val="center"/>
              <w:rPr>
                <w:color w:val="000000"/>
                <w:kern w:val="0"/>
                <w:sz w:val="21"/>
                <w:szCs w:val="18"/>
              </w:rPr>
            </w:pPr>
            <w:r>
              <w:rPr>
                <w:rFonts w:hint="eastAsia"/>
                <w:color w:val="000000"/>
                <w:kern w:val="0"/>
                <w:sz w:val="21"/>
                <w:szCs w:val="18"/>
              </w:rPr>
              <w:t>中原油田</w:t>
            </w:r>
          </w:p>
        </w:tc>
        <w:tc>
          <w:tcPr>
            <w:tcW w:w="666" w:type="pct"/>
            <w:noWrap/>
            <w:vAlign w:val="center"/>
          </w:tcPr>
          <w:p w14:paraId="64252D00">
            <w:pPr>
              <w:widowControl/>
              <w:adjustRightInd w:val="0"/>
              <w:snapToGrid w:val="0"/>
              <w:spacing w:line="240" w:lineRule="auto"/>
              <w:ind w:firstLine="0" w:firstLineChars="0"/>
              <w:jc w:val="center"/>
              <w:rPr>
                <w:color w:val="000000"/>
                <w:kern w:val="0"/>
                <w:sz w:val="21"/>
                <w:szCs w:val="18"/>
              </w:rPr>
            </w:pPr>
            <w:r>
              <w:rPr>
                <w:rFonts w:hint="eastAsia"/>
                <w:color w:val="000000"/>
                <w:kern w:val="0"/>
                <w:sz w:val="21"/>
                <w:szCs w:val="18"/>
              </w:rPr>
              <w:t>85</w:t>
            </w:r>
          </w:p>
        </w:tc>
        <w:tc>
          <w:tcPr>
            <w:tcW w:w="582" w:type="pct"/>
            <w:noWrap/>
            <w:vAlign w:val="center"/>
          </w:tcPr>
          <w:p w14:paraId="3FDEE5F2">
            <w:pPr>
              <w:widowControl/>
              <w:adjustRightInd w:val="0"/>
              <w:snapToGrid w:val="0"/>
              <w:spacing w:line="240" w:lineRule="auto"/>
              <w:ind w:firstLine="0" w:firstLineChars="0"/>
              <w:jc w:val="center"/>
              <w:rPr>
                <w:color w:val="000000"/>
                <w:kern w:val="0"/>
                <w:sz w:val="21"/>
                <w:szCs w:val="18"/>
              </w:rPr>
            </w:pPr>
          </w:p>
        </w:tc>
        <w:tc>
          <w:tcPr>
            <w:tcW w:w="666" w:type="pct"/>
            <w:noWrap/>
            <w:vAlign w:val="center"/>
          </w:tcPr>
          <w:p w14:paraId="44E337D7">
            <w:pPr>
              <w:widowControl/>
              <w:adjustRightInd w:val="0"/>
              <w:snapToGrid w:val="0"/>
              <w:spacing w:line="240" w:lineRule="auto"/>
              <w:ind w:firstLine="0" w:firstLineChars="0"/>
              <w:jc w:val="center"/>
              <w:rPr>
                <w:color w:val="000000"/>
                <w:kern w:val="0"/>
                <w:sz w:val="21"/>
                <w:szCs w:val="18"/>
              </w:rPr>
            </w:pPr>
          </w:p>
        </w:tc>
        <w:tc>
          <w:tcPr>
            <w:tcW w:w="499" w:type="pct"/>
            <w:noWrap/>
            <w:vAlign w:val="center"/>
          </w:tcPr>
          <w:p w14:paraId="12B89324">
            <w:pPr>
              <w:widowControl/>
              <w:adjustRightInd w:val="0"/>
              <w:snapToGrid w:val="0"/>
              <w:spacing w:line="240" w:lineRule="auto"/>
              <w:ind w:firstLine="0" w:firstLineChars="0"/>
              <w:jc w:val="center"/>
              <w:rPr>
                <w:kern w:val="0"/>
                <w:sz w:val="21"/>
                <w:szCs w:val="18"/>
              </w:rPr>
            </w:pPr>
          </w:p>
        </w:tc>
        <w:tc>
          <w:tcPr>
            <w:tcW w:w="500" w:type="pct"/>
            <w:noWrap/>
            <w:vAlign w:val="center"/>
          </w:tcPr>
          <w:p w14:paraId="55BF0833">
            <w:pPr>
              <w:widowControl/>
              <w:adjustRightInd w:val="0"/>
              <w:snapToGrid w:val="0"/>
              <w:spacing w:line="240" w:lineRule="auto"/>
              <w:ind w:firstLine="0" w:firstLineChars="0"/>
              <w:jc w:val="center"/>
              <w:rPr>
                <w:kern w:val="0"/>
                <w:sz w:val="21"/>
                <w:szCs w:val="18"/>
              </w:rPr>
            </w:pPr>
          </w:p>
        </w:tc>
        <w:tc>
          <w:tcPr>
            <w:tcW w:w="608" w:type="pct"/>
            <w:noWrap/>
            <w:vAlign w:val="center"/>
          </w:tcPr>
          <w:p w14:paraId="1B6D83C0">
            <w:pPr>
              <w:widowControl/>
              <w:adjustRightInd w:val="0"/>
              <w:snapToGrid w:val="0"/>
              <w:spacing w:line="240" w:lineRule="auto"/>
              <w:ind w:firstLine="0" w:firstLineChars="0"/>
              <w:jc w:val="center"/>
              <w:rPr>
                <w:kern w:val="0"/>
                <w:sz w:val="21"/>
                <w:szCs w:val="18"/>
              </w:rPr>
            </w:pPr>
          </w:p>
        </w:tc>
      </w:tr>
      <w:tr w14:paraId="02E67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restart"/>
            <w:noWrap/>
            <w:vAlign w:val="center"/>
          </w:tcPr>
          <w:p w14:paraId="287B737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国际</w:t>
            </w:r>
          </w:p>
        </w:tc>
        <w:tc>
          <w:tcPr>
            <w:tcW w:w="1249" w:type="pct"/>
            <w:noWrap/>
            <w:vAlign w:val="center"/>
          </w:tcPr>
          <w:p w14:paraId="592251E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Cortez</w:t>
            </w:r>
          </w:p>
        </w:tc>
        <w:tc>
          <w:tcPr>
            <w:tcW w:w="666" w:type="pct"/>
            <w:noWrap/>
            <w:vAlign w:val="center"/>
          </w:tcPr>
          <w:p w14:paraId="1359221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95 (vol%)</w:t>
            </w:r>
          </w:p>
        </w:tc>
        <w:tc>
          <w:tcPr>
            <w:tcW w:w="582" w:type="pct"/>
            <w:noWrap/>
            <w:vAlign w:val="center"/>
          </w:tcPr>
          <w:p w14:paraId="5790A7C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808</w:t>
            </w:r>
          </w:p>
        </w:tc>
        <w:tc>
          <w:tcPr>
            <w:tcW w:w="666" w:type="pct"/>
            <w:noWrap/>
            <w:vAlign w:val="center"/>
          </w:tcPr>
          <w:p w14:paraId="028686C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762</w:t>
            </w:r>
          </w:p>
          <w:p w14:paraId="02C572B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7C5B738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19.3×10</w:t>
            </w:r>
            <w:r>
              <w:rPr>
                <w:color w:val="000000"/>
                <w:kern w:val="0"/>
                <w:sz w:val="21"/>
                <w:szCs w:val="18"/>
                <w:vertAlign w:val="superscript"/>
              </w:rPr>
              <w:t>6</w:t>
            </w:r>
          </w:p>
        </w:tc>
        <w:tc>
          <w:tcPr>
            <w:tcW w:w="500" w:type="pct"/>
            <w:noWrap/>
            <w:vAlign w:val="center"/>
          </w:tcPr>
          <w:p w14:paraId="094FD8B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43</w:t>
            </w:r>
          </w:p>
        </w:tc>
        <w:tc>
          <w:tcPr>
            <w:tcW w:w="608" w:type="pct"/>
            <w:noWrap/>
            <w:vAlign w:val="center"/>
          </w:tcPr>
          <w:p w14:paraId="14F435D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9.6-18.6</w:t>
            </w:r>
          </w:p>
        </w:tc>
      </w:tr>
      <w:tr w14:paraId="11405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1CC992F5">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68271C7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Canyon Reef Carriers</w:t>
            </w:r>
          </w:p>
        </w:tc>
        <w:tc>
          <w:tcPr>
            <w:tcW w:w="666" w:type="pct"/>
            <w:noWrap/>
            <w:vAlign w:val="center"/>
          </w:tcPr>
          <w:p w14:paraId="02287A46">
            <w:pPr>
              <w:widowControl/>
              <w:adjustRightInd w:val="0"/>
              <w:snapToGrid w:val="0"/>
              <w:spacing w:line="240" w:lineRule="auto"/>
              <w:ind w:firstLine="0" w:firstLineChars="0"/>
              <w:jc w:val="center"/>
              <w:rPr>
                <w:color w:val="000000"/>
                <w:kern w:val="0"/>
                <w:sz w:val="21"/>
                <w:szCs w:val="18"/>
              </w:rPr>
            </w:pPr>
            <w:r>
              <w:rPr>
                <w:color w:val="000000"/>
                <w:kern w:val="0"/>
                <w:sz w:val="21"/>
                <w:szCs w:val="18"/>
              </w:rPr>
              <w:t>85-98 (vol%)</w:t>
            </w:r>
          </w:p>
        </w:tc>
        <w:tc>
          <w:tcPr>
            <w:tcW w:w="582" w:type="pct"/>
            <w:noWrap/>
            <w:vAlign w:val="center"/>
          </w:tcPr>
          <w:p w14:paraId="3CA331D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225</w:t>
            </w:r>
          </w:p>
        </w:tc>
        <w:tc>
          <w:tcPr>
            <w:tcW w:w="666" w:type="pct"/>
            <w:noWrap/>
            <w:vAlign w:val="center"/>
          </w:tcPr>
          <w:p w14:paraId="2F0E36C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406.4</w:t>
            </w:r>
          </w:p>
          <w:p w14:paraId="418BC376">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69DDF69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4.6×10</w:t>
            </w:r>
            <w:r>
              <w:rPr>
                <w:color w:val="000000"/>
                <w:kern w:val="0"/>
                <w:sz w:val="21"/>
                <w:szCs w:val="18"/>
                <w:vertAlign w:val="superscript"/>
              </w:rPr>
              <w:t>6</w:t>
            </w:r>
          </w:p>
        </w:tc>
        <w:tc>
          <w:tcPr>
            <w:tcW w:w="500" w:type="pct"/>
            <w:noWrap/>
            <w:vAlign w:val="center"/>
          </w:tcPr>
          <w:p w14:paraId="3F53504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08" w:type="pct"/>
            <w:noWrap/>
            <w:vAlign w:val="center"/>
          </w:tcPr>
          <w:p w14:paraId="014C265A">
            <w:pPr>
              <w:widowControl/>
              <w:adjustRightInd w:val="0"/>
              <w:snapToGrid w:val="0"/>
              <w:spacing w:line="240" w:lineRule="auto"/>
              <w:ind w:firstLine="0" w:firstLineChars="0"/>
              <w:jc w:val="center"/>
              <w:rPr>
                <w:kern w:val="0"/>
                <w:sz w:val="21"/>
                <w:szCs w:val="18"/>
              </w:rPr>
            </w:pPr>
            <w:r>
              <w:rPr>
                <w:kern w:val="0"/>
                <w:sz w:val="21"/>
                <w:szCs w:val="18"/>
              </w:rPr>
              <w:t>-</w:t>
            </w:r>
          </w:p>
        </w:tc>
      </w:tr>
      <w:tr w14:paraId="753C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72E139D1">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4B70391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Central Basin</w:t>
            </w:r>
          </w:p>
        </w:tc>
        <w:tc>
          <w:tcPr>
            <w:tcW w:w="666" w:type="pct"/>
            <w:noWrap/>
            <w:vAlign w:val="center"/>
          </w:tcPr>
          <w:p w14:paraId="65996A8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98.5 (vol%)</w:t>
            </w:r>
          </w:p>
        </w:tc>
        <w:tc>
          <w:tcPr>
            <w:tcW w:w="582" w:type="pct"/>
            <w:noWrap/>
            <w:vAlign w:val="center"/>
          </w:tcPr>
          <w:p w14:paraId="6604C75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230</w:t>
            </w:r>
          </w:p>
        </w:tc>
        <w:tc>
          <w:tcPr>
            <w:tcW w:w="666" w:type="pct"/>
            <w:noWrap/>
            <w:vAlign w:val="center"/>
          </w:tcPr>
          <w:p w14:paraId="5DD3BAB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406.4</w:t>
            </w:r>
          </w:p>
          <w:p w14:paraId="3D09702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0C38E90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11.5×10</w:t>
            </w:r>
            <w:r>
              <w:rPr>
                <w:color w:val="000000"/>
                <w:kern w:val="0"/>
                <w:sz w:val="21"/>
                <w:szCs w:val="18"/>
                <w:vertAlign w:val="superscript"/>
              </w:rPr>
              <w:t>6</w:t>
            </w:r>
          </w:p>
        </w:tc>
        <w:tc>
          <w:tcPr>
            <w:tcW w:w="500" w:type="pct"/>
            <w:noWrap/>
            <w:vAlign w:val="center"/>
          </w:tcPr>
          <w:p w14:paraId="447E223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08" w:type="pct"/>
            <w:noWrap/>
            <w:vAlign w:val="center"/>
          </w:tcPr>
          <w:p w14:paraId="00A3D32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15.1-17.3</w:t>
            </w:r>
          </w:p>
        </w:tc>
      </w:tr>
      <w:tr w14:paraId="0316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5F090B4E">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175AC12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NEJD</w:t>
            </w:r>
          </w:p>
        </w:tc>
        <w:tc>
          <w:tcPr>
            <w:tcW w:w="666" w:type="pct"/>
            <w:noWrap/>
            <w:vAlign w:val="center"/>
          </w:tcPr>
          <w:p w14:paraId="1BA7F37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98.7-99.4 (vol%)</w:t>
            </w:r>
          </w:p>
        </w:tc>
        <w:tc>
          <w:tcPr>
            <w:tcW w:w="582" w:type="pct"/>
            <w:noWrap/>
            <w:vAlign w:val="center"/>
          </w:tcPr>
          <w:p w14:paraId="29F2E60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295</w:t>
            </w:r>
          </w:p>
        </w:tc>
        <w:tc>
          <w:tcPr>
            <w:tcW w:w="666" w:type="pct"/>
            <w:noWrap/>
            <w:vAlign w:val="center"/>
          </w:tcPr>
          <w:p w14:paraId="3777D8B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508</w:t>
            </w:r>
          </w:p>
          <w:p w14:paraId="5D5EC83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0A10A54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500" w:type="pct"/>
            <w:noWrap/>
            <w:vAlign w:val="center"/>
          </w:tcPr>
          <w:p w14:paraId="758A4999">
            <w:pPr>
              <w:widowControl/>
              <w:adjustRightInd w:val="0"/>
              <w:snapToGrid w:val="0"/>
              <w:spacing w:line="240" w:lineRule="auto"/>
              <w:ind w:firstLine="0" w:firstLineChars="0"/>
              <w:jc w:val="center"/>
              <w:rPr>
                <w:kern w:val="0"/>
                <w:sz w:val="21"/>
                <w:szCs w:val="18"/>
              </w:rPr>
            </w:pPr>
            <w:r>
              <w:rPr>
                <w:kern w:val="0"/>
                <w:sz w:val="21"/>
                <w:szCs w:val="18"/>
              </w:rPr>
              <w:t>-</w:t>
            </w:r>
          </w:p>
        </w:tc>
        <w:tc>
          <w:tcPr>
            <w:tcW w:w="608" w:type="pct"/>
            <w:noWrap/>
            <w:vAlign w:val="center"/>
          </w:tcPr>
          <w:p w14:paraId="2E06E1F6">
            <w:pPr>
              <w:widowControl/>
              <w:adjustRightInd w:val="0"/>
              <w:snapToGrid w:val="0"/>
              <w:spacing w:line="240" w:lineRule="auto"/>
              <w:ind w:firstLine="0" w:firstLineChars="0"/>
              <w:jc w:val="center"/>
              <w:rPr>
                <w:kern w:val="0"/>
                <w:sz w:val="21"/>
                <w:szCs w:val="18"/>
              </w:rPr>
            </w:pPr>
            <w:r>
              <w:rPr>
                <w:kern w:val="0"/>
                <w:sz w:val="21"/>
                <w:szCs w:val="18"/>
              </w:rPr>
              <w:t>-</w:t>
            </w:r>
          </w:p>
        </w:tc>
      </w:tr>
      <w:tr w14:paraId="09F98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4EF4B6FF">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142CDEC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Weyburn</w:t>
            </w:r>
          </w:p>
        </w:tc>
        <w:tc>
          <w:tcPr>
            <w:tcW w:w="666" w:type="pct"/>
            <w:noWrap/>
            <w:vAlign w:val="center"/>
          </w:tcPr>
          <w:p w14:paraId="0B4F105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96 (vol%)</w:t>
            </w:r>
          </w:p>
        </w:tc>
        <w:tc>
          <w:tcPr>
            <w:tcW w:w="582" w:type="pct"/>
            <w:noWrap/>
            <w:vAlign w:val="center"/>
          </w:tcPr>
          <w:p w14:paraId="6ADB0E3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330</w:t>
            </w:r>
          </w:p>
        </w:tc>
        <w:tc>
          <w:tcPr>
            <w:tcW w:w="666" w:type="pct"/>
            <w:noWrap/>
            <w:vAlign w:val="center"/>
          </w:tcPr>
          <w:p w14:paraId="1D3A489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304.8-355.6（内径）</w:t>
            </w:r>
          </w:p>
        </w:tc>
        <w:tc>
          <w:tcPr>
            <w:tcW w:w="499" w:type="pct"/>
            <w:noWrap/>
            <w:vAlign w:val="center"/>
          </w:tcPr>
          <w:p w14:paraId="6D6F8CD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4.62×10</w:t>
            </w:r>
            <w:r>
              <w:rPr>
                <w:color w:val="000000"/>
                <w:kern w:val="0"/>
                <w:sz w:val="21"/>
                <w:szCs w:val="18"/>
                <w:vertAlign w:val="superscript"/>
              </w:rPr>
              <w:t>6</w:t>
            </w:r>
          </w:p>
        </w:tc>
        <w:tc>
          <w:tcPr>
            <w:tcW w:w="500" w:type="pct"/>
            <w:noWrap/>
            <w:vAlign w:val="center"/>
          </w:tcPr>
          <w:p w14:paraId="6121613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08" w:type="pct"/>
            <w:noWrap/>
            <w:vAlign w:val="center"/>
          </w:tcPr>
          <w:p w14:paraId="562C7B8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18.6-20.4</w:t>
            </w:r>
          </w:p>
        </w:tc>
      </w:tr>
      <w:tr w14:paraId="6C0F0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6A0C5531">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3432B7D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Sheep Mountain</w:t>
            </w:r>
          </w:p>
        </w:tc>
        <w:tc>
          <w:tcPr>
            <w:tcW w:w="666" w:type="pct"/>
            <w:noWrap/>
            <w:vAlign w:val="center"/>
          </w:tcPr>
          <w:p w14:paraId="4B1D790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96.-97.4 (vol%)</w:t>
            </w:r>
          </w:p>
        </w:tc>
        <w:tc>
          <w:tcPr>
            <w:tcW w:w="582" w:type="pct"/>
            <w:noWrap/>
            <w:vAlign w:val="center"/>
          </w:tcPr>
          <w:p w14:paraId="39DA2BC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656</w:t>
            </w:r>
          </w:p>
        </w:tc>
        <w:tc>
          <w:tcPr>
            <w:tcW w:w="666" w:type="pct"/>
            <w:noWrap/>
            <w:vAlign w:val="center"/>
          </w:tcPr>
          <w:p w14:paraId="7C720B9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609.6</w:t>
            </w:r>
          </w:p>
          <w:p w14:paraId="56FE2A7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2651DC6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9.2×10</w:t>
            </w:r>
            <w:r>
              <w:rPr>
                <w:color w:val="000000"/>
                <w:kern w:val="0"/>
                <w:sz w:val="21"/>
                <w:szCs w:val="18"/>
                <w:vertAlign w:val="superscript"/>
              </w:rPr>
              <w:t>6</w:t>
            </w:r>
          </w:p>
        </w:tc>
        <w:tc>
          <w:tcPr>
            <w:tcW w:w="500" w:type="pct"/>
            <w:noWrap/>
            <w:vAlign w:val="center"/>
          </w:tcPr>
          <w:p w14:paraId="328216D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08" w:type="pct"/>
            <w:noWrap/>
            <w:vAlign w:val="center"/>
          </w:tcPr>
          <w:p w14:paraId="1F9EC1C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83-97</w:t>
            </w:r>
          </w:p>
        </w:tc>
      </w:tr>
      <w:tr w14:paraId="4FEB6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2C43317E">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252F7F4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Bravo Dome</w:t>
            </w:r>
          </w:p>
        </w:tc>
        <w:tc>
          <w:tcPr>
            <w:tcW w:w="666" w:type="pct"/>
            <w:noWrap/>
            <w:vAlign w:val="center"/>
          </w:tcPr>
          <w:p w14:paraId="175A6A9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99.7 (vol%)</w:t>
            </w:r>
          </w:p>
        </w:tc>
        <w:tc>
          <w:tcPr>
            <w:tcW w:w="582" w:type="pct"/>
            <w:noWrap/>
            <w:vAlign w:val="center"/>
          </w:tcPr>
          <w:p w14:paraId="5F6F40C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350</w:t>
            </w:r>
          </w:p>
        </w:tc>
        <w:tc>
          <w:tcPr>
            <w:tcW w:w="666" w:type="pct"/>
            <w:noWrap/>
            <w:vAlign w:val="center"/>
          </w:tcPr>
          <w:p w14:paraId="3EA9D04D">
            <w:pPr>
              <w:widowControl/>
              <w:adjustRightInd w:val="0"/>
              <w:snapToGrid w:val="0"/>
              <w:spacing w:line="240" w:lineRule="auto"/>
              <w:ind w:firstLine="0" w:firstLineChars="0"/>
              <w:jc w:val="center"/>
              <w:rPr>
                <w:color w:val="000000"/>
                <w:kern w:val="0"/>
                <w:sz w:val="21"/>
                <w:szCs w:val="18"/>
              </w:rPr>
            </w:pPr>
            <w:r>
              <w:rPr>
                <w:color w:val="000000"/>
                <w:kern w:val="0"/>
                <w:sz w:val="21"/>
                <w:szCs w:val="18"/>
              </w:rPr>
              <w:t>508</w:t>
            </w:r>
          </w:p>
          <w:p w14:paraId="77BF618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（内径）</w:t>
            </w:r>
          </w:p>
        </w:tc>
        <w:tc>
          <w:tcPr>
            <w:tcW w:w="499" w:type="pct"/>
            <w:noWrap/>
            <w:vAlign w:val="center"/>
          </w:tcPr>
          <w:p w14:paraId="26B53F0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7.3×10</w:t>
            </w:r>
            <w:r>
              <w:rPr>
                <w:color w:val="000000"/>
                <w:kern w:val="0"/>
                <w:sz w:val="21"/>
                <w:szCs w:val="18"/>
                <w:vertAlign w:val="superscript"/>
              </w:rPr>
              <w:t>6</w:t>
            </w:r>
          </w:p>
        </w:tc>
        <w:tc>
          <w:tcPr>
            <w:tcW w:w="500" w:type="pct"/>
            <w:noWrap/>
            <w:vAlign w:val="center"/>
          </w:tcPr>
          <w:p w14:paraId="4A733B0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608" w:type="pct"/>
            <w:noWrap/>
            <w:vAlign w:val="center"/>
          </w:tcPr>
          <w:p w14:paraId="4A0B2B61">
            <w:pPr>
              <w:widowControl/>
              <w:adjustRightInd w:val="0"/>
              <w:snapToGrid w:val="0"/>
              <w:spacing w:line="240" w:lineRule="auto"/>
              <w:ind w:firstLine="0" w:firstLineChars="0"/>
              <w:jc w:val="center"/>
              <w:rPr>
                <w:kern w:val="0"/>
                <w:sz w:val="21"/>
                <w:szCs w:val="18"/>
              </w:rPr>
            </w:pPr>
            <w:r>
              <w:rPr>
                <w:kern w:val="0"/>
                <w:sz w:val="21"/>
                <w:szCs w:val="18"/>
              </w:rPr>
              <w:t>-</w:t>
            </w:r>
          </w:p>
        </w:tc>
      </w:tr>
      <w:tr w14:paraId="5983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230" w:type="pct"/>
            <w:vMerge w:val="continue"/>
            <w:noWrap/>
            <w:vAlign w:val="center"/>
          </w:tcPr>
          <w:p w14:paraId="1BE3D143">
            <w:pPr>
              <w:widowControl/>
              <w:adjustRightInd w:val="0"/>
              <w:snapToGrid w:val="0"/>
              <w:spacing w:line="240" w:lineRule="auto"/>
              <w:ind w:firstLine="0" w:firstLineChars="0"/>
              <w:jc w:val="center"/>
              <w:rPr>
                <w:color w:val="000000"/>
                <w:kern w:val="0"/>
                <w:sz w:val="21"/>
                <w:szCs w:val="18"/>
              </w:rPr>
            </w:pPr>
          </w:p>
        </w:tc>
        <w:tc>
          <w:tcPr>
            <w:tcW w:w="1249" w:type="pct"/>
            <w:noWrap/>
            <w:vAlign w:val="center"/>
          </w:tcPr>
          <w:p w14:paraId="7B031B5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Sleipner</w:t>
            </w:r>
          </w:p>
        </w:tc>
        <w:tc>
          <w:tcPr>
            <w:tcW w:w="666" w:type="pct"/>
            <w:noWrap/>
            <w:vAlign w:val="center"/>
          </w:tcPr>
          <w:p w14:paraId="37F5381A">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93-96 (vol%)</w:t>
            </w:r>
          </w:p>
        </w:tc>
        <w:tc>
          <w:tcPr>
            <w:tcW w:w="582" w:type="pct"/>
            <w:noWrap/>
            <w:vAlign w:val="center"/>
          </w:tcPr>
          <w:p w14:paraId="60A67F6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328</w:t>
            </w:r>
          </w:p>
        </w:tc>
        <w:tc>
          <w:tcPr>
            <w:tcW w:w="666" w:type="pct"/>
            <w:noWrap/>
            <w:vAlign w:val="center"/>
          </w:tcPr>
          <w:p w14:paraId="5FE900C3">
            <w:pPr>
              <w:widowControl/>
              <w:adjustRightInd w:val="0"/>
              <w:snapToGrid w:val="0"/>
              <w:spacing w:line="240" w:lineRule="auto"/>
              <w:ind w:firstLine="0" w:firstLineChars="0"/>
              <w:jc w:val="center"/>
              <w:rPr>
                <w:color w:val="000000"/>
                <w:kern w:val="0"/>
                <w:sz w:val="21"/>
                <w:szCs w:val="18"/>
              </w:rPr>
            </w:pPr>
            <w:r>
              <w:rPr>
                <w:color w:val="000000"/>
                <w:kern w:val="0"/>
                <w:sz w:val="21"/>
                <w:szCs w:val="18"/>
              </w:rPr>
              <w:t>-</w:t>
            </w:r>
          </w:p>
        </w:tc>
        <w:tc>
          <w:tcPr>
            <w:tcW w:w="499" w:type="pct"/>
            <w:noWrap/>
            <w:vAlign w:val="center"/>
          </w:tcPr>
          <w:p w14:paraId="245CF89E">
            <w:pPr>
              <w:widowControl/>
              <w:adjustRightInd w:val="0"/>
              <w:snapToGrid w:val="0"/>
              <w:spacing w:line="240" w:lineRule="auto"/>
              <w:ind w:firstLine="0" w:firstLineChars="0"/>
              <w:jc w:val="center"/>
              <w:rPr>
                <w:kern w:val="0"/>
                <w:sz w:val="21"/>
                <w:szCs w:val="18"/>
              </w:rPr>
            </w:pPr>
            <w:r>
              <w:rPr>
                <w:kern w:val="0"/>
                <w:sz w:val="21"/>
                <w:szCs w:val="18"/>
              </w:rPr>
              <w:t>-</w:t>
            </w:r>
          </w:p>
        </w:tc>
        <w:tc>
          <w:tcPr>
            <w:tcW w:w="500" w:type="pct"/>
            <w:noWrap/>
            <w:vAlign w:val="center"/>
          </w:tcPr>
          <w:p w14:paraId="3EE7C8B4">
            <w:pPr>
              <w:widowControl/>
              <w:adjustRightInd w:val="0"/>
              <w:snapToGrid w:val="0"/>
              <w:spacing w:line="240" w:lineRule="auto"/>
              <w:ind w:firstLine="0" w:firstLineChars="0"/>
              <w:jc w:val="center"/>
              <w:rPr>
                <w:kern w:val="0"/>
                <w:sz w:val="21"/>
                <w:szCs w:val="18"/>
              </w:rPr>
            </w:pPr>
            <w:r>
              <w:rPr>
                <w:kern w:val="0"/>
                <w:sz w:val="21"/>
                <w:szCs w:val="18"/>
              </w:rPr>
              <w:t>-</w:t>
            </w:r>
          </w:p>
        </w:tc>
        <w:tc>
          <w:tcPr>
            <w:tcW w:w="608" w:type="pct"/>
            <w:noWrap/>
            <w:vAlign w:val="center"/>
          </w:tcPr>
          <w:p w14:paraId="0A32564F">
            <w:pPr>
              <w:widowControl/>
              <w:adjustRightInd w:val="0"/>
              <w:snapToGrid w:val="0"/>
              <w:spacing w:line="240" w:lineRule="auto"/>
              <w:ind w:firstLine="0" w:firstLineChars="0"/>
              <w:jc w:val="center"/>
              <w:rPr>
                <w:kern w:val="0"/>
                <w:sz w:val="21"/>
                <w:szCs w:val="18"/>
              </w:rPr>
            </w:pPr>
            <w:r>
              <w:rPr>
                <w:kern w:val="0"/>
                <w:sz w:val="21"/>
                <w:szCs w:val="18"/>
              </w:rPr>
              <w:t>-</w:t>
            </w:r>
          </w:p>
        </w:tc>
      </w:tr>
    </w:tbl>
    <w:p w14:paraId="398A76F1">
      <w:pPr>
        <w:ind w:firstLine="480"/>
        <w:jc w:val="left"/>
        <w:rPr>
          <w:szCs w:val="24"/>
        </w:rPr>
      </w:pPr>
      <w:r>
        <w:rPr>
          <w:rFonts w:hint="eastAsia"/>
          <w:szCs w:val="24"/>
        </w:rPr>
        <w:t>（2）国内管道详细指标参数</w:t>
      </w:r>
    </w:p>
    <w:p w14:paraId="789C768A">
      <w:pPr>
        <w:ind w:firstLine="480"/>
        <w:rPr>
          <w:szCs w:val="24"/>
        </w:rPr>
      </w:pPr>
      <w:r>
        <w:rPr>
          <w:szCs w:val="24"/>
        </w:rPr>
        <w:t>国内</w:t>
      </w:r>
      <w:r>
        <w:rPr>
          <w:rFonts w:hint="eastAsia"/>
          <w:szCs w:val="24"/>
        </w:rPr>
        <w:t>二氧化碳</w:t>
      </w:r>
      <w:r>
        <w:rPr>
          <w:szCs w:val="24"/>
        </w:rPr>
        <w:t>输送管道</w:t>
      </w:r>
      <w:r>
        <w:rPr>
          <w:rFonts w:hint="eastAsia"/>
          <w:szCs w:val="24"/>
        </w:rPr>
        <w:t>二氧化碳</w:t>
      </w:r>
      <w:r>
        <w:rPr>
          <w:szCs w:val="24"/>
        </w:rPr>
        <w:t>质量详细指标见表</w:t>
      </w:r>
      <w:r>
        <w:rPr>
          <w:rFonts w:hint="eastAsia"/>
          <w:szCs w:val="24"/>
        </w:rPr>
        <w:t>6</w:t>
      </w:r>
      <w:r>
        <w:rPr>
          <w:szCs w:val="24"/>
        </w:rPr>
        <w:t>所示。中国石化首条</w:t>
      </w:r>
      <w:r>
        <w:rPr>
          <w:rFonts w:hint="eastAsia"/>
          <w:szCs w:val="24"/>
        </w:rPr>
        <w:t>“</w:t>
      </w:r>
      <w:r>
        <w:rPr>
          <w:szCs w:val="24"/>
        </w:rPr>
        <w:t>百公里、百万吨</w:t>
      </w:r>
      <w:r>
        <w:rPr>
          <w:rFonts w:hint="eastAsia"/>
          <w:szCs w:val="24"/>
        </w:rPr>
        <w:t>”</w:t>
      </w:r>
      <w:r>
        <w:rPr>
          <w:szCs w:val="24"/>
        </w:rPr>
        <w:t>二氧化碳长输管道，</w:t>
      </w:r>
      <w:r>
        <w:rPr>
          <w:rFonts w:hint="eastAsia"/>
          <w:szCs w:val="24"/>
        </w:rPr>
        <w:t>二氧化碳纯度为</w:t>
      </w:r>
      <w:r>
        <w:rPr>
          <w:szCs w:val="24"/>
        </w:rPr>
        <w:t>99.2931%。延长油田一期36×10</w:t>
      </w:r>
      <w:r>
        <w:rPr>
          <w:szCs w:val="24"/>
          <w:vertAlign w:val="superscript"/>
        </w:rPr>
        <w:t>4</w:t>
      </w:r>
      <w:r>
        <w:rPr>
          <w:szCs w:val="24"/>
        </w:rPr>
        <w:t>t/a输送管网中，</w:t>
      </w:r>
      <w:r>
        <w:rPr>
          <w:rFonts w:hint="eastAsia"/>
          <w:szCs w:val="24"/>
        </w:rPr>
        <w:t>二氧化碳</w:t>
      </w:r>
      <w:r>
        <w:rPr>
          <w:szCs w:val="24"/>
        </w:rPr>
        <w:t>纯度</w:t>
      </w:r>
      <w:r>
        <w:rPr>
          <w:rFonts w:hint="eastAsia"/>
          <w:szCs w:val="24"/>
        </w:rPr>
        <w:t>为</w:t>
      </w:r>
      <w:r>
        <w:rPr>
          <w:szCs w:val="24"/>
        </w:rPr>
        <w:t>98.8042%。新疆油田超临界</w:t>
      </w:r>
      <w:r>
        <w:rPr>
          <w:rFonts w:hint="eastAsia"/>
          <w:szCs w:val="24"/>
        </w:rPr>
        <w:t>二氧化碳</w:t>
      </w:r>
      <w:r>
        <w:rPr>
          <w:szCs w:val="24"/>
        </w:rPr>
        <w:t>管道示范工程，</w:t>
      </w:r>
      <w:r>
        <w:rPr>
          <w:rFonts w:hint="eastAsia"/>
          <w:szCs w:val="24"/>
        </w:rPr>
        <w:t>二氧化碳</w:t>
      </w:r>
      <w:r>
        <w:rPr>
          <w:szCs w:val="24"/>
        </w:rPr>
        <w:t>纯度</w:t>
      </w:r>
      <w:r>
        <w:rPr>
          <w:rFonts w:hint="eastAsia"/>
          <w:szCs w:val="24"/>
        </w:rPr>
        <w:t>为</w:t>
      </w:r>
      <w:r>
        <w:rPr>
          <w:color w:val="000000"/>
          <w:kern w:val="0"/>
          <w:szCs w:val="24"/>
        </w:rPr>
        <w:t>99.5</w:t>
      </w:r>
      <w:r>
        <w:rPr>
          <w:szCs w:val="24"/>
        </w:rPr>
        <w:t>%。中海油某项目海管气体的</w:t>
      </w:r>
      <w:r>
        <w:rPr>
          <w:rFonts w:hint="eastAsia"/>
          <w:szCs w:val="24"/>
        </w:rPr>
        <w:t>二氧化碳</w:t>
      </w:r>
      <w:r>
        <w:rPr>
          <w:szCs w:val="24"/>
        </w:rPr>
        <w:t>纯度</w:t>
      </w:r>
      <w:r>
        <w:rPr>
          <w:rFonts w:hint="eastAsia"/>
          <w:szCs w:val="24"/>
        </w:rPr>
        <w:t>为</w:t>
      </w:r>
      <w:r>
        <w:rPr>
          <w:color w:val="000000"/>
          <w:kern w:val="0"/>
          <w:szCs w:val="24"/>
        </w:rPr>
        <w:t>97.29%</w:t>
      </w:r>
      <w:r>
        <w:rPr>
          <w:szCs w:val="24"/>
        </w:rPr>
        <w:t>。</w:t>
      </w:r>
      <w:r>
        <w:rPr>
          <w:rFonts w:hint="eastAsia"/>
          <w:szCs w:val="24"/>
        </w:rPr>
        <w:t>中海油</w:t>
      </w:r>
      <w:r>
        <w:rPr>
          <w:szCs w:val="24"/>
        </w:rPr>
        <w:t>针对我国南海东方1-1气田终端</w:t>
      </w:r>
      <w:r>
        <w:rPr>
          <w:rFonts w:hint="eastAsia"/>
          <w:szCs w:val="24"/>
        </w:rPr>
        <w:t>二氧化碳</w:t>
      </w:r>
      <w:r>
        <w:rPr>
          <w:szCs w:val="24"/>
        </w:rPr>
        <w:t>特点，即</w:t>
      </w:r>
      <w:r>
        <w:rPr>
          <w:rFonts w:hint="eastAsia"/>
          <w:szCs w:val="24"/>
        </w:rPr>
        <w:t>二氧化碳</w:t>
      </w:r>
      <w:r>
        <w:rPr>
          <w:szCs w:val="24"/>
        </w:rPr>
        <w:t>纯度</w:t>
      </w:r>
      <w:r>
        <w:rPr>
          <w:rFonts w:hint="eastAsia"/>
          <w:szCs w:val="24"/>
        </w:rPr>
        <w:t>为</w:t>
      </w:r>
      <w:r>
        <w:rPr>
          <w:szCs w:val="24"/>
        </w:rPr>
        <w:t>99.6139%，考虑采用管道输送。国内目前大部分输送管道的</w:t>
      </w:r>
      <w:r>
        <w:rPr>
          <w:rFonts w:hint="eastAsia"/>
          <w:szCs w:val="24"/>
        </w:rPr>
        <w:t>二氧化碳</w:t>
      </w:r>
      <w:r>
        <w:rPr>
          <w:szCs w:val="24"/>
        </w:rPr>
        <w:t>纯度在99%以上。</w:t>
      </w:r>
    </w:p>
    <w:p w14:paraId="0DC5514D">
      <w:pPr>
        <w:ind w:firstLine="480"/>
        <w:jc w:val="center"/>
        <w:rPr>
          <w:szCs w:val="21"/>
        </w:rPr>
      </w:pPr>
      <w:r>
        <w:rPr>
          <w:szCs w:val="21"/>
        </w:rPr>
        <w:t>表</w:t>
      </w:r>
      <w:r>
        <w:rPr>
          <w:rFonts w:hint="eastAsia"/>
          <w:szCs w:val="21"/>
        </w:rPr>
        <w:t>6</w:t>
      </w:r>
      <w:r>
        <w:rPr>
          <w:szCs w:val="21"/>
        </w:rPr>
        <w:t xml:space="preserve"> 国内CO</w:t>
      </w:r>
      <w:r>
        <w:rPr>
          <w:szCs w:val="21"/>
          <w:vertAlign w:val="subscript"/>
        </w:rPr>
        <w:t>2</w:t>
      </w:r>
      <w:r>
        <w:rPr>
          <w:szCs w:val="21"/>
        </w:rPr>
        <w:t>管道气体组成汇总表</w:t>
      </w:r>
      <w:r>
        <w:rPr>
          <w:rFonts w:hint="eastAsia"/>
          <w:szCs w:val="21"/>
        </w:rPr>
        <w:t>（mol%）</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8" w:type="dxa"/>
          <w:left w:w="108" w:type="dxa"/>
          <w:bottom w:w="28" w:type="dxa"/>
          <w:right w:w="108" w:type="dxa"/>
        </w:tblCellMar>
      </w:tblPr>
      <w:tblGrid>
        <w:gridCol w:w="880"/>
        <w:gridCol w:w="1533"/>
        <w:gridCol w:w="1367"/>
        <w:gridCol w:w="1683"/>
        <w:gridCol w:w="899"/>
        <w:gridCol w:w="1255"/>
        <w:gridCol w:w="899"/>
      </w:tblGrid>
      <w:tr w14:paraId="09497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shd w:val="clear" w:color="auto" w:fill="auto"/>
            <w:vAlign w:val="center"/>
          </w:tcPr>
          <w:p w14:paraId="5CFA1F6A">
            <w:pPr>
              <w:pStyle w:val="46"/>
              <w:rPr>
                <w:color w:val="000000"/>
                <w:szCs w:val="18"/>
              </w:rPr>
            </w:pPr>
            <w:r>
              <w:rPr>
                <w:color w:val="000000"/>
                <w:szCs w:val="18"/>
              </w:rPr>
              <w:t>组分</w:t>
            </w:r>
          </w:p>
        </w:tc>
        <w:tc>
          <w:tcPr>
            <w:tcW w:w="948" w:type="pct"/>
            <w:shd w:val="clear" w:color="auto" w:fill="auto"/>
            <w:vAlign w:val="center"/>
          </w:tcPr>
          <w:p w14:paraId="55C71BEE">
            <w:pPr>
              <w:pStyle w:val="46"/>
              <w:rPr>
                <w:color w:val="000000"/>
                <w:szCs w:val="18"/>
              </w:rPr>
            </w:pPr>
            <w:r>
              <w:rPr>
                <w:color w:val="000000"/>
                <w:szCs w:val="18"/>
              </w:rPr>
              <w:t>齐鲁石化-胜利油田百万吨级CO</w:t>
            </w:r>
            <w:r>
              <w:rPr>
                <w:color w:val="000000"/>
                <w:szCs w:val="18"/>
                <w:vertAlign w:val="subscript"/>
              </w:rPr>
              <w:t>2</w:t>
            </w:r>
            <w:r>
              <w:rPr>
                <w:color w:val="000000"/>
                <w:szCs w:val="18"/>
              </w:rPr>
              <w:t>管道</w:t>
            </w:r>
          </w:p>
        </w:tc>
        <w:tc>
          <w:tcPr>
            <w:tcW w:w="851" w:type="pct"/>
            <w:shd w:val="clear" w:color="auto" w:fill="auto"/>
            <w:vAlign w:val="center"/>
          </w:tcPr>
          <w:p w14:paraId="3660C88C">
            <w:pPr>
              <w:pStyle w:val="46"/>
              <w:rPr>
                <w:color w:val="000000"/>
                <w:szCs w:val="18"/>
              </w:rPr>
            </w:pPr>
            <w:r>
              <w:rPr>
                <w:color w:val="000000"/>
                <w:szCs w:val="18"/>
              </w:rPr>
              <w:t>延长油田超临界含杂质CO</w:t>
            </w:r>
            <w:r>
              <w:rPr>
                <w:color w:val="000000"/>
                <w:szCs w:val="18"/>
                <w:vertAlign w:val="subscript"/>
              </w:rPr>
              <w:t>2</w:t>
            </w:r>
            <w:r>
              <w:rPr>
                <w:color w:val="000000"/>
                <w:szCs w:val="18"/>
              </w:rPr>
              <w:t>管网</w:t>
            </w:r>
          </w:p>
        </w:tc>
        <w:tc>
          <w:tcPr>
            <w:tcW w:w="1036" w:type="pct"/>
            <w:shd w:val="clear" w:color="auto" w:fill="auto"/>
            <w:vAlign w:val="center"/>
          </w:tcPr>
          <w:p w14:paraId="7616A9FA">
            <w:pPr>
              <w:pStyle w:val="46"/>
              <w:rPr>
                <w:color w:val="000000"/>
                <w:szCs w:val="18"/>
              </w:rPr>
            </w:pPr>
            <w:r>
              <w:rPr>
                <w:color w:val="000000"/>
                <w:szCs w:val="18"/>
              </w:rPr>
              <w:t>新疆油田百万吨级超临界CO</w:t>
            </w:r>
            <w:r>
              <w:rPr>
                <w:color w:val="000000"/>
                <w:szCs w:val="18"/>
                <w:vertAlign w:val="subscript"/>
              </w:rPr>
              <w:t>2</w:t>
            </w:r>
            <w:r>
              <w:rPr>
                <w:color w:val="000000"/>
                <w:szCs w:val="18"/>
              </w:rPr>
              <w:t>管道示范工程</w:t>
            </w:r>
          </w:p>
        </w:tc>
        <w:tc>
          <w:tcPr>
            <w:tcW w:w="486" w:type="pct"/>
            <w:shd w:val="clear" w:color="auto" w:fill="auto"/>
            <w:vAlign w:val="center"/>
          </w:tcPr>
          <w:p w14:paraId="490A1E96">
            <w:pPr>
              <w:pStyle w:val="46"/>
              <w:rPr>
                <w:color w:val="000000"/>
                <w:szCs w:val="18"/>
              </w:rPr>
            </w:pPr>
            <w:r>
              <w:rPr>
                <w:color w:val="000000"/>
                <w:szCs w:val="18"/>
              </w:rPr>
              <w:t>某油田管道</w:t>
            </w:r>
          </w:p>
        </w:tc>
        <w:tc>
          <w:tcPr>
            <w:tcW w:w="773" w:type="pct"/>
            <w:shd w:val="clear" w:color="auto" w:fill="auto"/>
            <w:vAlign w:val="center"/>
          </w:tcPr>
          <w:p w14:paraId="090E5BC6">
            <w:pPr>
              <w:pStyle w:val="46"/>
              <w:rPr>
                <w:color w:val="000000"/>
                <w:szCs w:val="18"/>
              </w:rPr>
            </w:pPr>
            <w:r>
              <w:rPr>
                <w:color w:val="000000"/>
                <w:szCs w:val="18"/>
              </w:rPr>
              <w:t>中海油某项目海管气体</w:t>
            </w:r>
          </w:p>
        </w:tc>
        <w:tc>
          <w:tcPr>
            <w:tcW w:w="500" w:type="pct"/>
            <w:shd w:val="clear" w:color="auto" w:fill="auto"/>
            <w:vAlign w:val="center"/>
          </w:tcPr>
          <w:p w14:paraId="324E46E3">
            <w:pPr>
              <w:pStyle w:val="46"/>
              <w:rPr>
                <w:color w:val="000000"/>
                <w:szCs w:val="18"/>
              </w:rPr>
            </w:pPr>
            <w:r>
              <w:rPr>
                <w:color w:val="000000"/>
                <w:szCs w:val="18"/>
              </w:rPr>
              <w:t>东方1-1气田</w:t>
            </w:r>
          </w:p>
        </w:tc>
      </w:tr>
      <w:tr w14:paraId="48804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293F38BE">
            <w:pPr>
              <w:pStyle w:val="46"/>
              <w:rPr>
                <w:color w:val="000000"/>
                <w:szCs w:val="18"/>
              </w:rPr>
            </w:pPr>
            <w:r>
              <w:rPr>
                <w:color w:val="000000"/>
                <w:szCs w:val="18"/>
              </w:rPr>
              <w:t>CO</w:t>
            </w:r>
            <w:r>
              <w:rPr>
                <w:color w:val="000000"/>
                <w:szCs w:val="18"/>
                <w:vertAlign w:val="subscript"/>
              </w:rPr>
              <w:t>2</w:t>
            </w:r>
          </w:p>
        </w:tc>
        <w:tc>
          <w:tcPr>
            <w:tcW w:w="948" w:type="pct"/>
            <w:vAlign w:val="center"/>
          </w:tcPr>
          <w:p w14:paraId="568B4AB3">
            <w:pPr>
              <w:pStyle w:val="46"/>
              <w:rPr>
                <w:color w:val="000000"/>
                <w:szCs w:val="18"/>
              </w:rPr>
            </w:pPr>
            <w:r>
              <w:rPr>
                <w:color w:val="000000"/>
                <w:szCs w:val="18"/>
              </w:rPr>
              <w:t>99.2931</w:t>
            </w:r>
          </w:p>
        </w:tc>
        <w:tc>
          <w:tcPr>
            <w:tcW w:w="851" w:type="pct"/>
            <w:vAlign w:val="center"/>
          </w:tcPr>
          <w:p w14:paraId="0400299F">
            <w:pPr>
              <w:pStyle w:val="46"/>
              <w:rPr>
                <w:color w:val="000000"/>
                <w:szCs w:val="18"/>
              </w:rPr>
            </w:pPr>
            <w:r>
              <w:rPr>
                <w:color w:val="000000"/>
                <w:szCs w:val="18"/>
              </w:rPr>
              <w:t>98.8042</w:t>
            </w:r>
          </w:p>
        </w:tc>
        <w:tc>
          <w:tcPr>
            <w:tcW w:w="1036" w:type="pct"/>
            <w:vAlign w:val="center"/>
          </w:tcPr>
          <w:p w14:paraId="5F41D5A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99.5</w:t>
            </w:r>
          </w:p>
        </w:tc>
        <w:tc>
          <w:tcPr>
            <w:tcW w:w="486" w:type="pct"/>
            <w:vAlign w:val="center"/>
          </w:tcPr>
          <w:p w14:paraId="7870FF2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98.6702</w:t>
            </w:r>
          </w:p>
        </w:tc>
        <w:tc>
          <w:tcPr>
            <w:tcW w:w="773" w:type="pct"/>
            <w:vAlign w:val="center"/>
          </w:tcPr>
          <w:p w14:paraId="3418448A">
            <w:pPr>
              <w:pStyle w:val="46"/>
              <w:rPr>
                <w:color w:val="000000"/>
                <w:szCs w:val="18"/>
              </w:rPr>
            </w:pPr>
            <w:r>
              <w:rPr>
                <w:color w:val="000000"/>
                <w:szCs w:val="18"/>
              </w:rPr>
              <w:t>97.29</w:t>
            </w:r>
          </w:p>
        </w:tc>
        <w:tc>
          <w:tcPr>
            <w:tcW w:w="500" w:type="pct"/>
            <w:vAlign w:val="center"/>
          </w:tcPr>
          <w:p w14:paraId="786535EA">
            <w:pPr>
              <w:pStyle w:val="46"/>
              <w:rPr>
                <w:color w:val="000000"/>
                <w:szCs w:val="18"/>
              </w:rPr>
            </w:pPr>
            <w:r>
              <w:rPr>
                <w:color w:val="000000"/>
                <w:szCs w:val="18"/>
              </w:rPr>
              <w:t>99.6139</w:t>
            </w:r>
          </w:p>
        </w:tc>
      </w:tr>
      <w:tr w14:paraId="44938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A63BA4E">
            <w:pPr>
              <w:pStyle w:val="46"/>
              <w:rPr>
                <w:color w:val="000000"/>
                <w:szCs w:val="18"/>
              </w:rPr>
            </w:pPr>
            <w:r>
              <w:rPr>
                <w:color w:val="000000"/>
                <w:szCs w:val="18"/>
              </w:rPr>
              <w:t>CO</w:t>
            </w:r>
          </w:p>
        </w:tc>
        <w:tc>
          <w:tcPr>
            <w:tcW w:w="948" w:type="pct"/>
            <w:vAlign w:val="center"/>
          </w:tcPr>
          <w:p w14:paraId="4200374E">
            <w:pPr>
              <w:pStyle w:val="46"/>
              <w:rPr>
                <w:color w:val="000000"/>
                <w:szCs w:val="18"/>
              </w:rPr>
            </w:pPr>
            <w:r>
              <w:rPr>
                <w:color w:val="000000"/>
                <w:szCs w:val="18"/>
              </w:rPr>
              <w:t>0.0363</w:t>
            </w:r>
          </w:p>
        </w:tc>
        <w:tc>
          <w:tcPr>
            <w:tcW w:w="851" w:type="pct"/>
            <w:vAlign w:val="center"/>
          </w:tcPr>
          <w:p w14:paraId="4034478A">
            <w:pPr>
              <w:pStyle w:val="46"/>
              <w:rPr>
                <w:color w:val="000000"/>
                <w:szCs w:val="18"/>
              </w:rPr>
            </w:pPr>
            <w:r>
              <w:rPr>
                <w:color w:val="000000"/>
                <w:szCs w:val="18"/>
              </w:rPr>
              <w:t>0.7675</w:t>
            </w:r>
          </w:p>
        </w:tc>
        <w:tc>
          <w:tcPr>
            <w:tcW w:w="1036" w:type="pct"/>
            <w:vAlign w:val="center"/>
          </w:tcPr>
          <w:p w14:paraId="6743AAA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148A63F9">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773" w:type="pct"/>
            <w:vAlign w:val="center"/>
          </w:tcPr>
          <w:p w14:paraId="61F7196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500" w:type="pct"/>
            <w:vAlign w:val="center"/>
          </w:tcPr>
          <w:p w14:paraId="1FD394B8">
            <w:pPr>
              <w:widowControl/>
              <w:adjustRightInd w:val="0"/>
              <w:snapToGrid w:val="0"/>
              <w:spacing w:line="240" w:lineRule="auto"/>
              <w:ind w:firstLine="0" w:firstLineChars="0"/>
              <w:jc w:val="center"/>
              <w:rPr>
                <w:color w:val="000000"/>
                <w:kern w:val="0"/>
                <w:sz w:val="21"/>
                <w:szCs w:val="18"/>
              </w:rPr>
            </w:pPr>
          </w:p>
        </w:tc>
      </w:tr>
      <w:tr w14:paraId="76961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33A7243">
            <w:pPr>
              <w:pStyle w:val="46"/>
              <w:rPr>
                <w:color w:val="000000"/>
                <w:szCs w:val="18"/>
              </w:rPr>
            </w:pPr>
            <w:r>
              <w:rPr>
                <w:color w:val="000000"/>
                <w:szCs w:val="18"/>
              </w:rPr>
              <w:t>H</w:t>
            </w:r>
            <w:r>
              <w:rPr>
                <w:color w:val="000000"/>
                <w:szCs w:val="18"/>
                <w:vertAlign w:val="subscript"/>
              </w:rPr>
              <w:t>2</w:t>
            </w:r>
          </w:p>
        </w:tc>
        <w:tc>
          <w:tcPr>
            <w:tcW w:w="948" w:type="pct"/>
            <w:vAlign w:val="center"/>
          </w:tcPr>
          <w:p w14:paraId="6354B6B0">
            <w:pPr>
              <w:pStyle w:val="46"/>
              <w:rPr>
                <w:color w:val="000000"/>
                <w:szCs w:val="18"/>
              </w:rPr>
            </w:pPr>
            <w:r>
              <w:rPr>
                <w:color w:val="000000"/>
                <w:szCs w:val="18"/>
              </w:rPr>
              <w:t>0.012</w:t>
            </w:r>
          </w:p>
        </w:tc>
        <w:tc>
          <w:tcPr>
            <w:tcW w:w="851" w:type="pct"/>
            <w:vAlign w:val="center"/>
          </w:tcPr>
          <w:p w14:paraId="3CD9A883">
            <w:pPr>
              <w:pStyle w:val="46"/>
              <w:rPr>
                <w:color w:val="000000"/>
                <w:szCs w:val="18"/>
              </w:rPr>
            </w:pPr>
            <w:r>
              <w:rPr>
                <w:color w:val="000000"/>
                <w:szCs w:val="18"/>
              </w:rPr>
              <w:t>0.0435</w:t>
            </w:r>
          </w:p>
        </w:tc>
        <w:tc>
          <w:tcPr>
            <w:tcW w:w="1036" w:type="pct"/>
            <w:vAlign w:val="center"/>
          </w:tcPr>
          <w:p w14:paraId="11560E0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50D0159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773" w:type="pct"/>
            <w:vAlign w:val="center"/>
          </w:tcPr>
          <w:p w14:paraId="6B97503C">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500" w:type="pct"/>
            <w:vAlign w:val="center"/>
          </w:tcPr>
          <w:p w14:paraId="635657E4">
            <w:pPr>
              <w:widowControl/>
              <w:adjustRightInd w:val="0"/>
              <w:snapToGrid w:val="0"/>
              <w:spacing w:line="240" w:lineRule="auto"/>
              <w:ind w:firstLine="0" w:firstLineChars="0"/>
              <w:jc w:val="center"/>
              <w:rPr>
                <w:color w:val="000000"/>
                <w:kern w:val="0"/>
                <w:sz w:val="21"/>
                <w:szCs w:val="18"/>
              </w:rPr>
            </w:pPr>
          </w:p>
        </w:tc>
      </w:tr>
      <w:tr w14:paraId="27FA3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158DE991">
            <w:pPr>
              <w:pStyle w:val="46"/>
              <w:rPr>
                <w:color w:val="000000"/>
                <w:szCs w:val="18"/>
              </w:rPr>
            </w:pPr>
            <w:r>
              <w:rPr>
                <w:color w:val="000000"/>
                <w:szCs w:val="18"/>
              </w:rPr>
              <w:t>N</w:t>
            </w:r>
            <w:r>
              <w:rPr>
                <w:color w:val="000000"/>
                <w:szCs w:val="18"/>
                <w:vertAlign w:val="subscript"/>
              </w:rPr>
              <w:t>2</w:t>
            </w:r>
          </w:p>
        </w:tc>
        <w:tc>
          <w:tcPr>
            <w:tcW w:w="948" w:type="pct"/>
            <w:vAlign w:val="center"/>
          </w:tcPr>
          <w:p w14:paraId="476BA9B7">
            <w:pPr>
              <w:pStyle w:val="46"/>
              <w:rPr>
                <w:color w:val="000000"/>
                <w:szCs w:val="18"/>
              </w:rPr>
            </w:pPr>
            <w:r>
              <w:rPr>
                <w:color w:val="000000"/>
                <w:szCs w:val="18"/>
              </w:rPr>
              <w:t>0.6289</w:t>
            </w:r>
          </w:p>
        </w:tc>
        <w:tc>
          <w:tcPr>
            <w:tcW w:w="851" w:type="pct"/>
            <w:vAlign w:val="center"/>
          </w:tcPr>
          <w:p w14:paraId="51BFDE78">
            <w:pPr>
              <w:pStyle w:val="46"/>
              <w:rPr>
                <w:color w:val="000000"/>
                <w:szCs w:val="18"/>
              </w:rPr>
            </w:pPr>
            <w:r>
              <w:rPr>
                <w:color w:val="000000"/>
                <w:szCs w:val="18"/>
              </w:rPr>
              <w:t>0.3305</w:t>
            </w:r>
          </w:p>
        </w:tc>
        <w:tc>
          <w:tcPr>
            <w:tcW w:w="1036" w:type="pct"/>
            <w:vAlign w:val="center"/>
          </w:tcPr>
          <w:p w14:paraId="4396E91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0.18</w:t>
            </w:r>
          </w:p>
        </w:tc>
        <w:tc>
          <w:tcPr>
            <w:tcW w:w="486" w:type="pct"/>
            <w:vAlign w:val="center"/>
          </w:tcPr>
          <w:p w14:paraId="37A4970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0.5354</w:t>
            </w:r>
          </w:p>
        </w:tc>
        <w:tc>
          <w:tcPr>
            <w:tcW w:w="773" w:type="pct"/>
            <w:vAlign w:val="center"/>
          </w:tcPr>
          <w:p w14:paraId="5499987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1.35</w:t>
            </w:r>
          </w:p>
        </w:tc>
        <w:tc>
          <w:tcPr>
            <w:tcW w:w="500" w:type="pct"/>
            <w:vAlign w:val="center"/>
          </w:tcPr>
          <w:p w14:paraId="081FA56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0.0777</w:t>
            </w:r>
          </w:p>
        </w:tc>
      </w:tr>
      <w:tr w14:paraId="2CA22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3596B68">
            <w:pPr>
              <w:pStyle w:val="46"/>
              <w:rPr>
                <w:color w:val="000000"/>
                <w:szCs w:val="18"/>
              </w:rPr>
            </w:pPr>
            <w:r>
              <w:rPr>
                <w:color w:val="000000"/>
                <w:szCs w:val="18"/>
              </w:rPr>
              <w:t>CH</w:t>
            </w:r>
            <w:r>
              <w:rPr>
                <w:color w:val="000000"/>
                <w:szCs w:val="18"/>
                <w:vertAlign w:val="subscript"/>
              </w:rPr>
              <w:t>4</w:t>
            </w:r>
          </w:p>
        </w:tc>
        <w:tc>
          <w:tcPr>
            <w:tcW w:w="948" w:type="pct"/>
            <w:vAlign w:val="center"/>
          </w:tcPr>
          <w:p w14:paraId="64EB6459">
            <w:pPr>
              <w:pStyle w:val="46"/>
              <w:rPr>
                <w:color w:val="000000"/>
                <w:szCs w:val="18"/>
              </w:rPr>
            </w:pPr>
            <w:r>
              <w:rPr>
                <w:color w:val="000000"/>
                <w:szCs w:val="18"/>
              </w:rPr>
              <w:t>0.0003</w:t>
            </w:r>
          </w:p>
        </w:tc>
        <w:tc>
          <w:tcPr>
            <w:tcW w:w="851" w:type="pct"/>
            <w:vAlign w:val="center"/>
          </w:tcPr>
          <w:p w14:paraId="79D702F3">
            <w:pPr>
              <w:pStyle w:val="46"/>
              <w:rPr>
                <w:color w:val="000000"/>
                <w:szCs w:val="18"/>
              </w:rPr>
            </w:pPr>
            <w:r>
              <w:rPr>
                <w:color w:val="000000"/>
                <w:szCs w:val="18"/>
              </w:rPr>
              <w:t>0.0135</w:t>
            </w:r>
          </w:p>
        </w:tc>
        <w:tc>
          <w:tcPr>
            <w:tcW w:w="1036" w:type="pct"/>
            <w:vAlign w:val="center"/>
          </w:tcPr>
          <w:p w14:paraId="1BBD1B5D">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0.15</w:t>
            </w:r>
          </w:p>
        </w:tc>
        <w:tc>
          <w:tcPr>
            <w:tcW w:w="486" w:type="pct"/>
            <w:vAlign w:val="center"/>
          </w:tcPr>
          <w:p w14:paraId="4984CFD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0.08</w:t>
            </w:r>
          </w:p>
        </w:tc>
        <w:tc>
          <w:tcPr>
            <w:tcW w:w="773" w:type="pct"/>
            <w:vAlign w:val="center"/>
          </w:tcPr>
          <w:p w14:paraId="160C81EB">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0.36</w:t>
            </w:r>
          </w:p>
        </w:tc>
        <w:tc>
          <w:tcPr>
            <w:tcW w:w="500" w:type="pct"/>
            <w:vAlign w:val="center"/>
          </w:tcPr>
          <w:p w14:paraId="594A9F64">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0.3017</w:t>
            </w:r>
          </w:p>
        </w:tc>
      </w:tr>
      <w:tr w14:paraId="60114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5ECF1D22">
            <w:pPr>
              <w:pStyle w:val="46"/>
              <w:rPr>
                <w:color w:val="000000"/>
                <w:szCs w:val="18"/>
              </w:rPr>
            </w:pPr>
            <w:r>
              <w:rPr>
                <w:color w:val="000000"/>
                <w:szCs w:val="18"/>
              </w:rPr>
              <w:t>Ar</w:t>
            </w:r>
          </w:p>
        </w:tc>
        <w:tc>
          <w:tcPr>
            <w:tcW w:w="948" w:type="pct"/>
            <w:vAlign w:val="center"/>
          </w:tcPr>
          <w:p w14:paraId="2C89C485">
            <w:pPr>
              <w:pStyle w:val="46"/>
              <w:rPr>
                <w:color w:val="000000"/>
                <w:szCs w:val="18"/>
              </w:rPr>
            </w:pPr>
            <w:r>
              <w:rPr>
                <w:color w:val="000000"/>
                <w:szCs w:val="18"/>
              </w:rPr>
              <w:t>0.0095</w:t>
            </w:r>
          </w:p>
        </w:tc>
        <w:tc>
          <w:tcPr>
            <w:tcW w:w="851" w:type="pct"/>
            <w:vAlign w:val="center"/>
          </w:tcPr>
          <w:p w14:paraId="1864D2D2">
            <w:pPr>
              <w:pStyle w:val="46"/>
              <w:rPr>
                <w:color w:val="000000"/>
                <w:szCs w:val="18"/>
              </w:rPr>
            </w:pPr>
            <w:r>
              <w:rPr>
                <w:color w:val="000000"/>
                <w:szCs w:val="18"/>
              </w:rPr>
              <w:t>0.0033</w:t>
            </w:r>
          </w:p>
        </w:tc>
        <w:tc>
          <w:tcPr>
            <w:tcW w:w="1036" w:type="pct"/>
            <w:vAlign w:val="center"/>
          </w:tcPr>
          <w:p w14:paraId="7AB6A52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c>
          <w:tcPr>
            <w:tcW w:w="486" w:type="pct"/>
            <w:vAlign w:val="center"/>
          </w:tcPr>
          <w:p w14:paraId="4E2BB3A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0.0226</w:t>
            </w:r>
          </w:p>
        </w:tc>
        <w:tc>
          <w:tcPr>
            <w:tcW w:w="773" w:type="pct"/>
            <w:vAlign w:val="center"/>
          </w:tcPr>
          <w:p w14:paraId="62A9A33E">
            <w:pPr>
              <w:widowControl/>
              <w:adjustRightInd w:val="0"/>
              <w:snapToGrid w:val="0"/>
              <w:spacing w:line="240" w:lineRule="auto"/>
              <w:ind w:firstLine="0" w:firstLineChars="0"/>
              <w:jc w:val="center"/>
              <w:rPr>
                <w:color w:val="000000"/>
                <w:kern w:val="0"/>
                <w:sz w:val="21"/>
                <w:szCs w:val="18"/>
              </w:rPr>
            </w:pPr>
          </w:p>
        </w:tc>
        <w:tc>
          <w:tcPr>
            <w:tcW w:w="500" w:type="pct"/>
            <w:vAlign w:val="center"/>
          </w:tcPr>
          <w:p w14:paraId="638347A4">
            <w:pPr>
              <w:widowControl/>
              <w:adjustRightInd w:val="0"/>
              <w:snapToGrid w:val="0"/>
              <w:spacing w:line="240" w:lineRule="auto"/>
              <w:ind w:firstLine="0" w:firstLineChars="0"/>
              <w:jc w:val="center"/>
              <w:rPr>
                <w:color w:val="000000"/>
                <w:kern w:val="0"/>
                <w:sz w:val="21"/>
                <w:szCs w:val="18"/>
              </w:rPr>
            </w:pPr>
          </w:p>
        </w:tc>
      </w:tr>
      <w:tr w14:paraId="04A4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28BA9AA5">
            <w:pPr>
              <w:pStyle w:val="46"/>
              <w:rPr>
                <w:color w:val="000000"/>
                <w:szCs w:val="18"/>
              </w:rPr>
            </w:pPr>
            <w:r>
              <w:rPr>
                <w:color w:val="000000"/>
                <w:szCs w:val="18"/>
              </w:rPr>
              <w:t>CH</w:t>
            </w:r>
            <w:r>
              <w:rPr>
                <w:color w:val="000000"/>
                <w:szCs w:val="18"/>
                <w:vertAlign w:val="subscript"/>
              </w:rPr>
              <w:t>3</w:t>
            </w:r>
            <w:r>
              <w:rPr>
                <w:color w:val="000000"/>
                <w:szCs w:val="18"/>
              </w:rPr>
              <w:t>OH</w:t>
            </w:r>
          </w:p>
        </w:tc>
        <w:tc>
          <w:tcPr>
            <w:tcW w:w="948" w:type="pct"/>
            <w:vAlign w:val="center"/>
          </w:tcPr>
          <w:p w14:paraId="09442649">
            <w:pPr>
              <w:pStyle w:val="46"/>
              <w:rPr>
                <w:color w:val="000000"/>
                <w:szCs w:val="18"/>
              </w:rPr>
            </w:pPr>
            <w:r>
              <w:rPr>
                <w:color w:val="000000"/>
                <w:szCs w:val="18"/>
              </w:rPr>
              <w:t>0.0191</w:t>
            </w:r>
          </w:p>
        </w:tc>
        <w:tc>
          <w:tcPr>
            <w:tcW w:w="851" w:type="pct"/>
            <w:vAlign w:val="center"/>
          </w:tcPr>
          <w:p w14:paraId="7CF6064B">
            <w:pPr>
              <w:pStyle w:val="46"/>
              <w:rPr>
                <w:color w:val="000000"/>
                <w:szCs w:val="18"/>
              </w:rPr>
            </w:pPr>
            <w:r>
              <w:rPr>
                <w:color w:val="000000"/>
                <w:szCs w:val="18"/>
              </w:rPr>
              <w:t>0.0053</w:t>
            </w:r>
          </w:p>
        </w:tc>
        <w:tc>
          <w:tcPr>
            <w:tcW w:w="1036" w:type="pct"/>
            <w:vAlign w:val="center"/>
          </w:tcPr>
          <w:p w14:paraId="62BEB4E2">
            <w:pPr>
              <w:pStyle w:val="46"/>
              <w:rPr>
                <w:color w:val="000000"/>
                <w:szCs w:val="18"/>
              </w:rPr>
            </w:pPr>
          </w:p>
        </w:tc>
        <w:tc>
          <w:tcPr>
            <w:tcW w:w="486" w:type="pct"/>
            <w:vAlign w:val="center"/>
          </w:tcPr>
          <w:p w14:paraId="0D4CA358">
            <w:pPr>
              <w:pStyle w:val="46"/>
              <w:rPr>
                <w:color w:val="000000"/>
                <w:szCs w:val="18"/>
              </w:rPr>
            </w:pPr>
          </w:p>
        </w:tc>
        <w:tc>
          <w:tcPr>
            <w:tcW w:w="773" w:type="pct"/>
            <w:vAlign w:val="center"/>
          </w:tcPr>
          <w:p w14:paraId="5045BF19">
            <w:pPr>
              <w:pStyle w:val="46"/>
              <w:rPr>
                <w:color w:val="000000"/>
                <w:szCs w:val="18"/>
              </w:rPr>
            </w:pPr>
          </w:p>
        </w:tc>
        <w:tc>
          <w:tcPr>
            <w:tcW w:w="500" w:type="pct"/>
            <w:vAlign w:val="center"/>
          </w:tcPr>
          <w:p w14:paraId="0900B016">
            <w:pPr>
              <w:pStyle w:val="46"/>
              <w:rPr>
                <w:color w:val="000000"/>
                <w:szCs w:val="18"/>
              </w:rPr>
            </w:pPr>
          </w:p>
        </w:tc>
      </w:tr>
      <w:tr w14:paraId="26CD8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384042A9">
            <w:pPr>
              <w:pStyle w:val="46"/>
              <w:rPr>
                <w:color w:val="000000"/>
                <w:szCs w:val="18"/>
              </w:rPr>
            </w:pPr>
            <w:r>
              <w:rPr>
                <w:color w:val="000000"/>
                <w:szCs w:val="18"/>
              </w:rPr>
              <w:t>O</w:t>
            </w:r>
            <w:r>
              <w:rPr>
                <w:color w:val="000000"/>
                <w:szCs w:val="18"/>
                <w:vertAlign w:val="subscript"/>
              </w:rPr>
              <w:t>2</w:t>
            </w:r>
          </w:p>
        </w:tc>
        <w:tc>
          <w:tcPr>
            <w:tcW w:w="948" w:type="pct"/>
            <w:vAlign w:val="center"/>
          </w:tcPr>
          <w:p w14:paraId="6F4AF05C">
            <w:pPr>
              <w:pStyle w:val="46"/>
              <w:rPr>
                <w:color w:val="000000"/>
                <w:szCs w:val="18"/>
              </w:rPr>
            </w:pPr>
            <w:r>
              <w:rPr>
                <w:color w:val="000000"/>
                <w:szCs w:val="18"/>
              </w:rPr>
              <w:t>0</w:t>
            </w:r>
          </w:p>
        </w:tc>
        <w:tc>
          <w:tcPr>
            <w:tcW w:w="851" w:type="pct"/>
            <w:vAlign w:val="center"/>
          </w:tcPr>
          <w:p w14:paraId="11CBAD01">
            <w:pPr>
              <w:pStyle w:val="46"/>
              <w:rPr>
                <w:color w:val="000000"/>
                <w:szCs w:val="18"/>
              </w:rPr>
            </w:pPr>
            <w:r>
              <w:rPr>
                <w:color w:val="000000"/>
                <w:szCs w:val="18"/>
              </w:rPr>
              <w:t>0</w:t>
            </w:r>
          </w:p>
        </w:tc>
        <w:tc>
          <w:tcPr>
            <w:tcW w:w="1036" w:type="pct"/>
            <w:vAlign w:val="center"/>
          </w:tcPr>
          <w:p w14:paraId="52ED926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5C6F82CD">
            <w:pPr>
              <w:pStyle w:val="46"/>
              <w:rPr>
                <w:color w:val="000000"/>
                <w:szCs w:val="18"/>
              </w:rPr>
            </w:pPr>
            <w:r>
              <w:rPr>
                <w:color w:val="000000"/>
                <w:szCs w:val="18"/>
              </w:rPr>
              <w:t>0</w:t>
            </w:r>
          </w:p>
        </w:tc>
        <w:tc>
          <w:tcPr>
            <w:tcW w:w="773" w:type="pct"/>
            <w:vAlign w:val="center"/>
          </w:tcPr>
          <w:p w14:paraId="578761FD">
            <w:pPr>
              <w:pStyle w:val="46"/>
              <w:rPr>
                <w:color w:val="000000"/>
                <w:szCs w:val="18"/>
              </w:rPr>
            </w:pPr>
            <w:r>
              <w:rPr>
                <w:color w:val="000000"/>
                <w:szCs w:val="18"/>
              </w:rPr>
              <w:t>0.84</w:t>
            </w:r>
          </w:p>
        </w:tc>
        <w:tc>
          <w:tcPr>
            <w:tcW w:w="500" w:type="pct"/>
            <w:vAlign w:val="center"/>
          </w:tcPr>
          <w:p w14:paraId="5E91BC5C">
            <w:pPr>
              <w:pStyle w:val="46"/>
              <w:rPr>
                <w:color w:val="000000"/>
                <w:szCs w:val="18"/>
              </w:rPr>
            </w:pPr>
          </w:p>
        </w:tc>
      </w:tr>
      <w:tr w14:paraId="0968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59DB9D50">
            <w:pPr>
              <w:pStyle w:val="46"/>
              <w:rPr>
                <w:color w:val="000000"/>
                <w:szCs w:val="18"/>
              </w:rPr>
            </w:pPr>
            <w:r>
              <w:rPr>
                <w:color w:val="000000"/>
                <w:szCs w:val="18"/>
              </w:rPr>
              <w:t>H</w:t>
            </w:r>
            <w:r>
              <w:rPr>
                <w:color w:val="000000"/>
                <w:szCs w:val="18"/>
                <w:vertAlign w:val="subscript"/>
              </w:rPr>
              <w:t>2</w:t>
            </w:r>
            <w:r>
              <w:rPr>
                <w:color w:val="000000"/>
                <w:szCs w:val="18"/>
              </w:rPr>
              <w:t>S</w:t>
            </w:r>
          </w:p>
        </w:tc>
        <w:tc>
          <w:tcPr>
            <w:tcW w:w="948" w:type="pct"/>
            <w:vAlign w:val="center"/>
          </w:tcPr>
          <w:p w14:paraId="4C885780">
            <w:pPr>
              <w:pStyle w:val="46"/>
              <w:rPr>
                <w:color w:val="000000"/>
                <w:szCs w:val="18"/>
              </w:rPr>
            </w:pPr>
            <w:r>
              <w:rPr>
                <w:color w:val="000000"/>
                <w:szCs w:val="18"/>
              </w:rPr>
              <w:t>0.0004</w:t>
            </w:r>
          </w:p>
        </w:tc>
        <w:tc>
          <w:tcPr>
            <w:tcW w:w="851" w:type="pct"/>
            <w:vAlign w:val="center"/>
          </w:tcPr>
          <w:p w14:paraId="2F344C4F">
            <w:pPr>
              <w:pStyle w:val="46"/>
              <w:rPr>
                <w:color w:val="000000"/>
                <w:szCs w:val="18"/>
              </w:rPr>
            </w:pPr>
            <w:r>
              <w:rPr>
                <w:color w:val="000000"/>
                <w:szCs w:val="18"/>
              </w:rPr>
              <w:t>0.0109</w:t>
            </w:r>
          </w:p>
        </w:tc>
        <w:tc>
          <w:tcPr>
            <w:tcW w:w="1036" w:type="pct"/>
            <w:vAlign w:val="center"/>
          </w:tcPr>
          <w:p w14:paraId="5497EFC0">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w:t>
            </w:r>
          </w:p>
        </w:tc>
        <w:tc>
          <w:tcPr>
            <w:tcW w:w="486" w:type="pct"/>
            <w:vAlign w:val="center"/>
          </w:tcPr>
          <w:p w14:paraId="6296AFCA">
            <w:pPr>
              <w:pStyle w:val="46"/>
              <w:rPr>
                <w:color w:val="000000"/>
                <w:szCs w:val="18"/>
              </w:rPr>
            </w:pPr>
            <w:r>
              <w:rPr>
                <w:color w:val="000000"/>
                <w:szCs w:val="18"/>
              </w:rPr>
              <w:t>0.0006</w:t>
            </w:r>
          </w:p>
        </w:tc>
        <w:tc>
          <w:tcPr>
            <w:tcW w:w="773" w:type="pct"/>
            <w:vAlign w:val="center"/>
          </w:tcPr>
          <w:p w14:paraId="64306B14">
            <w:pPr>
              <w:pStyle w:val="46"/>
              <w:rPr>
                <w:color w:val="000000"/>
                <w:szCs w:val="18"/>
              </w:rPr>
            </w:pPr>
            <w:r>
              <w:rPr>
                <w:color w:val="000000"/>
                <w:szCs w:val="18"/>
              </w:rPr>
              <w:t>＜10ppm(wt)</w:t>
            </w:r>
          </w:p>
        </w:tc>
        <w:tc>
          <w:tcPr>
            <w:tcW w:w="500" w:type="pct"/>
            <w:vAlign w:val="center"/>
          </w:tcPr>
          <w:p w14:paraId="68095CE5">
            <w:pPr>
              <w:pStyle w:val="46"/>
              <w:rPr>
                <w:color w:val="000000"/>
                <w:szCs w:val="18"/>
              </w:rPr>
            </w:pPr>
          </w:p>
        </w:tc>
      </w:tr>
      <w:tr w14:paraId="5679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D3A4CF5">
            <w:pPr>
              <w:pStyle w:val="46"/>
              <w:rPr>
                <w:color w:val="000000"/>
                <w:szCs w:val="18"/>
              </w:rPr>
            </w:pPr>
            <w:r>
              <w:rPr>
                <w:color w:val="000000"/>
                <w:szCs w:val="18"/>
              </w:rPr>
              <w:t>H</w:t>
            </w:r>
            <w:r>
              <w:rPr>
                <w:color w:val="000000"/>
                <w:szCs w:val="18"/>
                <w:vertAlign w:val="subscript"/>
              </w:rPr>
              <w:t>2</w:t>
            </w:r>
            <w:r>
              <w:rPr>
                <w:color w:val="000000"/>
                <w:szCs w:val="18"/>
              </w:rPr>
              <w:t>O</w:t>
            </w:r>
          </w:p>
        </w:tc>
        <w:tc>
          <w:tcPr>
            <w:tcW w:w="948" w:type="pct"/>
            <w:vAlign w:val="center"/>
          </w:tcPr>
          <w:p w14:paraId="451D8569">
            <w:pPr>
              <w:pStyle w:val="46"/>
              <w:rPr>
                <w:color w:val="000000"/>
                <w:szCs w:val="18"/>
              </w:rPr>
            </w:pPr>
            <w:r>
              <w:rPr>
                <w:color w:val="000000"/>
                <w:szCs w:val="18"/>
              </w:rPr>
              <w:t>0.0001</w:t>
            </w:r>
          </w:p>
        </w:tc>
        <w:tc>
          <w:tcPr>
            <w:tcW w:w="851" w:type="pct"/>
            <w:vAlign w:val="center"/>
          </w:tcPr>
          <w:p w14:paraId="503804CE">
            <w:pPr>
              <w:pStyle w:val="46"/>
              <w:rPr>
                <w:color w:val="000000"/>
                <w:szCs w:val="18"/>
              </w:rPr>
            </w:pPr>
            <w:r>
              <w:rPr>
                <w:color w:val="000000"/>
                <w:szCs w:val="18"/>
              </w:rPr>
              <w:t>0.0213</w:t>
            </w:r>
          </w:p>
        </w:tc>
        <w:tc>
          <w:tcPr>
            <w:tcW w:w="1036" w:type="pct"/>
            <w:vAlign w:val="center"/>
          </w:tcPr>
          <w:p w14:paraId="4915833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0.006</w:t>
            </w:r>
          </w:p>
        </w:tc>
        <w:tc>
          <w:tcPr>
            <w:tcW w:w="486" w:type="pct"/>
            <w:vAlign w:val="center"/>
          </w:tcPr>
          <w:p w14:paraId="23826BF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773" w:type="pct"/>
            <w:vAlign w:val="center"/>
          </w:tcPr>
          <w:p w14:paraId="0C406008">
            <w:pPr>
              <w:widowControl/>
              <w:adjustRightInd w:val="0"/>
              <w:snapToGrid w:val="0"/>
              <w:spacing w:line="240" w:lineRule="auto"/>
              <w:ind w:firstLine="0" w:firstLineChars="0"/>
              <w:jc w:val="center"/>
              <w:rPr>
                <w:color w:val="000000"/>
                <w:kern w:val="0"/>
                <w:sz w:val="21"/>
                <w:szCs w:val="18"/>
              </w:rPr>
            </w:pPr>
            <w:r>
              <w:rPr>
                <w:color w:val="000000"/>
                <w:kern w:val="0"/>
                <w:sz w:val="21"/>
                <w:szCs w:val="18"/>
              </w:rPr>
              <w:t>＜200ppm(wt)</w:t>
            </w:r>
          </w:p>
        </w:tc>
        <w:tc>
          <w:tcPr>
            <w:tcW w:w="500" w:type="pct"/>
            <w:vAlign w:val="center"/>
          </w:tcPr>
          <w:p w14:paraId="18D13082">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w:t>
            </w:r>
          </w:p>
        </w:tc>
      </w:tr>
      <w:tr w14:paraId="5E14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7B035D21">
            <w:pPr>
              <w:pStyle w:val="46"/>
              <w:rPr>
                <w:color w:val="000000"/>
                <w:szCs w:val="18"/>
              </w:rPr>
            </w:pPr>
            <w:r>
              <w:rPr>
                <w:color w:val="000000"/>
                <w:szCs w:val="18"/>
              </w:rPr>
              <w:t>C</w:t>
            </w:r>
            <w:r>
              <w:rPr>
                <w:color w:val="000000"/>
                <w:szCs w:val="18"/>
                <w:vertAlign w:val="subscript"/>
              </w:rPr>
              <w:t>2+</w:t>
            </w:r>
          </w:p>
        </w:tc>
        <w:tc>
          <w:tcPr>
            <w:tcW w:w="948" w:type="pct"/>
            <w:vAlign w:val="center"/>
          </w:tcPr>
          <w:p w14:paraId="1238C10F">
            <w:pPr>
              <w:pStyle w:val="46"/>
              <w:rPr>
                <w:color w:val="000000"/>
                <w:szCs w:val="18"/>
              </w:rPr>
            </w:pPr>
          </w:p>
        </w:tc>
        <w:tc>
          <w:tcPr>
            <w:tcW w:w="851" w:type="pct"/>
            <w:vAlign w:val="center"/>
          </w:tcPr>
          <w:p w14:paraId="3DEC8F39">
            <w:pPr>
              <w:pStyle w:val="46"/>
              <w:rPr>
                <w:color w:val="000000"/>
                <w:szCs w:val="18"/>
              </w:rPr>
            </w:pPr>
          </w:p>
        </w:tc>
        <w:tc>
          <w:tcPr>
            <w:tcW w:w="1036" w:type="pct"/>
            <w:vAlign w:val="center"/>
          </w:tcPr>
          <w:p w14:paraId="0F463A91">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0.0015</w:t>
            </w:r>
          </w:p>
        </w:tc>
        <w:tc>
          <w:tcPr>
            <w:tcW w:w="486" w:type="pct"/>
            <w:vAlign w:val="center"/>
          </w:tcPr>
          <w:p w14:paraId="1F90E13E">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0.66</w:t>
            </w:r>
          </w:p>
        </w:tc>
        <w:tc>
          <w:tcPr>
            <w:tcW w:w="773" w:type="pct"/>
            <w:vAlign w:val="center"/>
          </w:tcPr>
          <w:p w14:paraId="4076B098">
            <w:pPr>
              <w:pStyle w:val="46"/>
              <w:rPr>
                <w:color w:val="000000"/>
                <w:szCs w:val="18"/>
              </w:rPr>
            </w:pPr>
            <w:r>
              <w:rPr>
                <w:color w:val="000000"/>
                <w:szCs w:val="18"/>
              </w:rPr>
              <w:t>0.16</w:t>
            </w:r>
          </w:p>
        </w:tc>
        <w:tc>
          <w:tcPr>
            <w:tcW w:w="500" w:type="pct"/>
            <w:vAlign w:val="center"/>
          </w:tcPr>
          <w:p w14:paraId="71727DA8">
            <w:pPr>
              <w:pStyle w:val="46"/>
              <w:rPr>
                <w:color w:val="000000"/>
                <w:szCs w:val="18"/>
              </w:rPr>
            </w:pPr>
            <w:r>
              <w:rPr>
                <w:color w:val="000000"/>
                <w:szCs w:val="18"/>
              </w:rPr>
              <w:t>0.0067</w:t>
            </w:r>
          </w:p>
        </w:tc>
      </w:tr>
      <w:tr w14:paraId="62C4F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1A2E093F">
            <w:pPr>
              <w:pStyle w:val="46"/>
              <w:rPr>
                <w:color w:val="000000"/>
                <w:szCs w:val="18"/>
              </w:rPr>
            </w:pPr>
            <w:r>
              <w:rPr>
                <w:color w:val="000000"/>
                <w:szCs w:val="18"/>
              </w:rPr>
              <w:t>SO</w:t>
            </w:r>
            <w:r>
              <w:rPr>
                <w:color w:val="000000"/>
                <w:szCs w:val="18"/>
                <w:vertAlign w:val="subscript"/>
              </w:rPr>
              <w:t>x</w:t>
            </w:r>
          </w:p>
        </w:tc>
        <w:tc>
          <w:tcPr>
            <w:tcW w:w="948" w:type="pct"/>
            <w:vAlign w:val="center"/>
          </w:tcPr>
          <w:p w14:paraId="1D97CCF0">
            <w:pPr>
              <w:pStyle w:val="46"/>
              <w:rPr>
                <w:color w:val="000000"/>
                <w:szCs w:val="18"/>
              </w:rPr>
            </w:pPr>
          </w:p>
        </w:tc>
        <w:tc>
          <w:tcPr>
            <w:tcW w:w="851" w:type="pct"/>
            <w:vAlign w:val="center"/>
          </w:tcPr>
          <w:p w14:paraId="5359AC80">
            <w:pPr>
              <w:pStyle w:val="46"/>
              <w:rPr>
                <w:color w:val="000000"/>
                <w:szCs w:val="18"/>
              </w:rPr>
            </w:pPr>
          </w:p>
        </w:tc>
        <w:tc>
          <w:tcPr>
            <w:tcW w:w="1036" w:type="pct"/>
            <w:vAlign w:val="center"/>
          </w:tcPr>
          <w:p w14:paraId="62E0ACA7">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486" w:type="pct"/>
            <w:vAlign w:val="center"/>
          </w:tcPr>
          <w:p w14:paraId="50240405">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0.0131</w:t>
            </w:r>
          </w:p>
        </w:tc>
        <w:tc>
          <w:tcPr>
            <w:tcW w:w="773" w:type="pct"/>
            <w:vAlign w:val="center"/>
          </w:tcPr>
          <w:p w14:paraId="11E90425">
            <w:pPr>
              <w:pStyle w:val="46"/>
              <w:rPr>
                <w:color w:val="000000"/>
                <w:szCs w:val="18"/>
              </w:rPr>
            </w:pPr>
            <w:r>
              <w:rPr>
                <w:color w:val="000000"/>
                <w:szCs w:val="18"/>
              </w:rPr>
              <w:t>＜200mg/m</w:t>
            </w:r>
            <w:r>
              <w:rPr>
                <w:color w:val="000000"/>
                <w:szCs w:val="18"/>
                <w:vertAlign w:val="superscript"/>
              </w:rPr>
              <w:t>3</w:t>
            </w:r>
          </w:p>
        </w:tc>
        <w:tc>
          <w:tcPr>
            <w:tcW w:w="500" w:type="pct"/>
            <w:vAlign w:val="center"/>
          </w:tcPr>
          <w:p w14:paraId="69E9DD96">
            <w:pPr>
              <w:pStyle w:val="46"/>
              <w:rPr>
                <w:color w:val="000000"/>
                <w:szCs w:val="18"/>
              </w:rPr>
            </w:pPr>
          </w:p>
        </w:tc>
      </w:tr>
      <w:tr w14:paraId="468B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c>
          <w:tcPr>
            <w:tcW w:w="406" w:type="pct"/>
            <w:vAlign w:val="center"/>
          </w:tcPr>
          <w:p w14:paraId="5466C198">
            <w:pPr>
              <w:pStyle w:val="46"/>
              <w:rPr>
                <w:color w:val="000000"/>
                <w:szCs w:val="18"/>
              </w:rPr>
            </w:pPr>
            <w:r>
              <w:rPr>
                <w:color w:val="000000"/>
                <w:szCs w:val="18"/>
              </w:rPr>
              <w:t>NO</w:t>
            </w:r>
            <w:r>
              <w:rPr>
                <w:color w:val="000000"/>
                <w:szCs w:val="18"/>
                <w:vertAlign w:val="subscript"/>
              </w:rPr>
              <w:t>x</w:t>
            </w:r>
          </w:p>
        </w:tc>
        <w:tc>
          <w:tcPr>
            <w:tcW w:w="948" w:type="pct"/>
            <w:vAlign w:val="center"/>
          </w:tcPr>
          <w:p w14:paraId="5EBF02B9">
            <w:pPr>
              <w:pStyle w:val="46"/>
              <w:rPr>
                <w:color w:val="000000"/>
                <w:szCs w:val="18"/>
              </w:rPr>
            </w:pPr>
          </w:p>
        </w:tc>
        <w:tc>
          <w:tcPr>
            <w:tcW w:w="851" w:type="pct"/>
            <w:vAlign w:val="center"/>
          </w:tcPr>
          <w:p w14:paraId="015B1CC0">
            <w:pPr>
              <w:pStyle w:val="46"/>
              <w:rPr>
                <w:color w:val="000000"/>
                <w:szCs w:val="18"/>
              </w:rPr>
            </w:pPr>
          </w:p>
        </w:tc>
        <w:tc>
          <w:tcPr>
            <w:tcW w:w="1036" w:type="pct"/>
            <w:vAlign w:val="center"/>
          </w:tcPr>
          <w:p w14:paraId="03B00E06">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0.005</w:t>
            </w:r>
          </w:p>
        </w:tc>
        <w:tc>
          <w:tcPr>
            <w:tcW w:w="486" w:type="pct"/>
            <w:vAlign w:val="center"/>
          </w:tcPr>
          <w:p w14:paraId="03864D9F">
            <w:pPr>
              <w:widowControl/>
              <w:adjustRightInd w:val="0"/>
              <w:snapToGrid w:val="0"/>
              <w:spacing w:line="240" w:lineRule="auto"/>
              <w:ind w:firstLine="0" w:firstLineChars="0"/>
              <w:jc w:val="center"/>
              <w:rPr>
                <w:color w:val="000000"/>
                <w:kern w:val="0"/>
                <w:sz w:val="21"/>
                <w:szCs w:val="18"/>
              </w:rPr>
            </w:pPr>
            <w:r>
              <w:rPr>
                <w:color w:val="000000"/>
                <w:kern w:val="0"/>
                <w:sz w:val="21"/>
                <w:szCs w:val="18"/>
              </w:rPr>
              <w:t>0.0131</w:t>
            </w:r>
          </w:p>
        </w:tc>
        <w:tc>
          <w:tcPr>
            <w:tcW w:w="773" w:type="pct"/>
            <w:vAlign w:val="center"/>
          </w:tcPr>
          <w:p w14:paraId="519A3BBD">
            <w:pPr>
              <w:pStyle w:val="46"/>
              <w:rPr>
                <w:color w:val="000000"/>
                <w:szCs w:val="18"/>
              </w:rPr>
            </w:pPr>
          </w:p>
        </w:tc>
        <w:tc>
          <w:tcPr>
            <w:tcW w:w="500" w:type="pct"/>
            <w:vAlign w:val="center"/>
          </w:tcPr>
          <w:p w14:paraId="001C1867">
            <w:pPr>
              <w:pStyle w:val="46"/>
              <w:rPr>
                <w:color w:val="000000"/>
                <w:szCs w:val="18"/>
              </w:rPr>
            </w:pPr>
          </w:p>
        </w:tc>
      </w:tr>
    </w:tbl>
    <w:p w14:paraId="18348802">
      <w:pPr>
        <w:ind w:firstLine="480"/>
      </w:pPr>
      <w:r>
        <w:rPr>
          <w:rFonts w:hint="eastAsia"/>
        </w:rPr>
        <w:t>（3）</w:t>
      </w:r>
      <w:r>
        <w:t>国外CO</w:t>
      </w:r>
      <w:r>
        <w:rPr>
          <w:vertAlign w:val="subscript"/>
        </w:rPr>
        <w:t>2</w:t>
      </w:r>
      <w:r>
        <w:t>管道详细指标参数</w:t>
      </w:r>
    </w:p>
    <w:p w14:paraId="44EE84BB">
      <w:pPr>
        <w:ind w:firstLine="480"/>
        <w:rPr>
          <w:szCs w:val="24"/>
        </w:rPr>
      </w:pPr>
      <w:r>
        <w:rPr>
          <w:szCs w:val="24"/>
        </w:rPr>
        <w:t>美国金德摩根（KMCO</w:t>
      </w:r>
      <w:r>
        <w:rPr>
          <w:szCs w:val="24"/>
          <w:vertAlign w:val="subscript"/>
        </w:rPr>
        <w:t>2</w:t>
      </w:r>
      <w:r>
        <w:rPr>
          <w:szCs w:val="24"/>
        </w:rPr>
        <w:t>）公司拥有Cortez二氧化碳管道、Canyon Reef Carriers二氧化碳管道、Central Basin二氧化碳管道，制定了二氧化碳质量标准，主要是针对KMCO</w:t>
      </w:r>
      <w:r>
        <w:rPr>
          <w:szCs w:val="24"/>
          <w:vertAlign w:val="subscript"/>
        </w:rPr>
        <w:t>2</w:t>
      </w:r>
      <w:r>
        <w:rPr>
          <w:szCs w:val="24"/>
        </w:rPr>
        <w:t>拥有和运营的超临界管道制定的。美国Denbury公司，拥有NEJD等管道，针对二氧化碳气流制定了管道规范，针对提高原油采收率过程提出二氧化碳质量要求，见表</w:t>
      </w:r>
      <w:r>
        <w:rPr>
          <w:rFonts w:hint="eastAsia"/>
          <w:szCs w:val="24"/>
        </w:rPr>
        <w:t>7</w:t>
      </w:r>
      <w:r>
        <w:rPr>
          <w:szCs w:val="24"/>
        </w:rPr>
        <w:t>所示。</w:t>
      </w:r>
    </w:p>
    <w:p w14:paraId="58713C4E">
      <w:pPr>
        <w:ind w:firstLine="480"/>
        <w:jc w:val="center"/>
        <w:rPr>
          <w:szCs w:val="24"/>
        </w:rPr>
      </w:pPr>
      <w:r>
        <w:rPr>
          <w:szCs w:val="21"/>
        </w:rPr>
        <w:t>表</w:t>
      </w:r>
      <w:r>
        <w:rPr>
          <w:rFonts w:hint="eastAsia"/>
          <w:szCs w:val="21"/>
        </w:rPr>
        <w:t>7</w:t>
      </w:r>
      <w:r>
        <w:rPr>
          <w:szCs w:val="21"/>
        </w:rPr>
        <w:t xml:space="preserve"> KMCO</w:t>
      </w:r>
      <w:r>
        <w:rPr>
          <w:szCs w:val="21"/>
          <w:vertAlign w:val="subscript"/>
        </w:rPr>
        <w:t>2</w:t>
      </w:r>
      <w:r>
        <w:rPr>
          <w:szCs w:val="21"/>
        </w:rPr>
        <w:t>和Denbury公司运行管道中CO</w:t>
      </w:r>
      <w:r>
        <w:rPr>
          <w:szCs w:val="21"/>
          <w:vertAlign w:val="subscript"/>
        </w:rPr>
        <w:t>2</w:t>
      </w:r>
      <w:r>
        <w:rPr>
          <w:szCs w:val="21"/>
        </w:rPr>
        <w:t>气流质量规范（%mol）</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030"/>
        <w:gridCol w:w="3897"/>
        <w:gridCol w:w="2804"/>
      </w:tblGrid>
      <w:tr w14:paraId="270EF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shd w:val="clear" w:color="auto" w:fill="auto"/>
            <w:vAlign w:val="center"/>
          </w:tcPr>
          <w:p w14:paraId="799C5992">
            <w:pPr>
              <w:pStyle w:val="46"/>
              <w:rPr>
                <w:color w:val="000000"/>
                <w:szCs w:val="15"/>
              </w:rPr>
            </w:pPr>
            <w:r>
              <w:rPr>
                <w:color w:val="000000"/>
                <w:szCs w:val="15"/>
              </w:rPr>
              <w:t>序号</w:t>
            </w:r>
          </w:p>
        </w:tc>
        <w:tc>
          <w:tcPr>
            <w:tcW w:w="605" w:type="pct"/>
            <w:shd w:val="clear" w:color="auto" w:fill="auto"/>
            <w:noWrap/>
            <w:vAlign w:val="center"/>
          </w:tcPr>
          <w:p w14:paraId="48B3FB4E">
            <w:pPr>
              <w:pStyle w:val="46"/>
              <w:rPr>
                <w:color w:val="000000"/>
                <w:szCs w:val="15"/>
              </w:rPr>
            </w:pPr>
            <w:r>
              <w:rPr>
                <w:color w:val="000000"/>
                <w:szCs w:val="15"/>
              </w:rPr>
              <w:t>组分</w:t>
            </w:r>
          </w:p>
        </w:tc>
        <w:tc>
          <w:tcPr>
            <w:tcW w:w="2288" w:type="pct"/>
            <w:shd w:val="clear" w:color="auto" w:fill="auto"/>
            <w:noWrap/>
            <w:vAlign w:val="center"/>
          </w:tcPr>
          <w:p w14:paraId="66BF156A">
            <w:pPr>
              <w:pStyle w:val="46"/>
              <w:rPr>
                <w:color w:val="000000"/>
                <w:szCs w:val="15"/>
              </w:rPr>
            </w:pPr>
            <w:r>
              <w:rPr>
                <w:color w:val="000000"/>
                <w:szCs w:val="15"/>
              </w:rPr>
              <w:t>KMCO</w:t>
            </w:r>
            <w:r>
              <w:rPr>
                <w:color w:val="000000"/>
                <w:szCs w:val="15"/>
                <w:vertAlign w:val="subscript"/>
              </w:rPr>
              <w:t>2</w:t>
            </w:r>
          </w:p>
        </w:tc>
        <w:tc>
          <w:tcPr>
            <w:tcW w:w="1647" w:type="pct"/>
            <w:shd w:val="clear" w:color="auto" w:fill="auto"/>
            <w:noWrap/>
            <w:vAlign w:val="center"/>
          </w:tcPr>
          <w:p w14:paraId="08B7B2C0">
            <w:pPr>
              <w:pStyle w:val="46"/>
              <w:rPr>
                <w:color w:val="000000"/>
                <w:szCs w:val="15"/>
              </w:rPr>
            </w:pPr>
            <w:r>
              <w:rPr>
                <w:szCs w:val="15"/>
              </w:rPr>
              <w:t>Denbury公司</w:t>
            </w:r>
          </w:p>
        </w:tc>
      </w:tr>
      <w:tr w14:paraId="2C18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44F5F877">
            <w:pPr>
              <w:pStyle w:val="46"/>
              <w:rPr>
                <w:color w:val="000000"/>
                <w:szCs w:val="15"/>
              </w:rPr>
            </w:pPr>
            <w:r>
              <w:rPr>
                <w:color w:val="000000"/>
                <w:szCs w:val="15"/>
              </w:rPr>
              <w:t>1</w:t>
            </w:r>
          </w:p>
        </w:tc>
        <w:tc>
          <w:tcPr>
            <w:tcW w:w="605" w:type="pct"/>
            <w:noWrap/>
            <w:vAlign w:val="center"/>
          </w:tcPr>
          <w:p w14:paraId="65FFFCB7">
            <w:pPr>
              <w:pStyle w:val="46"/>
              <w:rPr>
                <w:color w:val="000000"/>
                <w:szCs w:val="15"/>
              </w:rPr>
            </w:pPr>
            <w:r>
              <w:rPr>
                <w:color w:val="000000"/>
                <w:szCs w:val="15"/>
              </w:rPr>
              <w:t>CO</w:t>
            </w:r>
            <w:r>
              <w:rPr>
                <w:color w:val="000000"/>
                <w:szCs w:val="15"/>
                <w:vertAlign w:val="subscript"/>
              </w:rPr>
              <w:t>2</w:t>
            </w:r>
          </w:p>
        </w:tc>
        <w:tc>
          <w:tcPr>
            <w:tcW w:w="2288" w:type="pct"/>
            <w:noWrap/>
            <w:vAlign w:val="center"/>
          </w:tcPr>
          <w:p w14:paraId="4DC3B6A0">
            <w:pPr>
              <w:pStyle w:val="46"/>
              <w:rPr>
                <w:color w:val="000000"/>
                <w:szCs w:val="15"/>
              </w:rPr>
            </w:pPr>
            <w:r>
              <w:rPr>
                <w:color w:val="000000"/>
                <w:szCs w:val="15"/>
              </w:rPr>
              <w:t>＞95%</w:t>
            </w:r>
          </w:p>
        </w:tc>
        <w:tc>
          <w:tcPr>
            <w:tcW w:w="1647" w:type="pct"/>
            <w:noWrap/>
            <w:vAlign w:val="center"/>
          </w:tcPr>
          <w:p w14:paraId="62F3A930">
            <w:pPr>
              <w:pStyle w:val="46"/>
              <w:rPr>
                <w:color w:val="000000"/>
                <w:szCs w:val="15"/>
              </w:rPr>
            </w:pPr>
            <w:r>
              <w:rPr>
                <w:color w:val="000000"/>
                <w:szCs w:val="15"/>
              </w:rPr>
              <w:t>＞95</w:t>
            </w:r>
            <w:r>
              <w:rPr>
                <w:rFonts w:hint="eastAsia"/>
                <w:color w:val="000000"/>
                <w:szCs w:val="15"/>
              </w:rPr>
              <w:t>%</w:t>
            </w:r>
          </w:p>
        </w:tc>
      </w:tr>
      <w:tr w14:paraId="2D735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6BFDF491">
            <w:pPr>
              <w:pStyle w:val="46"/>
              <w:rPr>
                <w:color w:val="000000"/>
                <w:szCs w:val="15"/>
              </w:rPr>
            </w:pPr>
            <w:r>
              <w:rPr>
                <w:color w:val="000000"/>
                <w:szCs w:val="15"/>
              </w:rPr>
              <w:t>2</w:t>
            </w:r>
          </w:p>
        </w:tc>
        <w:tc>
          <w:tcPr>
            <w:tcW w:w="605" w:type="pct"/>
            <w:noWrap/>
            <w:vAlign w:val="center"/>
          </w:tcPr>
          <w:p w14:paraId="0A49C76B">
            <w:pPr>
              <w:pStyle w:val="46"/>
              <w:rPr>
                <w:color w:val="000000"/>
                <w:szCs w:val="15"/>
              </w:rPr>
            </w:pPr>
            <w:r>
              <w:rPr>
                <w:color w:val="000000"/>
                <w:szCs w:val="15"/>
              </w:rPr>
              <w:t>N</w:t>
            </w:r>
            <w:r>
              <w:rPr>
                <w:color w:val="000000"/>
                <w:szCs w:val="15"/>
                <w:vertAlign w:val="subscript"/>
              </w:rPr>
              <w:t>2</w:t>
            </w:r>
          </w:p>
        </w:tc>
        <w:tc>
          <w:tcPr>
            <w:tcW w:w="2288" w:type="pct"/>
            <w:noWrap/>
            <w:vAlign w:val="center"/>
          </w:tcPr>
          <w:p w14:paraId="18FD2B58">
            <w:pPr>
              <w:pStyle w:val="46"/>
              <w:rPr>
                <w:color w:val="000000"/>
                <w:szCs w:val="15"/>
              </w:rPr>
            </w:pPr>
            <w:r>
              <w:rPr>
                <w:color w:val="000000"/>
                <w:szCs w:val="15"/>
              </w:rPr>
              <w:t>＜4%</w:t>
            </w:r>
          </w:p>
        </w:tc>
        <w:tc>
          <w:tcPr>
            <w:tcW w:w="1647" w:type="pct"/>
            <w:noWrap/>
            <w:vAlign w:val="center"/>
          </w:tcPr>
          <w:p w14:paraId="5610207E">
            <w:pPr>
              <w:pStyle w:val="46"/>
              <w:rPr>
                <w:color w:val="000000"/>
                <w:szCs w:val="15"/>
              </w:rPr>
            </w:pPr>
            <w:r>
              <w:rPr>
                <w:color w:val="000000"/>
                <w:szCs w:val="15"/>
              </w:rPr>
              <w:t>＜4%</w:t>
            </w:r>
          </w:p>
        </w:tc>
      </w:tr>
      <w:tr w14:paraId="0EB15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47DA53E7">
            <w:pPr>
              <w:pStyle w:val="46"/>
              <w:rPr>
                <w:color w:val="000000"/>
                <w:szCs w:val="15"/>
              </w:rPr>
            </w:pPr>
            <w:r>
              <w:rPr>
                <w:color w:val="000000"/>
                <w:szCs w:val="15"/>
              </w:rPr>
              <w:t>3</w:t>
            </w:r>
          </w:p>
        </w:tc>
        <w:tc>
          <w:tcPr>
            <w:tcW w:w="605" w:type="pct"/>
            <w:noWrap/>
            <w:vAlign w:val="center"/>
          </w:tcPr>
          <w:p w14:paraId="3750ECF0">
            <w:pPr>
              <w:pStyle w:val="46"/>
              <w:rPr>
                <w:color w:val="000000"/>
                <w:szCs w:val="15"/>
              </w:rPr>
            </w:pPr>
            <w:r>
              <w:rPr>
                <w:color w:val="000000"/>
                <w:szCs w:val="15"/>
              </w:rPr>
              <w:t>烃</w:t>
            </w:r>
          </w:p>
        </w:tc>
        <w:tc>
          <w:tcPr>
            <w:tcW w:w="2288" w:type="pct"/>
            <w:noWrap/>
            <w:vAlign w:val="center"/>
          </w:tcPr>
          <w:p w14:paraId="696E6ABD">
            <w:pPr>
              <w:pStyle w:val="46"/>
              <w:rPr>
                <w:color w:val="000000"/>
                <w:szCs w:val="15"/>
              </w:rPr>
            </w:pPr>
            <w:r>
              <w:rPr>
                <w:color w:val="000000"/>
                <w:szCs w:val="15"/>
              </w:rPr>
              <w:t>＜5%</w:t>
            </w:r>
          </w:p>
        </w:tc>
        <w:tc>
          <w:tcPr>
            <w:tcW w:w="1647" w:type="pct"/>
            <w:noWrap/>
            <w:vAlign w:val="center"/>
          </w:tcPr>
          <w:p w14:paraId="3E491405">
            <w:pPr>
              <w:pStyle w:val="46"/>
              <w:rPr>
                <w:color w:val="000000"/>
                <w:szCs w:val="15"/>
              </w:rPr>
            </w:pPr>
            <w:r>
              <w:rPr>
                <w:color w:val="000000"/>
                <w:szCs w:val="15"/>
              </w:rPr>
              <w:t>＜5%</w:t>
            </w:r>
          </w:p>
        </w:tc>
      </w:tr>
      <w:tr w14:paraId="0B973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6DB3426A">
            <w:pPr>
              <w:pStyle w:val="46"/>
              <w:rPr>
                <w:color w:val="000000"/>
                <w:szCs w:val="15"/>
              </w:rPr>
            </w:pPr>
            <w:r>
              <w:rPr>
                <w:color w:val="000000"/>
                <w:szCs w:val="15"/>
              </w:rPr>
              <w:t>4</w:t>
            </w:r>
          </w:p>
        </w:tc>
        <w:tc>
          <w:tcPr>
            <w:tcW w:w="605" w:type="pct"/>
            <w:noWrap/>
            <w:vAlign w:val="center"/>
          </w:tcPr>
          <w:p w14:paraId="31269332">
            <w:pPr>
              <w:pStyle w:val="46"/>
              <w:rPr>
                <w:color w:val="000000"/>
                <w:szCs w:val="15"/>
              </w:rPr>
            </w:pPr>
            <w:r>
              <w:rPr>
                <w:color w:val="000000"/>
                <w:szCs w:val="15"/>
              </w:rPr>
              <w:t>H</w:t>
            </w:r>
            <w:r>
              <w:rPr>
                <w:color w:val="000000"/>
                <w:szCs w:val="15"/>
                <w:vertAlign w:val="subscript"/>
              </w:rPr>
              <w:t>2</w:t>
            </w:r>
            <w:r>
              <w:rPr>
                <w:color w:val="000000"/>
                <w:szCs w:val="15"/>
              </w:rPr>
              <w:t>O</w:t>
            </w:r>
          </w:p>
        </w:tc>
        <w:tc>
          <w:tcPr>
            <w:tcW w:w="2288" w:type="pct"/>
            <w:noWrap/>
            <w:vAlign w:val="center"/>
          </w:tcPr>
          <w:p w14:paraId="2A0A04CE">
            <w:pPr>
              <w:pStyle w:val="46"/>
              <w:rPr>
                <w:color w:val="000000"/>
                <w:szCs w:val="15"/>
              </w:rPr>
            </w:pPr>
            <w:r>
              <w:rPr>
                <w:color w:val="000000"/>
                <w:szCs w:val="15"/>
              </w:rPr>
              <w:t>0.0638%</w:t>
            </w:r>
            <w:r>
              <w:rPr>
                <w:rFonts w:hint="eastAsia"/>
                <w:color w:val="000000"/>
                <w:szCs w:val="15"/>
              </w:rPr>
              <w:t>（</w:t>
            </w:r>
            <w:r>
              <w:rPr>
                <w:color w:val="000000"/>
                <w:szCs w:val="15"/>
              </w:rPr>
              <w:t>30lb/MMscf</w:t>
            </w:r>
            <w:r>
              <w:rPr>
                <w:rFonts w:hint="eastAsia"/>
                <w:color w:val="000000"/>
                <w:szCs w:val="15"/>
              </w:rPr>
              <w:t>）</w:t>
            </w:r>
          </w:p>
        </w:tc>
        <w:tc>
          <w:tcPr>
            <w:tcW w:w="1647" w:type="pct"/>
            <w:noWrap/>
            <w:vAlign w:val="center"/>
          </w:tcPr>
          <w:p w14:paraId="21B43AF3">
            <w:pPr>
              <w:pStyle w:val="46"/>
              <w:rPr>
                <w:color w:val="000000"/>
                <w:szCs w:val="15"/>
              </w:rPr>
            </w:pPr>
            <w:r>
              <w:rPr>
                <w:color w:val="000000"/>
                <w:szCs w:val="15"/>
              </w:rPr>
              <w:t>0.047%</w:t>
            </w:r>
            <w:r>
              <w:rPr>
                <w:rFonts w:hint="eastAsia"/>
                <w:color w:val="000000"/>
                <w:szCs w:val="15"/>
              </w:rPr>
              <w:t>（</w:t>
            </w:r>
            <w:r>
              <w:rPr>
                <w:color w:val="000000"/>
                <w:szCs w:val="15"/>
              </w:rPr>
              <w:t>257ppmwt）</w:t>
            </w:r>
          </w:p>
        </w:tc>
      </w:tr>
      <w:tr w14:paraId="4E5F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209B8D6D">
            <w:pPr>
              <w:pStyle w:val="46"/>
              <w:rPr>
                <w:color w:val="000000"/>
                <w:szCs w:val="15"/>
              </w:rPr>
            </w:pPr>
            <w:r>
              <w:rPr>
                <w:color w:val="000000"/>
                <w:szCs w:val="15"/>
              </w:rPr>
              <w:t>5</w:t>
            </w:r>
          </w:p>
        </w:tc>
        <w:tc>
          <w:tcPr>
            <w:tcW w:w="605" w:type="pct"/>
            <w:noWrap/>
            <w:vAlign w:val="center"/>
          </w:tcPr>
          <w:p w14:paraId="58E82184">
            <w:pPr>
              <w:pStyle w:val="46"/>
              <w:rPr>
                <w:color w:val="000000"/>
                <w:szCs w:val="15"/>
              </w:rPr>
            </w:pPr>
            <w:r>
              <w:rPr>
                <w:color w:val="000000"/>
                <w:szCs w:val="15"/>
              </w:rPr>
              <w:t>O</w:t>
            </w:r>
            <w:r>
              <w:rPr>
                <w:color w:val="000000"/>
                <w:szCs w:val="15"/>
                <w:vertAlign w:val="subscript"/>
              </w:rPr>
              <w:t>2</w:t>
            </w:r>
          </w:p>
        </w:tc>
        <w:tc>
          <w:tcPr>
            <w:tcW w:w="2288" w:type="pct"/>
            <w:noWrap/>
            <w:vAlign w:val="center"/>
          </w:tcPr>
          <w:p w14:paraId="7D481068">
            <w:pPr>
              <w:pStyle w:val="46"/>
              <w:rPr>
                <w:color w:val="000000"/>
                <w:szCs w:val="15"/>
              </w:rPr>
            </w:pPr>
            <w:r>
              <w:rPr>
                <w:color w:val="000000"/>
                <w:szCs w:val="15"/>
              </w:rPr>
              <w:t>＜0.0136%</w:t>
            </w:r>
            <w:r>
              <w:rPr>
                <w:rFonts w:hint="eastAsia"/>
                <w:color w:val="000000"/>
                <w:szCs w:val="15"/>
              </w:rPr>
              <w:t>（</w:t>
            </w:r>
            <w:r>
              <w:rPr>
                <w:color w:val="000000"/>
                <w:szCs w:val="15"/>
              </w:rPr>
              <w:t>10ppmwt</w:t>
            </w:r>
            <w:r>
              <w:rPr>
                <w:rFonts w:hint="eastAsia"/>
                <w:color w:val="000000"/>
                <w:szCs w:val="15"/>
              </w:rPr>
              <w:t>）</w:t>
            </w:r>
          </w:p>
        </w:tc>
        <w:tc>
          <w:tcPr>
            <w:tcW w:w="1647" w:type="pct"/>
            <w:noWrap/>
            <w:vAlign w:val="center"/>
          </w:tcPr>
          <w:p w14:paraId="446CFFDE">
            <w:pPr>
              <w:pStyle w:val="46"/>
              <w:rPr>
                <w:color w:val="000000"/>
                <w:szCs w:val="15"/>
              </w:rPr>
            </w:pPr>
            <w:r>
              <w:rPr>
                <w:color w:val="000000"/>
                <w:szCs w:val="15"/>
              </w:rPr>
              <w:t>-</w:t>
            </w:r>
          </w:p>
        </w:tc>
      </w:tr>
      <w:tr w14:paraId="50495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7CFEEE43">
            <w:pPr>
              <w:pStyle w:val="46"/>
              <w:rPr>
                <w:color w:val="000000"/>
                <w:szCs w:val="15"/>
              </w:rPr>
            </w:pPr>
            <w:r>
              <w:rPr>
                <w:color w:val="000000"/>
                <w:szCs w:val="15"/>
              </w:rPr>
              <w:t>6</w:t>
            </w:r>
          </w:p>
        </w:tc>
        <w:tc>
          <w:tcPr>
            <w:tcW w:w="605" w:type="pct"/>
            <w:noWrap/>
            <w:vAlign w:val="center"/>
          </w:tcPr>
          <w:p w14:paraId="018F6BF8">
            <w:pPr>
              <w:pStyle w:val="46"/>
              <w:rPr>
                <w:color w:val="000000"/>
                <w:szCs w:val="15"/>
              </w:rPr>
            </w:pPr>
            <w:r>
              <w:rPr>
                <w:color w:val="000000"/>
                <w:szCs w:val="15"/>
              </w:rPr>
              <w:t>H</w:t>
            </w:r>
            <w:r>
              <w:rPr>
                <w:color w:val="000000"/>
                <w:szCs w:val="15"/>
                <w:vertAlign w:val="subscript"/>
              </w:rPr>
              <w:t>2</w:t>
            </w:r>
            <w:r>
              <w:rPr>
                <w:color w:val="000000"/>
                <w:szCs w:val="15"/>
              </w:rPr>
              <w:t>S</w:t>
            </w:r>
          </w:p>
        </w:tc>
        <w:tc>
          <w:tcPr>
            <w:tcW w:w="2288" w:type="pct"/>
            <w:noWrap/>
            <w:vAlign w:val="center"/>
          </w:tcPr>
          <w:p w14:paraId="6274FF9C">
            <w:pPr>
              <w:pStyle w:val="46"/>
              <w:rPr>
                <w:color w:val="000000"/>
                <w:szCs w:val="15"/>
              </w:rPr>
            </w:pPr>
            <w:r>
              <w:rPr>
                <w:color w:val="000000"/>
                <w:szCs w:val="15"/>
              </w:rPr>
              <w:t>0.00127%-0.0254%</w:t>
            </w:r>
            <w:r>
              <w:rPr>
                <w:rFonts w:hint="eastAsia"/>
                <w:color w:val="000000"/>
                <w:szCs w:val="15"/>
              </w:rPr>
              <w:t>（</w:t>
            </w:r>
            <w:r>
              <w:rPr>
                <w:color w:val="000000"/>
                <w:szCs w:val="15"/>
              </w:rPr>
              <w:t>10-200ppmwt</w:t>
            </w:r>
            <w:r>
              <w:rPr>
                <w:rFonts w:hint="eastAsia"/>
                <w:color w:val="000000"/>
                <w:szCs w:val="15"/>
              </w:rPr>
              <w:t>）</w:t>
            </w:r>
          </w:p>
        </w:tc>
        <w:tc>
          <w:tcPr>
            <w:tcW w:w="1647" w:type="pct"/>
            <w:noWrap/>
            <w:vAlign w:val="center"/>
          </w:tcPr>
          <w:p w14:paraId="3B12D234">
            <w:pPr>
              <w:pStyle w:val="46"/>
              <w:rPr>
                <w:color w:val="000000"/>
                <w:szCs w:val="15"/>
              </w:rPr>
            </w:pPr>
            <w:r>
              <w:rPr>
                <w:color w:val="000000"/>
                <w:szCs w:val="15"/>
              </w:rPr>
              <w:t>0.0015%</w:t>
            </w:r>
          </w:p>
        </w:tc>
      </w:tr>
      <w:tr w14:paraId="28C98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461" w:type="pct"/>
            <w:vAlign w:val="center"/>
          </w:tcPr>
          <w:p w14:paraId="6FE5FDCE">
            <w:pPr>
              <w:pStyle w:val="46"/>
              <w:rPr>
                <w:color w:val="000000"/>
                <w:szCs w:val="15"/>
              </w:rPr>
            </w:pPr>
            <w:r>
              <w:rPr>
                <w:color w:val="000000"/>
                <w:szCs w:val="15"/>
              </w:rPr>
              <w:t>7</w:t>
            </w:r>
          </w:p>
        </w:tc>
        <w:tc>
          <w:tcPr>
            <w:tcW w:w="605" w:type="pct"/>
            <w:noWrap/>
            <w:vAlign w:val="center"/>
          </w:tcPr>
          <w:p w14:paraId="55BA3977">
            <w:pPr>
              <w:pStyle w:val="46"/>
              <w:rPr>
                <w:color w:val="000000"/>
                <w:szCs w:val="15"/>
              </w:rPr>
            </w:pPr>
            <w:r>
              <w:rPr>
                <w:color w:val="000000"/>
                <w:szCs w:val="15"/>
              </w:rPr>
              <w:t>乙二醇</w:t>
            </w:r>
          </w:p>
        </w:tc>
        <w:tc>
          <w:tcPr>
            <w:tcW w:w="2288" w:type="pct"/>
            <w:noWrap/>
            <w:vAlign w:val="center"/>
          </w:tcPr>
          <w:p w14:paraId="00B16580">
            <w:pPr>
              <w:pStyle w:val="46"/>
              <w:rPr>
                <w:color w:val="000000"/>
                <w:szCs w:val="15"/>
              </w:rPr>
            </w:pPr>
            <w:r>
              <w:rPr>
                <w:color w:val="000000"/>
                <w:szCs w:val="15"/>
              </w:rPr>
              <w:t>4.01×10</w:t>
            </w:r>
            <w:r>
              <w:rPr>
                <w:color w:val="000000"/>
                <w:szCs w:val="15"/>
                <w:vertAlign w:val="superscript"/>
              </w:rPr>
              <w:t>-6</w:t>
            </w:r>
            <w:r>
              <w:rPr>
                <w:color w:val="000000"/>
                <w:szCs w:val="15"/>
              </w:rPr>
              <w:t>%</w:t>
            </w:r>
            <w:r>
              <w:rPr>
                <w:rFonts w:hint="eastAsia"/>
                <w:color w:val="000000"/>
                <w:szCs w:val="15"/>
              </w:rPr>
              <w:t>（</w:t>
            </w:r>
            <w:r>
              <w:rPr>
                <w:color w:val="000000"/>
                <w:szCs w:val="15"/>
              </w:rPr>
              <w:t>0.3gal/MMscf</w:t>
            </w:r>
            <w:r>
              <w:rPr>
                <w:rFonts w:hint="eastAsia"/>
                <w:color w:val="000000"/>
                <w:szCs w:val="15"/>
              </w:rPr>
              <w:t>）</w:t>
            </w:r>
          </w:p>
        </w:tc>
        <w:tc>
          <w:tcPr>
            <w:tcW w:w="1647" w:type="pct"/>
            <w:noWrap/>
            <w:vAlign w:val="center"/>
          </w:tcPr>
          <w:p w14:paraId="6150BE09">
            <w:pPr>
              <w:pStyle w:val="46"/>
              <w:rPr>
                <w:color w:val="000000"/>
                <w:szCs w:val="15"/>
              </w:rPr>
            </w:pPr>
            <w:r>
              <w:rPr>
                <w:color w:val="000000"/>
                <w:szCs w:val="15"/>
              </w:rPr>
              <w:t>-</w:t>
            </w:r>
          </w:p>
        </w:tc>
      </w:tr>
    </w:tbl>
    <w:p w14:paraId="76AF2BE9">
      <w:pPr>
        <w:ind w:firstLine="480"/>
      </w:pPr>
      <w:r>
        <w:rPr>
          <w:szCs w:val="24"/>
        </w:rPr>
        <w:t>在美国运输的二氧化碳通常来自自然资源</w:t>
      </w:r>
      <w:r>
        <w:rPr>
          <w:rFonts w:hint="eastAsia"/>
          <w:szCs w:val="24"/>
        </w:rPr>
        <w:t>，其组成</w:t>
      </w:r>
      <w:r>
        <w:rPr>
          <w:szCs w:val="24"/>
        </w:rPr>
        <w:t>除含有二氧化碳外，通常还含有水、硫化氢、氮和碳氢化合物。各管道的具体</w:t>
      </w:r>
      <w:r>
        <w:rPr>
          <w:rFonts w:hint="eastAsia"/>
          <w:szCs w:val="24"/>
        </w:rPr>
        <w:t>二氧化碳</w:t>
      </w:r>
      <w:r>
        <w:rPr>
          <w:szCs w:val="24"/>
        </w:rPr>
        <w:t>组成见表</w:t>
      </w:r>
      <w:r>
        <w:rPr>
          <w:rFonts w:hint="eastAsia"/>
          <w:szCs w:val="24"/>
        </w:rPr>
        <w:t>8</w:t>
      </w:r>
      <w:r>
        <w:rPr>
          <w:szCs w:val="24"/>
        </w:rPr>
        <w:t>所示。国外除个别管道低于95%以外，总体CO</w:t>
      </w:r>
      <w:r>
        <w:rPr>
          <w:szCs w:val="24"/>
          <w:vertAlign w:val="subscript"/>
        </w:rPr>
        <w:t>2</w:t>
      </w:r>
      <w:r>
        <w:rPr>
          <w:szCs w:val="24"/>
        </w:rPr>
        <w:t>纯度都高于95%。</w:t>
      </w:r>
    </w:p>
    <w:p w14:paraId="60E7A958">
      <w:pPr>
        <w:ind w:firstLine="480"/>
        <w:jc w:val="center"/>
        <w:rPr>
          <w:szCs w:val="21"/>
        </w:rPr>
      </w:pPr>
      <w:r>
        <w:rPr>
          <w:szCs w:val="21"/>
        </w:rPr>
        <w:t>表</w:t>
      </w:r>
      <w:r>
        <w:rPr>
          <w:rFonts w:hint="eastAsia"/>
          <w:szCs w:val="21"/>
        </w:rPr>
        <w:t>8</w:t>
      </w:r>
      <w:r>
        <w:rPr>
          <w:szCs w:val="21"/>
        </w:rPr>
        <w:t xml:space="preserve"> 管道输送的CO</w:t>
      </w:r>
      <w:r>
        <w:rPr>
          <w:szCs w:val="21"/>
          <w:vertAlign w:val="subscript"/>
        </w:rPr>
        <w:t>2</w:t>
      </w:r>
      <w:r>
        <w:rPr>
          <w:szCs w:val="21"/>
        </w:rPr>
        <w:t>成分（vol%）</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710"/>
        <w:gridCol w:w="991"/>
        <w:gridCol w:w="1276"/>
        <w:gridCol w:w="709"/>
        <w:gridCol w:w="1151"/>
        <w:gridCol w:w="861"/>
        <w:gridCol w:w="1127"/>
        <w:gridCol w:w="1017"/>
      </w:tblGrid>
      <w:tr w14:paraId="68D43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5" w:type="pct"/>
            <w:shd w:val="clear" w:color="auto" w:fill="auto"/>
            <w:noWrap/>
            <w:vAlign w:val="center"/>
          </w:tcPr>
          <w:p w14:paraId="471DF0FA">
            <w:pPr>
              <w:pStyle w:val="46"/>
              <w:keepNext w:val="0"/>
              <w:keepLines w:val="0"/>
              <w:pageBreakBefore w:val="0"/>
              <w:widowControl/>
              <w:kinsoku/>
              <w:wordWrap/>
              <w:overflowPunct/>
              <w:topLinePunct w:val="0"/>
              <w:bidi w:val="0"/>
              <w:adjustRightInd w:val="0"/>
              <w:snapToGrid w:val="0"/>
              <w:textAlignment w:val="auto"/>
              <w:rPr>
                <w:color w:val="000000"/>
                <w:szCs w:val="18"/>
              </w:rPr>
            </w:pPr>
          </w:p>
        </w:tc>
        <w:tc>
          <w:tcPr>
            <w:tcW w:w="3345" w:type="pct"/>
            <w:gridSpan w:val="6"/>
            <w:shd w:val="clear" w:color="auto" w:fill="auto"/>
            <w:noWrap/>
            <w:vAlign w:val="center"/>
          </w:tcPr>
          <w:p w14:paraId="72EAB2DB">
            <w:pPr>
              <w:pStyle w:val="46"/>
              <w:keepNext w:val="0"/>
              <w:keepLines w:val="0"/>
              <w:pageBreakBefore w:val="0"/>
              <w:widowControl/>
              <w:kinsoku/>
              <w:wordWrap/>
              <w:overflowPunct/>
              <w:topLinePunct w:val="0"/>
              <w:bidi w:val="0"/>
              <w:adjustRightInd w:val="0"/>
              <w:snapToGrid w:val="0"/>
              <w:textAlignment w:val="auto"/>
              <w:rPr>
                <w:szCs w:val="18"/>
              </w:rPr>
            </w:pPr>
            <w:r>
              <w:rPr>
                <w:szCs w:val="18"/>
              </w:rPr>
              <w:t>美国</w:t>
            </w:r>
          </w:p>
        </w:tc>
        <w:tc>
          <w:tcPr>
            <w:tcW w:w="661" w:type="pct"/>
            <w:shd w:val="clear" w:color="auto" w:fill="auto"/>
            <w:noWrap/>
            <w:vAlign w:val="center"/>
          </w:tcPr>
          <w:p w14:paraId="38809203">
            <w:pPr>
              <w:pStyle w:val="46"/>
              <w:keepNext w:val="0"/>
              <w:keepLines w:val="0"/>
              <w:pageBreakBefore w:val="0"/>
              <w:widowControl/>
              <w:kinsoku/>
              <w:wordWrap/>
              <w:overflowPunct/>
              <w:topLinePunct w:val="0"/>
              <w:bidi w:val="0"/>
              <w:adjustRightInd w:val="0"/>
              <w:snapToGrid w:val="0"/>
              <w:textAlignment w:val="auto"/>
              <w:rPr>
                <w:szCs w:val="18"/>
              </w:rPr>
            </w:pPr>
            <w:r>
              <w:rPr>
                <w:szCs w:val="18"/>
              </w:rPr>
              <w:t>美国和加拿大</w:t>
            </w:r>
          </w:p>
        </w:tc>
        <w:tc>
          <w:tcPr>
            <w:tcW w:w="597" w:type="pct"/>
            <w:shd w:val="clear" w:color="auto" w:fill="auto"/>
            <w:noWrap/>
            <w:vAlign w:val="center"/>
          </w:tcPr>
          <w:p w14:paraId="1BF3A7E6">
            <w:pPr>
              <w:pStyle w:val="46"/>
              <w:keepNext w:val="0"/>
              <w:keepLines w:val="0"/>
              <w:pageBreakBefore w:val="0"/>
              <w:widowControl/>
              <w:kinsoku/>
              <w:wordWrap/>
              <w:overflowPunct/>
              <w:topLinePunct w:val="0"/>
              <w:bidi w:val="0"/>
              <w:adjustRightInd w:val="0"/>
              <w:snapToGrid w:val="0"/>
              <w:textAlignment w:val="auto"/>
              <w:rPr>
                <w:szCs w:val="18"/>
              </w:rPr>
            </w:pPr>
            <w:r>
              <w:rPr>
                <w:szCs w:val="18"/>
              </w:rPr>
              <w:t>挪威</w:t>
            </w:r>
          </w:p>
        </w:tc>
      </w:tr>
      <w:tr w14:paraId="0D6C1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0B2D9C05">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组分</w:t>
            </w:r>
          </w:p>
        </w:tc>
        <w:tc>
          <w:tcPr>
            <w:tcW w:w="416" w:type="pct"/>
            <w:noWrap/>
            <w:vAlign w:val="center"/>
          </w:tcPr>
          <w:p w14:paraId="695DEB1B">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Cortez管道</w:t>
            </w:r>
          </w:p>
        </w:tc>
        <w:tc>
          <w:tcPr>
            <w:tcW w:w="581" w:type="pct"/>
            <w:noWrap/>
            <w:vAlign w:val="center"/>
          </w:tcPr>
          <w:p w14:paraId="46611CE6">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Canyon Reef Carriers</w:t>
            </w:r>
          </w:p>
        </w:tc>
        <w:tc>
          <w:tcPr>
            <w:tcW w:w="749" w:type="pct"/>
            <w:noWrap/>
            <w:vAlign w:val="center"/>
          </w:tcPr>
          <w:p w14:paraId="248377D0">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Central Basin管道</w:t>
            </w:r>
          </w:p>
        </w:tc>
        <w:tc>
          <w:tcPr>
            <w:tcW w:w="416" w:type="pct"/>
            <w:noWrap/>
            <w:vAlign w:val="center"/>
          </w:tcPr>
          <w:p w14:paraId="386E15DC">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NEJD管道</w:t>
            </w:r>
          </w:p>
        </w:tc>
        <w:tc>
          <w:tcPr>
            <w:tcW w:w="675" w:type="pct"/>
            <w:noWrap/>
            <w:vAlign w:val="center"/>
          </w:tcPr>
          <w:p w14:paraId="758114D6">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Sheep Mountain管道</w:t>
            </w:r>
          </w:p>
        </w:tc>
        <w:tc>
          <w:tcPr>
            <w:tcW w:w="505" w:type="pct"/>
            <w:noWrap/>
            <w:vAlign w:val="center"/>
          </w:tcPr>
          <w:p w14:paraId="70387B03">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Bravo Dome管道</w:t>
            </w:r>
          </w:p>
        </w:tc>
        <w:tc>
          <w:tcPr>
            <w:tcW w:w="661" w:type="pct"/>
            <w:noWrap/>
            <w:vAlign w:val="center"/>
          </w:tcPr>
          <w:p w14:paraId="3359DC63">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szCs w:val="18"/>
              </w:rPr>
              <w:t>Weyburn管道</w:t>
            </w:r>
          </w:p>
        </w:tc>
        <w:tc>
          <w:tcPr>
            <w:tcW w:w="597" w:type="pct"/>
            <w:noWrap/>
            <w:vAlign w:val="center"/>
          </w:tcPr>
          <w:p w14:paraId="77790518">
            <w:pPr>
              <w:pStyle w:val="46"/>
              <w:keepNext w:val="0"/>
              <w:keepLines w:val="0"/>
              <w:pageBreakBefore w:val="0"/>
              <w:widowControl/>
              <w:kinsoku/>
              <w:wordWrap/>
              <w:overflowPunct/>
              <w:topLinePunct w:val="0"/>
              <w:bidi w:val="0"/>
              <w:adjustRightInd w:val="0"/>
              <w:snapToGrid w:val="0"/>
              <w:spacing w:line="240" w:lineRule="auto"/>
              <w:textAlignment w:val="auto"/>
              <w:rPr>
                <w:szCs w:val="18"/>
              </w:rPr>
            </w:pPr>
            <w:r>
              <w:rPr>
                <w:szCs w:val="18"/>
              </w:rPr>
              <w:t>Sleipner管道</w:t>
            </w:r>
          </w:p>
        </w:tc>
      </w:tr>
      <w:tr w14:paraId="693A7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1B53E2EA">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CO</w:t>
            </w:r>
            <w:r>
              <w:rPr>
                <w:color w:val="000000"/>
                <w:szCs w:val="18"/>
                <w:vertAlign w:val="subscript"/>
              </w:rPr>
              <w:t>2</w:t>
            </w:r>
          </w:p>
        </w:tc>
        <w:tc>
          <w:tcPr>
            <w:tcW w:w="416" w:type="pct"/>
            <w:noWrap/>
            <w:vAlign w:val="center"/>
          </w:tcPr>
          <w:p w14:paraId="05AB0AA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95</w:t>
            </w:r>
          </w:p>
        </w:tc>
        <w:tc>
          <w:tcPr>
            <w:tcW w:w="581" w:type="pct"/>
            <w:noWrap/>
            <w:vAlign w:val="center"/>
          </w:tcPr>
          <w:p w14:paraId="681722A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＞95</w:t>
            </w:r>
          </w:p>
          <w:p w14:paraId="61EBAB0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（实际85-98）</w:t>
            </w:r>
          </w:p>
        </w:tc>
        <w:tc>
          <w:tcPr>
            <w:tcW w:w="749" w:type="pct"/>
            <w:noWrap/>
            <w:vAlign w:val="center"/>
          </w:tcPr>
          <w:p w14:paraId="5D185F3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98.5</w:t>
            </w:r>
          </w:p>
        </w:tc>
        <w:tc>
          <w:tcPr>
            <w:tcW w:w="416" w:type="pct"/>
            <w:noWrap/>
            <w:vAlign w:val="center"/>
          </w:tcPr>
          <w:p w14:paraId="5376FDC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98.7-99.4</w:t>
            </w:r>
          </w:p>
        </w:tc>
        <w:tc>
          <w:tcPr>
            <w:tcW w:w="675" w:type="pct"/>
            <w:noWrap/>
            <w:vAlign w:val="center"/>
          </w:tcPr>
          <w:p w14:paraId="1F18C1A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96.-97.4</w:t>
            </w:r>
          </w:p>
        </w:tc>
        <w:tc>
          <w:tcPr>
            <w:tcW w:w="505" w:type="pct"/>
            <w:noWrap/>
            <w:vAlign w:val="center"/>
          </w:tcPr>
          <w:p w14:paraId="4B477A6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99.7</w:t>
            </w:r>
          </w:p>
        </w:tc>
        <w:tc>
          <w:tcPr>
            <w:tcW w:w="661" w:type="pct"/>
            <w:noWrap/>
            <w:vAlign w:val="center"/>
          </w:tcPr>
          <w:p w14:paraId="25FB2AD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96</w:t>
            </w:r>
          </w:p>
        </w:tc>
        <w:tc>
          <w:tcPr>
            <w:tcW w:w="597" w:type="pct"/>
            <w:noWrap/>
            <w:vAlign w:val="center"/>
          </w:tcPr>
          <w:p w14:paraId="310F8C99">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93-96 vol%</w:t>
            </w:r>
          </w:p>
        </w:tc>
      </w:tr>
      <w:tr w14:paraId="6F802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6D48C8D0">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CH</w:t>
            </w:r>
            <w:r>
              <w:rPr>
                <w:color w:val="000000"/>
                <w:szCs w:val="18"/>
                <w:vertAlign w:val="subscript"/>
              </w:rPr>
              <w:t>4</w:t>
            </w:r>
          </w:p>
        </w:tc>
        <w:tc>
          <w:tcPr>
            <w:tcW w:w="416" w:type="pct"/>
            <w:noWrap/>
            <w:vAlign w:val="center"/>
          </w:tcPr>
          <w:p w14:paraId="5453CDF3">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1-5</w:t>
            </w:r>
          </w:p>
        </w:tc>
        <w:tc>
          <w:tcPr>
            <w:tcW w:w="581" w:type="pct"/>
            <w:noWrap/>
            <w:vAlign w:val="center"/>
          </w:tcPr>
          <w:p w14:paraId="70BD4C1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2-15</w:t>
            </w:r>
          </w:p>
        </w:tc>
        <w:tc>
          <w:tcPr>
            <w:tcW w:w="749" w:type="pct"/>
            <w:noWrap/>
            <w:vAlign w:val="center"/>
          </w:tcPr>
          <w:p w14:paraId="035C449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0.2</w:t>
            </w:r>
          </w:p>
        </w:tc>
        <w:tc>
          <w:tcPr>
            <w:tcW w:w="416" w:type="pct"/>
            <w:noWrap/>
            <w:vAlign w:val="center"/>
          </w:tcPr>
          <w:p w14:paraId="4431FCC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0.3</w:t>
            </w:r>
          </w:p>
        </w:tc>
        <w:tc>
          <w:tcPr>
            <w:tcW w:w="675" w:type="pct"/>
            <w:noWrap/>
            <w:vAlign w:val="center"/>
          </w:tcPr>
          <w:p w14:paraId="74DDBB8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1.7</w:t>
            </w:r>
          </w:p>
        </w:tc>
        <w:tc>
          <w:tcPr>
            <w:tcW w:w="505" w:type="pct"/>
            <w:noWrap/>
            <w:vAlign w:val="center"/>
          </w:tcPr>
          <w:p w14:paraId="49CE0D5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5E3D28A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0.7</w:t>
            </w:r>
          </w:p>
        </w:tc>
        <w:tc>
          <w:tcPr>
            <w:tcW w:w="597" w:type="pct"/>
            <w:noWrap/>
            <w:vAlign w:val="center"/>
          </w:tcPr>
          <w:p w14:paraId="60615A2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p>
        </w:tc>
      </w:tr>
      <w:tr w14:paraId="5C3A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2BECB8F1">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N</w:t>
            </w:r>
            <w:r>
              <w:rPr>
                <w:color w:val="000000"/>
                <w:szCs w:val="18"/>
                <w:vertAlign w:val="subscript"/>
              </w:rPr>
              <w:t>2</w:t>
            </w:r>
          </w:p>
        </w:tc>
        <w:tc>
          <w:tcPr>
            <w:tcW w:w="416" w:type="pct"/>
            <w:noWrap/>
            <w:vAlign w:val="center"/>
          </w:tcPr>
          <w:p w14:paraId="05BD962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4</w:t>
            </w:r>
          </w:p>
        </w:tc>
        <w:tc>
          <w:tcPr>
            <w:tcW w:w="581" w:type="pct"/>
            <w:noWrap/>
            <w:vAlign w:val="center"/>
          </w:tcPr>
          <w:p w14:paraId="432A0FE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＜0.5</w:t>
            </w:r>
          </w:p>
        </w:tc>
        <w:tc>
          <w:tcPr>
            <w:tcW w:w="749" w:type="pct"/>
            <w:noWrap/>
            <w:vAlign w:val="center"/>
          </w:tcPr>
          <w:p w14:paraId="0C50057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1.3</w:t>
            </w:r>
          </w:p>
        </w:tc>
        <w:tc>
          <w:tcPr>
            <w:tcW w:w="416" w:type="pct"/>
            <w:noWrap/>
            <w:vAlign w:val="center"/>
          </w:tcPr>
          <w:p w14:paraId="128562D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0.3</w:t>
            </w:r>
          </w:p>
        </w:tc>
        <w:tc>
          <w:tcPr>
            <w:tcW w:w="675" w:type="pct"/>
            <w:noWrap/>
            <w:vAlign w:val="center"/>
          </w:tcPr>
          <w:p w14:paraId="590759E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0.6-0.9</w:t>
            </w:r>
          </w:p>
        </w:tc>
        <w:tc>
          <w:tcPr>
            <w:tcW w:w="505" w:type="pct"/>
            <w:noWrap/>
            <w:vAlign w:val="center"/>
          </w:tcPr>
          <w:p w14:paraId="5F78567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0.3</w:t>
            </w:r>
          </w:p>
        </w:tc>
        <w:tc>
          <w:tcPr>
            <w:tcW w:w="661" w:type="pct"/>
            <w:noWrap/>
            <w:vAlign w:val="center"/>
          </w:tcPr>
          <w:p w14:paraId="33E0A35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＜300ppm</w:t>
            </w:r>
          </w:p>
        </w:tc>
        <w:tc>
          <w:tcPr>
            <w:tcW w:w="597" w:type="pct"/>
            <w:noWrap/>
            <w:vAlign w:val="center"/>
          </w:tcPr>
          <w:p w14:paraId="232A2EE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3-5vol%</w:t>
            </w:r>
          </w:p>
        </w:tc>
      </w:tr>
      <w:tr w14:paraId="734C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02DA7ECE">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H</w:t>
            </w:r>
            <w:r>
              <w:rPr>
                <w:color w:val="000000"/>
                <w:szCs w:val="18"/>
                <w:vertAlign w:val="subscript"/>
              </w:rPr>
              <w:t>2</w:t>
            </w:r>
            <w:r>
              <w:rPr>
                <w:color w:val="000000"/>
                <w:szCs w:val="18"/>
              </w:rPr>
              <w:t>S</w:t>
            </w:r>
          </w:p>
        </w:tc>
        <w:tc>
          <w:tcPr>
            <w:tcW w:w="416" w:type="pct"/>
            <w:noWrap/>
            <w:vAlign w:val="center"/>
          </w:tcPr>
          <w:p w14:paraId="5925357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0.02</w:t>
            </w:r>
          </w:p>
        </w:tc>
        <w:tc>
          <w:tcPr>
            <w:tcW w:w="581" w:type="pct"/>
            <w:noWrap/>
            <w:vAlign w:val="center"/>
          </w:tcPr>
          <w:p w14:paraId="1EA87ED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&lt;200ppm</w:t>
            </w:r>
          </w:p>
        </w:tc>
        <w:tc>
          <w:tcPr>
            <w:tcW w:w="749" w:type="pct"/>
            <w:noWrap/>
            <w:vAlign w:val="center"/>
          </w:tcPr>
          <w:p w14:paraId="32F2AC7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&lt;20ppm（spec）</w:t>
            </w:r>
          </w:p>
        </w:tc>
        <w:tc>
          <w:tcPr>
            <w:tcW w:w="416" w:type="pct"/>
            <w:noWrap/>
            <w:vAlign w:val="center"/>
          </w:tcPr>
          <w:p w14:paraId="716664F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75" w:type="pct"/>
            <w:noWrap/>
            <w:vAlign w:val="center"/>
          </w:tcPr>
          <w:p w14:paraId="0AB7571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05" w:type="pct"/>
            <w:noWrap/>
            <w:vAlign w:val="center"/>
          </w:tcPr>
          <w:p w14:paraId="52D1282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43984AE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0.9</w:t>
            </w:r>
          </w:p>
        </w:tc>
        <w:tc>
          <w:tcPr>
            <w:tcW w:w="597" w:type="pct"/>
            <w:noWrap/>
            <w:vAlign w:val="center"/>
          </w:tcPr>
          <w:p w14:paraId="3CAAB55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＜150ppm</w:t>
            </w:r>
          </w:p>
        </w:tc>
      </w:tr>
      <w:tr w14:paraId="526D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04D72E93">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C2</w:t>
            </w:r>
            <w:r>
              <w:rPr>
                <w:color w:val="000000"/>
                <w:szCs w:val="18"/>
                <w:vertAlign w:val="superscript"/>
              </w:rPr>
              <w:t>+</w:t>
            </w:r>
          </w:p>
        </w:tc>
        <w:tc>
          <w:tcPr>
            <w:tcW w:w="416" w:type="pct"/>
            <w:noWrap/>
            <w:vAlign w:val="center"/>
          </w:tcPr>
          <w:p w14:paraId="45DDF645">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81" w:type="pct"/>
            <w:noWrap/>
            <w:vAlign w:val="center"/>
          </w:tcPr>
          <w:p w14:paraId="44EE842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749" w:type="pct"/>
            <w:noWrap/>
            <w:vAlign w:val="center"/>
          </w:tcPr>
          <w:p w14:paraId="55D0A7F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416" w:type="pct"/>
            <w:noWrap/>
            <w:vAlign w:val="center"/>
          </w:tcPr>
          <w:p w14:paraId="6414490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75" w:type="pct"/>
            <w:noWrap/>
            <w:vAlign w:val="center"/>
          </w:tcPr>
          <w:p w14:paraId="0EDFC02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0.3-0.6</w:t>
            </w:r>
          </w:p>
        </w:tc>
        <w:tc>
          <w:tcPr>
            <w:tcW w:w="505" w:type="pct"/>
            <w:noWrap/>
            <w:vAlign w:val="center"/>
          </w:tcPr>
          <w:p w14:paraId="5C69701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150E2F1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2.3</w:t>
            </w:r>
          </w:p>
        </w:tc>
        <w:tc>
          <w:tcPr>
            <w:tcW w:w="597" w:type="pct"/>
            <w:noWrap/>
            <w:vAlign w:val="center"/>
          </w:tcPr>
          <w:p w14:paraId="06703D8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0.5-2.0vol%</w:t>
            </w:r>
          </w:p>
        </w:tc>
      </w:tr>
      <w:tr w14:paraId="2177D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75263D0C">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CO</w:t>
            </w:r>
          </w:p>
        </w:tc>
        <w:tc>
          <w:tcPr>
            <w:tcW w:w="416" w:type="pct"/>
            <w:noWrap/>
            <w:vAlign w:val="center"/>
          </w:tcPr>
          <w:p w14:paraId="30A95B7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81" w:type="pct"/>
            <w:noWrap/>
            <w:vAlign w:val="center"/>
          </w:tcPr>
          <w:p w14:paraId="4E4E88C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749" w:type="pct"/>
            <w:noWrap/>
            <w:vAlign w:val="center"/>
          </w:tcPr>
          <w:p w14:paraId="483EC2C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416" w:type="pct"/>
            <w:noWrap/>
            <w:vAlign w:val="center"/>
          </w:tcPr>
          <w:p w14:paraId="2901528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75" w:type="pct"/>
            <w:noWrap/>
            <w:vAlign w:val="center"/>
          </w:tcPr>
          <w:p w14:paraId="6705113A">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05" w:type="pct"/>
            <w:noWrap/>
            <w:vAlign w:val="center"/>
          </w:tcPr>
          <w:p w14:paraId="5536682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6D8CEF8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0.1</w:t>
            </w:r>
          </w:p>
        </w:tc>
        <w:tc>
          <w:tcPr>
            <w:tcW w:w="597" w:type="pct"/>
            <w:noWrap/>
            <w:vAlign w:val="center"/>
          </w:tcPr>
          <w:p w14:paraId="55C2528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p>
        </w:tc>
      </w:tr>
      <w:tr w14:paraId="4D96E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153ED30B">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O</w:t>
            </w:r>
            <w:r>
              <w:rPr>
                <w:color w:val="000000"/>
                <w:szCs w:val="18"/>
                <w:vertAlign w:val="subscript"/>
              </w:rPr>
              <w:t>2</w:t>
            </w:r>
          </w:p>
        </w:tc>
        <w:tc>
          <w:tcPr>
            <w:tcW w:w="416" w:type="pct"/>
            <w:noWrap/>
            <w:vAlign w:val="center"/>
          </w:tcPr>
          <w:p w14:paraId="4718E6E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81" w:type="pct"/>
            <w:noWrap/>
            <w:vAlign w:val="center"/>
          </w:tcPr>
          <w:p w14:paraId="570E953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749" w:type="pct"/>
            <w:noWrap/>
            <w:vAlign w:val="center"/>
          </w:tcPr>
          <w:p w14:paraId="6D844C1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&lt;10 ppmwt（spec）</w:t>
            </w:r>
          </w:p>
        </w:tc>
        <w:tc>
          <w:tcPr>
            <w:tcW w:w="416" w:type="pct"/>
            <w:noWrap/>
            <w:vAlign w:val="center"/>
          </w:tcPr>
          <w:p w14:paraId="677B27D6">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75" w:type="pct"/>
            <w:noWrap/>
            <w:vAlign w:val="center"/>
          </w:tcPr>
          <w:p w14:paraId="4AEF4D3C">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505" w:type="pct"/>
            <w:noWrap/>
            <w:vAlign w:val="center"/>
          </w:tcPr>
          <w:p w14:paraId="57703F20">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55C87A2E">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＜50ppmwt</w:t>
            </w:r>
          </w:p>
        </w:tc>
        <w:tc>
          <w:tcPr>
            <w:tcW w:w="597" w:type="pct"/>
            <w:noWrap/>
            <w:vAlign w:val="center"/>
          </w:tcPr>
          <w:p w14:paraId="144FE6BB">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p>
        </w:tc>
      </w:tr>
      <w:tr w14:paraId="0157F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395" w:type="pct"/>
            <w:noWrap/>
            <w:vAlign w:val="center"/>
          </w:tcPr>
          <w:p w14:paraId="3546FCFF">
            <w:pPr>
              <w:pStyle w:val="46"/>
              <w:keepNext w:val="0"/>
              <w:keepLines w:val="0"/>
              <w:pageBreakBefore w:val="0"/>
              <w:widowControl/>
              <w:kinsoku/>
              <w:wordWrap/>
              <w:overflowPunct/>
              <w:topLinePunct w:val="0"/>
              <w:bidi w:val="0"/>
              <w:adjustRightInd w:val="0"/>
              <w:snapToGrid w:val="0"/>
              <w:spacing w:line="240" w:lineRule="auto"/>
              <w:textAlignment w:val="auto"/>
              <w:rPr>
                <w:color w:val="000000"/>
                <w:szCs w:val="18"/>
              </w:rPr>
            </w:pPr>
            <w:r>
              <w:rPr>
                <w:color w:val="000000"/>
                <w:szCs w:val="18"/>
              </w:rPr>
              <w:t>H</w:t>
            </w:r>
            <w:r>
              <w:rPr>
                <w:color w:val="000000"/>
                <w:szCs w:val="18"/>
                <w:vertAlign w:val="subscript"/>
              </w:rPr>
              <w:t>2</w:t>
            </w:r>
            <w:r>
              <w:rPr>
                <w:color w:val="000000"/>
                <w:szCs w:val="18"/>
              </w:rPr>
              <w:t>O</w:t>
            </w:r>
          </w:p>
        </w:tc>
        <w:tc>
          <w:tcPr>
            <w:tcW w:w="416" w:type="pct"/>
            <w:noWrap/>
            <w:vAlign w:val="center"/>
          </w:tcPr>
          <w:p w14:paraId="4CE303CD">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257ppm wt</w:t>
            </w:r>
          </w:p>
        </w:tc>
        <w:tc>
          <w:tcPr>
            <w:tcW w:w="581" w:type="pct"/>
            <w:noWrap/>
            <w:vAlign w:val="center"/>
          </w:tcPr>
          <w:p w14:paraId="105D4C44">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50ppm wt</w:t>
            </w:r>
          </w:p>
        </w:tc>
        <w:tc>
          <w:tcPr>
            <w:tcW w:w="749" w:type="pct"/>
            <w:noWrap/>
            <w:vAlign w:val="center"/>
          </w:tcPr>
          <w:p w14:paraId="3799324F">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257 ppm wt</w:t>
            </w:r>
          </w:p>
        </w:tc>
        <w:tc>
          <w:tcPr>
            <w:tcW w:w="416" w:type="pct"/>
            <w:noWrap/>
            <w:vAlign w:val="center"/>
          </w:tcPr>
          <w:p w14:paraId="1244CFC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p>
        </w:tc>
        <w:tc>
          <w:tcPr>
            <w:tcW w:w="675" w:type="pct"/>
            <w:noWrap/>
            <w:vAlign w:val="center"/>
          </w:tcPr>
          <w:p w14:paraId="405E7EF8">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129ppm wt</w:t>
            </w:r>
          </w:p>
        </w:tc>
        <w:tc>
          <w:tcPr>
            <w:tcW w:w="505" w:type="pct"/>
            <w:noWrap/>
            <w:vAlign w:val="center"/>
          </w:tcPr>
          <w:p w14:paraId="20293F41">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w:t>
            </w:r>
          </w:p>
        </w:tc>
        <w:tc>
          <w:tcPr>
            <w:tcW w:w="661" w:type="pct"/>
            <w:noWrap/>
            <w:vAlign w:val="center"/>
          </w:tcPr>
          <w:p w14:paraId="27746A27">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＜20ppmvol</w:t>
            </w:r>
          </w:p>
        </w:tc>
        <w:tc>
          <w:tcPr>
            <w:tcW w:w="597" w:type="pct"/>
            <w:noWrap/>
            <w:vAlign w:val="center"/>
          </w:tcPr>
          <w:p w14:paraId="31979812">
            <w:pPr>
              <w:keepNext w:val="0"/>
              <w:keepLines w:val="0"/>
              <w:pageBreakBefore w:val="0"/>
              <w:widowControl/>
              <w:kinsoku/>
              <w:wordWrap/>
              <w:overflowPunct/>
              <w:topLinePunct w:val="0"/>
              <w:bidi w:val="0"/>
              <w:adjustRightInd w:val="0"/>
              <w:snapToGrid w:val="0"/>
              <w:spacing w:line="240" w:lineRule="auto"/>
              <w:ind w:firstLine="0" w:firstLineChars="0"/>
              <w:jc w:val="center"/>
              <w:textAlignment w:val="auto"/>
              <w:rPr>
                <w:color w:val="000000"/>
                <w:kern w:val="0"/>
                <w:sz w:val="21"/>
                <w:szCs w:val="18"/>
              </w:rPr>
            </w:pPr>
            <w:r>
              <w:rPr>
                <w:color w:val="000000"/>
                <w:kern w:val="0"/>
                <w:sz w:val="21"/>
                <w:szCs w:val="18"/>
              </w:rPr>
              <w:t>饱和</w:t>
            </w:r>
          </w:p>
        </w:tc>
      </w:tr>
    </w:tbl>
    <w:p w14:paraId="534203F0">
      <w:pPr>
        <w:pStyle w:val="25"/>
        <w:ind w:firstLine="0" w:firstLineChars="0"/>
      </w:pPr>
      <w:bookmarkStart w:id="11" w:name="_Toc186037016"/>
      <w:bookmarkStart w:id="12" w:name="_Toc165436604"/>
      <w:r>
        <w:rPr>
          <w:rFonts w:hint="eastAsia"/>
        </w:rPr>
        <w:t>五、与有关的现行法律、法规和强制性国家标准的关系</w:t>
      </w:r>
      <w:bookmarkEnd w:id="11"/>
    </w:p>
    <w:p w14:paraId="5418E57A">
      <w:pPr>
        <w:ind w:firstLine="480"/>
      </w:pPr>
      <w:r>
        <w:t>《</w:t>
      </w:r>
      <w:r>
        <w:rPr>
          <w:rFonts w:hint="eastAsia"/>
        </w:rPr>
        <w:t>进入二氧化碳管道</w:t>
      </w:r>
      <w:r>
        <w:rPr>
          <w:rFonts w:hint="eastAsia"/>
          <w:lang w:val="en-US" w:eastAsia="zh-CN"/>
        </w:rPr>
        <w:t>的</w:t>
      </w:r>
      <w:r>
        <w:rPr>
          <w:rFonts w:hint="eastAsia"/>
        </w:rPr>
        <w:t>介质质量要求</w:t>
      </w:r>
      <w:r>
        <w:t>》标准的制定参考了国内外相关标准，结合目前国内的实际情况，本标准采用了科学、可行的试验方法。</w:t>
      </w:r>
    </w:p>
    <w:p w14:paraId="5D0E48D7">
      <w:pPr>
        <w:ind w:firstLine="480"/>
      </w:pPr>
      <w:r>
        <w:t>《</w:t>
      </w:r>
      <w:r>
        <w:rPr>
          <w:rFonts w:hint="eastAsia"/>
        </w:rPr>
        <w:t>进入二氧化碳管道</w:t>
      </w:r>
      <w:r>
        <w:rPr>
          <w:rFonts w:hint="eastAsia"/>
          <w:lang w:val="en-US" w:eastAsia="zh-CN"/>
        </w:rPr>
        <w:t>的</w:t>
      </w:r>
      <w:r>
        <w:rPr>
          <w:rFonts w:hint="eastAsia"/>
        </w:rPr>
        <w:t>介质质量要求</w:t>
      </w:r>
      <w:r>
        <w:t>》标准与现行法律、法规、强制性国家标准及制定中的标准协调一致，不存在冲突关系。</w:t>
      </w:r>
    </w:p>
    <w:p w14:paraId="5F0203D2">
      <w:pPr>
        <w:pStyle w:val="25"/>
        <w:ind w:firstLine="0" w:firstLineChars="0"/>
      </w:pPr>
      <w:bookmarkStart w:id="13" w:name="_Toc186037017"/>
      <w:r>
        <w:rPr>
          <w:rFonts w:hint="eastAsia"/>
        </w:rPr>
        <w:t>六、重大分歧意见的处理经过和依据</w:t>
      </w:r>
      <w:bookmarkEnd w:id="13"/>
    </w:p>
    <w:p w14:paraId="215FA92B">
      <w:pPr>
        <w:ind w:firstLine="480"/>
      </w:pPr>
      <w:r>
        <w:rPr>
          <w:rFonts w:hint="eastAsia"/>
        </w:rPr>
        <w:t>目前无重大分歧。</w:t>
      </w:r>
    </w:p>
    <w:p w14:paraId="27DF3105">
      <w:pPr>
        <w:pStyle w:val="25"/>
        <w:ind w:firstLine="0" w:firstLineChars="0"/>
      </w:pPr>
      <w:bookmarkStart w:id="14" w:name="_Toc186037018"/>
      <w:r>
        <w:rPr>
          <w:rFonts w:hint="eastAsia"/>
        </w:rPr>
        <w:t>七、国家标准作为强制性国家标准或推荐性国家标准的建议</w:t>
      </w:r>
      <w:bookmarkEnd w:id="14"/>
    </w:p>
    <w:p w14:paraId="3723EAB4">
      <w:pPr>
        <w:autoSpaceDE w:val="0"/>
        <w:autoSpaceDN w:val="0"/>
        <w:adjustRightInd w:val="0"/>
        <w:ind w:firstLine="475" w:firstLineChars="198"/>
        <w:jc w:val="left"/>
        <w:rPr>
          <w:rFonts w:ascii="宋体" w:hAnsi="宋体" w:cs="宋体"/>
          <w:kern w:val="0"/>
          <w:szCs w:val="24"/>
        </w:rPr>
      </w:pPr>
      <w:r>
        <w:rPr>
          <w:rFonts w:hint="eastAsia" w:ascii="宋体" w:hAnsi="宋体" w:cs="宋体"/>
          <w:kern w:val="0"/>
          <w:szCs w:val="24"/>
        </w:rPr>
        <w:t>建议作为推荐性标准发布。</w:t>
      </w:r>
    </w:p>
    <w:p w14:paraId="47F4AE9B">
      <w:pPr>
        <w:pStyle w:val="25"/>
        <w:ind w:firstLine="0" w:firstLineChars="0"/>
      </w:pPr>
      <w:bookmarkStart w:id="15" w:name="_Toc186037019"/>
      <w:r>
        <w:rPr>
          <w:rFonts w:hint="eastAsia"/>
        </w:rPr>
        <w:t>八、贯彻国家标准的要求和措施建议（包括组织措施、技术措施、过渡办法等内容）</w:t>
      </w:r>
      <w:bookmarkEnd w:id="15"/>
    </w:p>
    <w:p w14:paraId="0223FA49">
      <w:pPr>
        <w:ind w:firstLine="480"/>
        <w:rPr>
          <w:szCs w:val="24"/>
        </w:rPr>
      </w:pPr>
      <w:r>
        <w:rPr>
          <w:rFonts w:hint="eastAsia"/>
          <w:szCs w:val="24"/>
        </w:rPr>
        <w:t>为进一步贯彻《</w:t>
      </w:r>
      <w:r>
        <w:rPr>
          <w:rFonts w:hint="eastAsia"/>
        </w:rPr>
        <w:t>进入二氧化碳管道</w:t>
      </w:r>
      <w:r>
        <w:rPr>
          <w:rFonts w:hint="eastAsia"/>
          <w:lang w:val="en-US" w:eastAsia="zh-CN"/>
        </w:rPr>
        <w:t>的</w:t>
      </w:r>
      <w:r>
        <w:rPr>
          <w:rFonts w:hint="eastAsia"/>
        </w:rPr>
        <w:t>介质质量要求</w:t>
      </w:r>
      <w:r>
        <w:rPr>
          <w:rFonts w:hint="eastAsia"/>
          <w:szCs w:val="24"/>
        </w:rPr>
        <w:t>》标准，要求相关生产单位与用户的质量管理部门理解《</w:t>
      </w:r>
      <w:r>
        <w:rPr>
          <w:rFonts w:hint="eastAsia"/>
        </w:rPr>
        <w:t>进入二氧化碳管道</w:t>
      </w:r>
      <w:r>
        <w:rPr>
          <w:rFonts w:hint="eastAsia"/>
          <w:lang w:val="en-US" w:eastAsia="zh-CN"/>
        </w:rPr>
        <w:t>的</w:t>
      </w:r>
      <w:r>
        <w:rPr>
          <w:rFonts w:hint="eastAsia"/>
        </w:rPr>
        <w:t>介质质量要求</w:t>
      </w:r>
      <w:r>
        <w:rPr>
          <w:rFonts w:hint="eastAsia"/>
          <w:szCs w:val="24"/>
        </w:rPr>
        <w:t>》标准的内容及其意义。具体贯彻标准的措施如下：</w:t>
      </w:r>
    </w:p>
    <w:p w14:paraId="792A6757">
      <w:pPr>
        <w:ind w:firstLine="480"/>
        <w:rPr>
          <w:szCs w:val="24"/>
        </w:rPr>
      </w:pPr>
      <w:r>
        <w:rPr>
          <w:rFonts w:hint="eastAsia"/>
          <w:szCs w:val="24"/>
        </w:rPr>
        <w:t>（1）组织措施：</w:t>
      </w:r>
      <w:r>
        <w:rPr>
          <w:szCs w:val="24"/>
        </w:rPr>
        <w:t>成立专门的工作组或委员会，负责标准的宣贯和实施监督。组织标准的培训和研讨会，提高相关执行单位对标准内容的理解和执行能力。通过门户网站、全国标准信息公共服务平台等渠道向社会公开征求意见，同时向涉及的其他国务院有关行政主管部门、企业事业单位和科研机构等相关方征求意见</w:t>
      </w:r>
      <w:r>
        <w:rPr>
          <w:rFonts w:hint="eastAsia"/>
          <w:szCs w:val="24"/>
        </w:rPr>
        <w:t>。</w:t>
      </w:r>
    </w:p>
    <w:p w14:paraId="703F2F83">
      <w:pPr>
        <w:ind w:firstLine="480"/>
        <w:rPr>
          <w:szCs w:val="24"/>
        </w:rPr>
      </w:pPr>
      <w:r>
        <w:rPr>
          <w:rFonts w:hint="eastAsia"/>
          <w:szCs w:val="24"/>
        </w:rPr>
        <w:t>（2）技术措施：</w:t>
      </w:r>
      <w:r>
        <w:rPr>
          <w:szCs w:val="24"/>
        </w:rPr>
        <w:t>对于需要配套标准样品保证其有效实施的技术指标以及有关分析试验方法，制定相应的国家标准样品</w:t>
      </w:r>
      <w:r>
        <w:rPr>
          <w:rFonts w:hint="eastAsia"/>
          <w:szCs w:val="24"/>
        </w:rPr>
        <w:t>。</w:t>
      </w:r>
      <w:r>
        <w:rPr>
          <w:szCs w:val="24"/>
        </w:rPr>
        <w:t>推动标准与相应国际标准的制修订同步，加快适用国际标准的转化运用。</w:t>
      </w:r>
    </w:p>
    <w:p w14:paraId="65A1EB51">
      <w:pPr>
        <w:ind w:firstLine="480"/>
        <w:rPr>
          <w:szCs w:val="24"/>
        </w:rPr>
      </w:pPr>
      <w:r>
        <w:rPr>
          <w:rFonts w:hint="eastAsia"/>
          <w:szCs w:val="24"/>
        </w:rPr>
        <w:t>（3）过渡办法：</w:t>
      </w:r>
      <w:r>
        <w:rPr>
          <w:szCs w:val="24"/>
        </w:rPr>
        <w:t>明确标准的过渡期和实施日期，为相关单位提供足够的时间进行调整和准备。过渡期内，允许旧标准与新标准并行使用，以减少对企业运营的影响。对于重大分歧意见，应有明确的处理经过和依据，确保过渡期的平稳进行。</w:t>
      </w:r>
    </w:p>
    <w:p w14:paraId="0F5835E7">
      <w:pPr>
        <w:ind w:firstLine="480"/>
        <w:rPr>
          <w:szCs w:val="24"/>
        </w:rPr>
      </w:pPr>
      <w:r>
        <w:rPr>
          <w:rFonts w:hint="eastAsia"/>
          <w:szCs w:val="24"/>
        </w:rPr>
        <w:t>（4）配套使用的建议：</w:t>
      </w:r>
      <w:r>
        <w:rPr>
          <w:szCs w:val="24"/>
        </w:rPr>
        <w:t>鼓励采用国际标准和国外先进标准，与国际、国外同类标准进行技术内容对比，或与测试的国外样品、样机的有关数据对比。对于以国际标准为基础起草的国家标准，应当符合有关国际组织的版权政策。</w:t>
      </w:r>
    </w:p>
    <w:p w14:paraId="2DD9E2F9">
      <w:pPr>
        <w:pStyle w:val="25"/>
        <w:ind w:firstLine="0" w:firstLineChars="0"/>
      </w:pPr>
      <w:bookmarkStart w:id="16" w:name="_Toc186037020"/>
      <w:r>
        <w:rPr>
          <w:rFonts w:hint="eastAsia"/>
        </w:rPr>
        <w:t>九、废止现行有关标准的建议</w:t>
      </w:r>
      <w:bookmarkEnd w:id="16"/>
    </w:p>
    <w:p w14:paraId="3E363E64">
      <w:pPr>
        <w:ind w:firstLine="480"/>
        <w:rPr>
          <w:rFonts w:hint="eastAsia"/>
          <w:szCs w:val="24"/>
        </w:rPr>
      </w:pPr>
      <w:r>
        <w:rPr>
          <w:rFonts w:hint="eastAsia"/>
          <w:szCs w:val="24"/>
        </w:rPr>
        <w:t>本标准为首次制定标准。</w:t>
      </w:r>
    </w:p>
    <w:p w14:paraId="752D8223">
      <w:pPr>
        <w:pStyle w:val="25"/>
        <w:ind w:firstLine="0" w:firstLineChars="0"/>
      </w:pPr>
      <w:bookmarkStart w:id="17" w:name="_Toc186037021"/>
      <w:r>
        <w:rPr>
          <w:rFonts w:hint="eastAsia"/>
        </w:rPr>
        <w:t>十、其他应予说明的事项</w:t>
      </w:r>
      <w:bookmarkEnd w:id="17"/>
    </w:p>
    <w:p w14:paraId="54698171">
      <w:pPr>
        <w:pStyle w:val="47"/>
        <w:spacing w:line="360" w:lineRule="auto"/>
        <w:ind w:firstLine="480"/>
        <w:rPr>
          <w:rFonts w:hint="default" w:ascii="Times New Roman" w:eastAsia="宋体"/>
          <w:sz w:val="24"/>
          <w:szCs w:val="24"/>
          <w:lang w:val="en-US" w:eastAsia="zh-CN"/>
        </w:rPr>
      </w:pPr>
      <w:r>
        <w:rPr>
          <w:rFonts w:hint="eastAsia" w:ascii="Times New Roman"/>
          <w:sz w:val="24"/>
          <w:szCs w:val="24"/>
          <w:lang w:val="en-US" w:eastAsia="zh-CN"/>
        </w:rPr>
        <w:t>本标准立项审查会时，评审专家建议本标准名称修改为《进入二氧化碳长输管道介质质量要求》。</w:t>
      </w:r>
    </w:p>
    <w:p w14:paraId="2F4FD265">
      <w:pPr>
        <w:pStyle w:val="47"/>
        <w:spacing w:line="360" w:lineRule="auto"/>
        <w:ind w:firstLine="480"/>
        <w:rPr>
          <w:rFonts w:hint="eastAsia" w:ascii="Times New Roman"/>
          <w:sz w:val="24"/>
          <w:szCs w:val="24"/>
        </w:rPr>
      </w:pPr>
      <w:r>
        <w:rPr>
          <w:rFonts w:hint="eastAsia" w:ascii="Times New Roman"/>
          <w:sz w:val="24"/>
          <w:szCs w:val="24"/>
        </w:rPr>
        <w:t>本标准的应用可能涉及危险物质及其操作和设备。但本标准没有说明与其使用有关的所有安全问题。本标准的使用者有责任制定适当的安全和健康措施，并在使用前确定其适用性或适用范围。</w:t>
      </w:r>
      <w:bookmarkEnd w:id="12"/>
    </w:p>
    <w:sectPr>
      <w:pgSz w:w="11906" w:h="16838"/>
      <w:pgMar w:top="1440" w:right="1803" w:bottom="1440" w:left="1803" w:header="851" w:footer="992" w:gutter="0"/>
      <w:cols w:space="720" w:num="1"/>
      <w:docGrid w:type="lines"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041BF">
    <w:pPr>
      <w:pStyle w:val="16"/>
      <w:framePr w:wrap="around" w:vAnchor="text" w:hAnchor="margin" w:xAlign="center" w:y="1"/>
      <w:ind w:firstLine="360"/>
      <w:rPr>
        <w:rStyle w:val="31"/>
      </w:rPr>
    </w:pPr>
    <w:r>
      <w:rPr>
        <w:rStyle w:val="31"/>
      </w:rPr>
      <w:fldChar w:fldCharType="begin"/>
    </w:r>
    <w:r>
      <w:rPr>
        <w:rStyle w:val="31"/>
      </w:rPr>
      <w:instrText xml:space="preserve">PAGE  </w:instrText>
    </w:r>
    <w:r>
      <w:rPr>
        <w:rStyle w:val="31"/>
      </w:rPr>
      <w:fldChar w:fldCharType="separate"/>
    </w:r>
    <w:r>
      <w:rPr>
        <w:rStyle w:val="31"/>
      </w:rPr>
      <w:t>12</w:t>
    </w:r>
    <w:r>
      <w:rPr>
        <w:rStyle w:val="31"/>
      </w:rPr>
      <w:fldChar w:fldCharType="end"/>
    </w:r>
  </w:p>
  <w:p w14:paraId="7A3A4804">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EEFBDA">
    <w:pPr>
      <w:pStyle w:val="16"/>
      <w:framePr w:wrap="around" w:vAnchor="text" w:hAnchor="margin" w:xAlign="center" w:y="1"/>
      <w:ind w:firstLine="360"/>
      <w:rPr>
        <w:rStyle w:val="31"/>
      </w:rPr>
    </w:pPr>
    <w:r>
      <w:rPr>
        <w:rStyle w:val="31"/>
      </w:rPr>
      <w:fldChar w:fldCharType="begin"/>
    </w:r>
    <w:r>
      <w:rPr>
        <w:rStyle w:val="31"/>
      </w:rPr>
      <w:instrText xml:space="preserve">PAGE  </w:instrText>
    </w:r>
    <w:r>
      <w:rPr>
        <w:rStyle w:val="31"/>
      </w:rPr>
      <w:fldChar w:fldCharType="separate"/>
    </w:r>
    <w:r>
      <w:rPr>
        <w:rStyle w:val="31"/>
      </w:rPr>
      <w:t>4</w:t>
    </w:r>
    <w:r>
      <w:rPr>
        <w:rStyle w:val="31"/>
      </w:rPr>
      <w:fldChar w:fldCharType="end"/>
    </w:r>
  </w:p>
  <w:p w14:paraId="5E204076">
    <w:pPr>
      <w:pStyle w:val="1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EFB00"/>
    <w:multiLevelType w:val="singleLevel"/>
    <w:tmpl w:val="B4FEFB00"/>
    <w:lvl w:ilvl="0" w:tentative="0">
      <w:start w:val="2"/>
      <w:numFmt w:val="decimal"/>
      <w:suff w:val="nothing"/>
      <w:lvlText w:val="（%1）"/>
      <w:lvlJc w:val="left"/>
    </w:lvl>
  </w:abstractNum>
  <w:abstractNum w:abstractNumId="1">
    <w:nsid w:val="F7C4FD87"/>
    <w:multiLevelType w:val="singleLevel"/>
    <w:tmpl w:val="F7C4FD87"/>
    <w:lvl w:ilvl="0" w:tentative="0">
      <w:start w:val="3"/>
      <w:numFmt w:val="decimal"/>
      <w:suff w:val="nothing"/>
      <w:lvlText w:val="（%1）"/>
      <w:lvlJc w:val="left"/>
    </w:lvl>
  </w:abstractNum>
  <w:abstractNum w:abstractNumId="2">
    <w:nsid w:val="6A9A6F4B"/>
    <w:multiLevelType w:val="multilevel"/>
    <w:tmpl w:val="6A9A6F4B"/>
    <w:lvl w:ilvl="0" w:tentative="0">
      <w:start w:val="1"/>
      <w:numFmt w:val="decimal"/>
      <w:lvlText w:val="%1"/>
      <w:lvlJc w:val="left"/>
      <w:pPr>
        <w:tabs>
          <w:tab w:val="left" w:pos="425"/>
        </w:tabs>
        <w:ind w:left="425" w:hanging="425"/>
      </w:pPr>
      <w:rPr>
        <w:rFonts w:hint="eastAsia"/>
      </w:rPr>
    </w:lvl>
    <w:lvl w:ilvl="1" w:tentative="0">
      <w:start w:val="1"/>
      <w:numFmt w:val="decimal"/>
      <w:pStyle w:val="3"/>
      <w:lvlText w:val="%1.%2"/>
      <w:lvlJc w:val="left"/>
      <w:pPr>
        <w:tabs>
          <w:tab w:val="left" w:pos="567"/>
        </w:tabs>
        <w:ind w:left="567" w:hanging="567"/>
      </w:pPr>
      <w:rPr>
        <w:rFonts w:hint="eastAsia"/>
      </w:rPr>
    </w:lvl>
    <w:lvl w:ilvl="2" w:tentative="0">
      <w:start w:val="1"/>
      <w:numFmt w:val="decimal"/>
      <w:pStyle w:val="4"/>
      <w:lvlText w:val="3.%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53"/>
      <w:suff w:val="nothing"/>
      <w:lvlText w:val="%1%2　"/>
      <w:lvlJc w:val="left"/>
      <w:pPr>
        <w:ind w:left="0" w:firstLine="0"/>
      </w:pPr>
      <w:rPr>
        <w:rFonts w:hint="eastAsia" w:ascii="黑体" w:eastAsia="黑体"/>
        <w:b w:val="0"/>
        <w:i w:val="0"/>
        <w:sz w:val="21"/>
      </w:rPr>
    </w:lvl>
    <w:lvl w:ilvl="2" w:tentative="0">
      <w:start w:val="1"/>
      <w:numFmt w:val="decimal"/>
      <w:pStyle w:val="5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8A8"/>
    <w:rsid w:val="00010B29"/>
    <w:rsid w:val="00011775"/>
    <w:rsid w:val="0002040D"/>
    <w:rsid w:val="00025405"/>
    <w:rsid w:val="00041D4C"/>
    <w:rsid w:val="00061897"/>
    <w:rsid w:val="0006713B"/>
    <w:rsid w:val="00073888"/>
    <w:rsid w:val="00080007"/>
    <w:rsid w:val="00095557"/>
    <w:rsid w:val="000A11E7"/>
    <w:rsid w:val="000A143A"/>
    <w:rsid w:val="000B4C7B"/>
    <w:rsid w:val="000B7195"/>
    <w:rsid w:val="000D19AB"/>
    <w:rsid w:val="000E4D80"/>
    <w:rsid w:val="000E4E59"/>
    <w:rsid w:val="00100554"/>
    <w:rsid w:val="00112C11"/>
    <w:rsid w:val="001217B6"/>
    <w:rsid w:val="00137A1F"/>
    <w:rsid w:val="00152028"/>
    <w:rsid w:val="00154F79"/>
    <w:rsid w:val="0016330C"/>
    <w:rsid w:val="001639F8"/>
    <w:rsid w:val="00187835"/>
    <w:rsid w:val="001B348A"/>
    <w:rsid w:val="001B3E3D"/>
    <w:rsid w:val="001B627C"/>
    <w:rsid w:val="001C44B1"/>
    <w:rsid w:val="001F03F8"/>
    <w:rsid w:val="001F475B"/>
    <w:rsid w:val="001F5CD8"/>
    <w:rsid w:val="00201C19"/>
    <w:rsid w:val="0020292B"/>
    <w:rsid w:val="00205C04"/>
    <w:rsid w:val="00230027"/>
    <w:rsid w:val="0023741A"/>
    <w:rsid w:val="002374F9"/>
    <w:rsid w:val="00242232"/>
    <w:rsid w:val="00243950"/>
    <w:rsid w:val="00250C8B"/>
    <w:rsid w:val="00252D9E"/>
    <w:rsid w:val="00254944"/>
    <w:rsid w:val="00256B27"/>
    <w:rsid w:val="00264256"/>
    <w:rsid w:val="00265A0B"/>
    <w:rsid w:val="00282D5E"/>
    <w:rsid w:val="002863F0"/>
    <w:rsid w:val="002A0E5A"/>
    <w:rsid w:val="002C1797"/>
    <w:rsid w:val="002C25FE"/>
    <w:rsid w:val="002D55B2"/>
    <w:rsid w:val="002E285A"/>
    <w:rsid w:val="002E55DD"/>
    <w:rsid w:val="003031F0"/>
    <w:rsid w:val="00310998"/>
    <w:rsid w:val="0031505A"/>
    <w:rsid w:val="00315128"/>
    <w:rsid w:val="00323C72"/>
    <w:rsid w:val="003248B9"/>
    <w:rsid w:val="003269FA"/>
    <w:rsid w:val="003804FA"/>
    <w:rsid w:val="00387279"/>
    <w:rsid w:val="00387549"/>
    <w:rsid w:val="003911E3"/>
    <w:rsid w:val="00394A3D"/>
    <w:rsid w:val="00395CD6"/>
    <w:rsid w:val="003A15B6"/>
    <w:rsid w:val="003A3317"/>
    <w:rsid w:val="003A3BC5"/>
    <w:rsid w:val="003C6CF6"/>
    <w:rsid w:val="003D1BF1"/>
    <w:rsid w:val="003D1FC7"/>
    <w:rsid w:val="003D6B98"/>
    <w:rsid w:val="003E7E38"/>
    <w:rsid w:val="00403FB4"/>
    <w:rsid w:val="00410EDD"/>
    <w:rsid w:val="0041323D"/>
    <w:rsid w:val="00414510"/>
    <w:rsid w:val="00415E03"/>
    <w:rsid w:val="00417306"/>
    <w:rsid w:val="0043408D"/>
    <w:rsid w:val="00450CEF"/>
    <w:rsid w:val="00462DFA"/>
    <w:rsid w:val="00465636"/>
    <w:rsid w:val="004754DA"/>
    <w:rsid w:val="0047665D"/>
    <w:rsid w:val="0048032C"/>
    <w:rsid w:val="00486E90"/>
    <w:rsid w:val="004873A5"/>
    <w:rsid w:val="00493D2C"/>
    <w:rsid w:val="00496D8B"/>
    <w:rsid w:val="004B0D5A"/>
    <w:rsid w:val="004C07DC"/>
    <w:rsid w:val="004C1EB9"/>
    <w:rsid w:val="004C576A"/>
    <w:rsid w:val="004C6C9C"/>
    <w:rsid w:val="004D03F3"/>
    <w:rsid w:val="004D0863"/>
    <w:rsid w:val="004D2878"/>
    <w:rsid w:val="004D5F9C"/>
    <w:rsid w:val="004E0B04"/>
    <w:rsid w:val="004E1FB5"/>
    <w:rsid w:val="00500D06"/>
    <w:rsid w:val="00511381"/>
    <w:rsid w:val="00517D84"/>
    <w:rsid w:val="00523363"/>
    <w:rsid w:val="00524DD4"/>
    <w:rsid w:val="0054379E"/>
    <w:rsid w:val="00544178"/>
    <w:rsid w:val="00550D62"/>
    <w:rsid w:val="00553B8E"/>
    <w:rsid w:val="005631DE"/>
    <w:rsid w:val="00567367"/>
    <w:rsid w:val="0058093E"/>
    <w:rsid w:val="00581CA6"/>
    <w:rsid w:val="005948E4"/>
    <w:rsid w:val="005968B7"/>
    <w:rsid w:val="00597ED8"/>
    <w:rsid w:val="005A50EA"/>
    <w:rsid w:val="005B52FA"/>
    <w:rsid w:val="005C0D02"/>
    <w:rsid w:val="005C0FF7"/>
    <w:rsid w:val="005D5E5F"/>
    <w:rsid w:val="005F2B4A"/>
    <w:rsid w:val="005F68C1"/>
    <w:rsid w:val="00607BC9"/>
    <w:rsid w:val="00613A2C"/>
    <w:rsid w:val="006215A7"/>
    <w:rsid w:val="00633627"/>
    <w:rsid w:val="00637A82"/>
    <w:rsid w:val="00641031"/>
    <w:rsid w:val="006420D9"/>
    <w:rsid w:val="00663574"/>
    <w:rsid w:val="0066566B"/>
    <w:rsid w:val="00676F49"/>
    <w:rsid w:val="006772DD"/>
    <w:rsid w:val="00695B56"/>
    <w:rsid w:val="00695DDA"/>
    <w:rsid w:val="006A1CAE"/>
    <w:rsid w:val="006A1CC7"/>
    <w:rsid w:val="006A1E96"/>
    <w:rsid w:val="006A79BA"/>
    <w:rsid w:val="006B4945"/>
    <w:rsid w:val="006C03B4"/>
    <w:rsid w:val="006D287E"/>
    <w:rsid w:val="006D5A3F"/>
    <w:rsid w:val="006D7177"/>
    <w:rsid w:val="006F1587"/>
    <w:rsid w:val="006F7D42"/>
    <w:rsid w:val="0070795C"/>
    <w:rsid w:val="00713805"/>
    <w:rsid w:val="0072782A"/>
    <w:rsid w:val="00731483"/>
    <w:rsid w:val="00735129"/>
    <w:rsid w:val="00742253"/>
    <w:rsid w:val="00744988"/>
    <w:rsid w:val="00747C86"/>
    <w:rsid w:val="00753454"/>
    <w:rsid w:val="0076138E"/>
    <w:rsid w:val="00761CB6"/>
    <w:rsid w:val="00763D66"/>
    <w:rsid w:val="00771ED6"/>
    <w:rsid w:val="007741C0"/>
    <w:rsid w:val="0078334F"/>
    <w:rsid w:val="00783760"/>
    <w:rsid w:val="00793B0E"/>
    <w:rsid w:val="007943B9"/>
    <w:rsid w:val="007A6485"/>
    <w:rsid w:val="007B053E"/>
    <w:rsid w:val="007B3111"/>
    <w:rsid w:val="007B32D0"/>
    <w:rsid w:val="007B7718"/>
    <w:rsid w:val="007D59C8"/>
    <w:rsid w:val="007E2F4C"/>
    <w:rsid w:val="007E4837"/>
    <w:rsid w:val="007E514D"/>
    <w:rsid w:val="007E6744"/>
    <w:rsid w:val="007F034F"/>
    <w:rsid w:val="00800BE4"/>
    <w:rsid w:val="00810E78"/>
    <w:rsid w:val="00814762"/>
    <w:rsid w:val="00815C32"/>
    <w:rsid w:val="008164C0"/>
    <w:rsid w:val="0082225C"/>
    <w:rsid w:val="0083491D"/>
    <w:rsid w:val="0083691A"/>
    <w:rsid w:val="00837058"/>
    <w:rsid w:val="008449EC"/>
    <w:rsid w:val="00845E5E"/>
    <w:rsid w:val="00845EDA"/>
    <w:rsid w:val="00860531"/>
    <w:rsid w:val="00861A52"/>
    <w:rsid w:val="00866F72"/>
    <w:rsid w:val="00870F4D"/>
    <w:rsid w:val="008718B8"/>
    <w:rsid w:val="00880871"/>
    <w:rsid w:val="00881E2F"/>
    <w:rsid w:val="00885C50"/>
    <w:rsid w:val="00896E57"/>
    <w:rsid w:val="008A259F"/>
    <w:rsid w:val="008A5929"/>
    <w:rsid w:val="008B3CB9"/>
    <w:rsid w:val="008C058E"/>
    <w:rsid w:val="008C0628"/>
    <w:rsid w:val="008C5A59"/>
    <w:rsid w:val="008C7341"/>
    <w:rsid w:val="008E4F95"/>
    <w:rsid w:val="008F1D2E"/>
    <w:rsid w:val="00914B4B"/>
    <w:rsid w:val="00914F5F"/>
    <w:rsid w:val="009208A8"/>
    <w:rsid w:val="00926A25"/>
    <w:rsid w:val="009279CE"/>
    <w:rsid w:val="00930078"/>
    <w:rsid w:val="00934434"/>
    <w:rsid w:val="0095088D"/>
    <w:rsid w:val="00952595"/>
    <w:rsid w:val="00952BFD"/>
    <w:rsid w:val="00970B6F"/>
    <w:rsid w:val="009903FF"/>
    <w:rsid w:val="00992797"/>
    <w:rsid w:val="009A5524"/>
    <w:rsid w:val="009A7331"/>
    <w:rsid w:val="009A7AF8"/>
    <w:rsid w:val="009B090B"/>
    <w:rsid w:val="009B27B2"/>
    <w:rsid w:val="009B28A2"/>
    <w:rsid w:val="009C3F40"/>
    <w:rsid w:val="009E0C58"/>
    <w:rsid w:val="009E2ABD"/>
    <w:rsid w:val="009E310C"/>
    <w:rsid w:val="009F3670"/>
    <w:rsid w:val="00A03D51"/>
    <w:rsid w:val="00A041D7"/>
    <w:rsid w:val="00A0566D"/>
    <w:rsid w:val="00A24741"/>
    <w:rsid w:val="00A32340"/>
    <w:rsid w:val="00A350F6"/>
    <w:rsid w:val="00A4174D"/>
    <w:rsid w:val="00A453BF"/>
    <w:rsid w:val="00A54252"/>
    <w:rsid w:val="00A57CEF"/>
    <w:rsid w:val="00A90939"/>
    <w:rsid w:val="00A915E5"/>
    <w:rsid w:val="00AA0D6E"/>
    <w:rsid w:val="00AB2E1A"/>
    <w:rsid w:val="00AB5C7D"/>
    <w:rsid w:val="00AC6047"/>
    <w:rsid w:val="00AD201F"/>
    <w:rsid w:val="00AD6100"/>
    <w:rsid w:val="00AE4BF3"/>
    <w:rsid w:val="00AE7010"/>
    <w:rsid w:val="00AE7DE1"/>
    <w:rsid w:val="00B03202"/>
    <w:rsid w:val="00B12893"/>
    <w:rsid w:val="00B1712A"/>
    <w:rsid w:val="00B20844"/>
    <w:rsid w:val="00B22DFD"/>
    <w:rsid w:val="00B23A2A"/>
    <w:rsid w:val="00B41831"/>
    <w:rsid w:val="00B522BD"/>
    <w:rsid w:val="00B671C6"/>
    <w:rsid w:val="00B73D46"/>
    <w:rsid w:val="00B76FD2"/>
    <w:rsid w:val="00B82D97"/>
    <w:rsid w:val="00B87AC9"/>
    <w:rsid w:val="00B94CB1"/>
    <w:rsid w:val="00BA2D9F"/>
    <w:rsid w:val="00BD4652"/>
    <w:rsid w:val="00BD6AF4"/>
    <w:rsid w:val="00BD7CFB"/>
    <w:rsid w:val="00BD7E84"/>
    <w:rsid w:val="00BE25FE"/>
    <w:rsid w:val="00C027B7"/>
    <w:rsid w:val="00C10CE0"/>
    <w:rsid w:val="00C12628"/>
    <w:rsid w:val="00C139C8"/>
    <w:rsid w:val="00C15AC1"/>
    <w:rsid w:val="00C17E51"/>
    <w:rsid w:val="00C20A5B"/>
    <w:rsid w:val="00C334D9"/>
    <w:rsid w:val="00C3509D"/>
    <w:rsid w:val="00C536C2"/>
    <w:rsid w:val="00C5486E"/>
    <w:rsid w:val="00C566FA"/>
    <w:rsid w:val="00C67BC9"/>
    <w:rsid w:val="00C74166"/>
    <w:rsid w:val="00C7444D"/>
    <w:rsid w:val="00C820D9"/>
    <w:rsid w:val="00C8659F"/>
    <w:rsid w:val="00C87582"/>
    <w:rsid w:val="00C954B1"/>
    <w:rsid w:val="00C9650F"/>
    <w:rsid w:val="00CA1B6C"/>
    <w:rsid w:val="00CA2755"/>
    <w:rsid w:val="00CA29EC"/>
    <w:rsid w:val="00CA7C20"/>
    <w:rsid w:val="00CB405D"/>
    <w:rsid w:val="00CB621C"/>
    <w:rsid w:val="00CC118C"/>
    <w:rsid w:val="00CC3926"/>
    <w:rsid w:val="00CD5345"/>
    <w:rsid w:val="00CD630A"/>
    <w:rsid w:val="00CE2603"/>
    <w:rsid w:val="00CF1BE3"/>
    <w:rsid w:val="00CF7839"/>
    <w:rsid w:val="00D00C24"/>
    <w:rsid w:val="00D1503D"/>
    <w:rsid w:val="00D15A70"/>
    <w:rsid w:val="00D23FF7"/>
    <w:rsid w:val="00D243BC"/>
    <w:rsid w:val="00D37E07"/>
    <w:rsid w:val="00D50017"/>
    <w:rsid w:val="00D521EF"/>
    <w:rsid w:val="00D53D36"/>
    <w:rsid w:val="00D53EC4"/>
    <w:rsid w:val="00D60ED8"/>
    <w:rsid w:val="00D638F5"/>
    <w:rsid w:val="00D66541"/>
    <w:rsid w:val="00D745A0"/>
    <w:rsid w:val="00D87294"/>
    <w:rsid w:val="00D908FF"/>
    <w:rsid w:val="00D910DF"/>
    <w:rsid w:val="00DA0B3A"/>
    <w:rsid w:val="00DA4E94"/>
    <w:rsid w:val="00DA56B3"/>
    <w:rsid w:val="00DB4D26"/>
    <w:rsid w:val="00DC26A0"/>
    <w:rsid w:val="00DC7438"/>
    <w:rsid w:val="00DC74E9"/>
    <w:rsid w:val="00DD344C"/>
    <w:rsid w:val="00DD65EF"/>
    <w:rsid w:val="00DE0D35"/>
    <w:rsid w:val="00DE39E6"/>
    <w:rsid w:val="00DE5999"/>
    <w:rsid w:val="00DE749C"/>
    <w:rsid w:val="00E11724"/>
    <w:rsid w:val="00E2708A"/>
    <w:rsid w:val="00E30B23"/>
    <w:rsid w:val="00E30D62"/>
    <w:rsid w:val="00E31F27"/>
    <w:rsid w:val="00E34FEB"/>
    <w:rsid w:val="00E35D0A"/>
    <w:rsid w:val="00E37BB2"/>
    <w:rsid w:val="00E44E6D"/>
    <w:rsid w:val="00E456E0"/>
    <w:rsid w:val="00E46B5E"/>
    <w:rsid w:val="00E530ED"/>
    <w:rsid w:val="00E5406A"/>
    <w:rsid w:val="00E54AFE"/>
    <w:rsid w:val="00E64105"/>
    <w:rsid w:val="00E75513"/>
    <w:rsid w:val="00E8228E"/>
    <w:rsid w:val="00E83FB4"/>
    <w:rsid w:val="00E9078B"/>
    <w:rsid w:val="00E911F4"/>
    <w:rsid w:val="00E927AC"/>
    <w:rsid w:val="00EA2625"/>
    <w:rsid w:val="00EA356E"/>
    <w:rsid w:val="00ED0C5A"/>
    <w:rsid w:val="00ED312A"/>
    <w:rsid w:val="00ED4970"/>
    <w:rsid w:val="00EE4529"/>
    <w:rsid w:val="00EE5F76"/>
    <w:rsid w:val="00EE74C0"/>
    <w:rsid w:val="00EF4B03"/>
    <w:rsid w:val="00EF535F"/>
    <w:rsid w:val="00EF5FC4"/>
    <w:rsid w:val="00F14DBD"/>
    <w:rsid w:val="00F27352"/>
    <w:rsid w:val="00F27784"/>
    <w:rsid w:val="00F3077E"/>
    <w:rsid w:val="00F3219F"/>
    <w:rsid w:val="00F322B0"/>
    <w:rsid w:val="00F36734"/>
    <w:rsid w:val="00F40735"/>
    <w:rsid w:val="00F41E10"/>
    <w:rsid w:val="00F576F3"/>
    <w:rsid w:val="00F5790D"/>
    <w:rsid w:val="00F608ED"/>
    <w:rsid w:val="00F63198"/>
    <w:rsid w:val="00F7012C"/>
    <w:rsid w:val="00F83694"/>
    <w:rsid w:val="00F85BE7"/>
    <w:rsid w:val="00F85E5A"/>
    <w:rsid w:val="00F96FD1"/>
    <w:rsid w:val="00FA1FB7"/>
    <w:rsid w:val="00FA2A3E"/>
    <w:rsid w:val="00FB00AF"/>
    <w:rsid w:val="00FB0D00"/>
    <w:rsid w:val="00FB4E7C"/>
    <w:rsid w:val="00FB5348"/>
    <w:rsid w:val="00FB7FD0"/>
    <w:rsid w:val="00FC016C"/>
    <w:rsid w:val="00FC466B"/>
    <w:rsid w:val="00FD7468"/>
    <w:rsid w:val="00FE72E1"/>
    <w:rsid w:val="00FF043F"/>
    <w:rsid w:val="00FF780E"/>
    <w:rsid w:val="03070430"/>
    <w:rsid w:val="0C570132"/>
    <w:rsid w:val="0C7E2DAA"/>
    <w:rsid w:val="0D7A7CC8"/>
    <w:rsid w:val="193A3270"/>
    <w:rsid w:val="1AE621BA"/>
    <w:rsid w:val="1D8C3437"/>
    <w:rsid w:val="26700502"/>
    <w:rsid w:val="2EF46B06"/>
    <w:rsid w:val="38FA53F2"/>
    <w:rsid w:val="3CE82AA4"/>
    <w:rsid w:val="3FF75125"/>
    <w:rsid w:val="41684EDB"/>
    <w:rsid w:val="41A72981"/>
    <w:rsid w:val="6A5A27D1"/>
    <w:rsid w:val="6C2C7E95"/>
    <w:rsid w:val="74726CD8"/>
    <w:rsid w:val="76954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adjustRightInd w:val="0"/>
      <w:ind w:firstLine="0" w:firstLineChars="0"/>
      <w:jc w:val="left"/>
      <w:textAlignment w:val="baseline"/>
      <w:outlineLvl w:val="0"/>
    </w:pPr>
    <w:rPr>
      <w:rFonts w:cs="宋体"/>
      <w:b/>
      <w:color w:val="000000"/>
      <w:kern w:val="0"/>
      <w:sz w:val="28"/>
      <w:szCs w:val="21"/>
    </w:rPr>
  </w:style>
  <w:style w:type="paragraph" w:styleId="3">
    <w:name w:val="heading 2"/>
    <w:basedOn w:val="1"/>
    <w:next w:val="1"/>
    <w:qFormat/>
    <w:uiPriority w:val="0"/>
    <w:pPr>
      <w:keepNext/>
      <w:keepLines/>
      <w:numPr>
        <w:ilvl w:val="1"/>
        <w:numId w:val="1"/>
      </w:numPr>
      <w:ind w:left="0" w:firstLine="0"/>
      <w:jc w:val="left"/>
      <w:outlineLvl w:val="1"/>
    </w:pPr>
    <w:rPr>
      <w:rFonts w:cs="Arial"/>
      <w:b/>
      <w:bCs/>
      <w:sz w:val="28"/>
      <w:szCs w:val="32"/>
    </w:rPr>
  </w:style>
  <w:style w:type="paragraph" w:styleId="4">
    <w:name w:val="heading 3"/>
    <w:basedOn w:val="1"/>
    <w:next w:val="1"/>
    <w:qFormat/>
    <w:uiPriority w:val="0"/>
    <w:pPr>
      <w:numPr>
        <w:ilvl w:val="2"/>
        <w:numId w:val="1"/>
      </w:numPr>
      <w:adjustRightInd w:val="0"/>
      <w:snapToGrid w:val="0"/>
      <w:textAlignment w:val="baseline"/>
      <w:outlineLvl w:val="2"/>
    </w:pPr>
    <w:rPr>
      <w:rFonts w:ascii="仿宋_GB2312" w:hAnsi="仿宋_GB2312" w:eastAsia="仿宋_GB2312"/>
      <w:kern w:val="0"/>
      <w:sz w:val="28"/>
    </w:rPr>
  </w:style>
  <w:style w:type="character" w:default="1" w:styleId="30">
    <w:name w:val="Default Paragraph Font"/>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ind w:left="1260"/>
      <w:jc w:val="left"/>
    </w:pPr>
    <w:rPr>
      <w:sz w:val="18"/>
      <w:szCs w:val="18"/>
    </w:rPr>
  </w:style>
  <w:style w:type="paragraph" w:styleId="6">
    <w:name w:val="Normal Indent"/>
    <w:basedOn w:val="1"/>
    <w:qFormat/>
    <w:uiPriority w:val="0"/>
    <w:pPr>
      <w:ind w:firstLine="420"/>
    </w:pPr>
  </w:style>
  <w:style w:type="paragraph" w:styleId="7">
    <w:name w:val="annotation text"/>
    <w:basedOn w:val="1"/>
    <w:link w:val="35"/>
    <w:qFormat/>
    <w:uiPriority w:val="0"/>
    <w:pPr>
      <w:jc w:val="left"/>
    </w:pPr>
  </w:style>
  <w:style w:type="paragraph" w:styleId="8">
    <w:name w:val="Body Text"/>
    <w:basedOn w:val="1"/>
    <w:qFormat/>
    <w:uiPriority w:val="0"/>
    <w:pPr>
      <w:adjustRightInd w:val="0"/>
      <w:snapToGrid w:val="0"/>
    </w:pPr>
    <w:rPr>
      <w:szCs w:val="21"/>
    </w:rPr>
  </w:style>
  <w:style w:type="paragraph" w:styleId="9">
    <w:name w:val="Body Text Indent"/>
    <w:basedOn w:val="1"/>
    <w:qFormat/>
    <w:uiPriority w:val="0"/>
    <w:pPr>
      <w:spacing w:after="120"/>
      <w:ind w:left="420" w:leftChars="200"/>
    </w:pPr>
  </w:style>
  <w:style w:type="paragraph" w:styleId="10">
    <w:name w:val="toc 5"/>
    <w:basedOn w:val="1"/>
    <w:next w:val="1"/>
    <w:semiHidden/>
    <w:qFormat/>
    <w:uiPriority w:val="0"/>
    <w:pPr>
      <w:ind w:left="840"/>
      <w:jc w:val="left"/>
    </w:pPr>
    <w:rPr>
      <w:sz w:val="18"/>
      <w:szCs w:val="18"/>
    </w:rPr>
  </w:style>
  <w:style w:type="paragraph" w:styleId="11">
    <w:name w:val="toc 3"/>
    <w:basedOn w:val="1"/>
    <w:next w:val="1"/>
    <w:semiHidden/>
    <w:qFormat/>
    <w:uiPriority w:val="0"/>
    <w:pPr>
      <w:ind w:left="420"/>
      <w:jc w:val="left"/>
    </w:pPr>
    <w:rPr>
      <w:i/>
      <w:iCs/>
      <w:sz w:val="20"/>
    </w:rPr>
  </w:style>
  <w:style w:type="paragraph" w:styleId="12">
    <w:name w:val="toc 8"/>
    <w:basedOn w:val="1"/>
    <w:next w:val="1"/>
    <w:semiHidden/>
    <w:qFormat/>
    <w:uiPriority w:val="0"/>
    <w:pPr>
      <w:ind w:left="1470"/>
      <w:jc w:val="left"/>
    </w:pPr>
    <w:rPr>
      <w:sz w:val="18"/>
      <w:szCs w:val="18"/>
    </w:rPr>
  </w:style>
  <w:style w:type="paragraph" w:styleId="13">
    <w:name w:val="Date"/>
    <w:basedOn w:val="1"/>
    <w:next w:val="1"/>
    <w:qFormat/>
    <w:uiPriority w:val="0"/>
  </w:style>
  <w:style w:type="paragraph" w:styleId="14">
    <w:name w:val="Body Text Indent 2"/>
    <w:basedOn w:val="1"/>
    <w:qFormat/>
    <w:uiPriority w:val="0"/>
    <w:pPr>
      <w:spacing w:line="300" w:lineRule="auto"/>
      <w:ind w:firstLine="420"/>
    </w:pPr>
    <w:rPr>
      <w:rFonts w:ascii="宋体" w:hAnsi="宋体"/>
      <w:color w:val="000000"/>
    </w:rPr>
  </w:style>
  <w:style w:type="paragraph" w:styleId="15">
    <w:name w:val="Balloon Text"/>
    <w:basedOn w:val="1"/>
    <w:semiHidden/>
    <w:qFormat/>
    <w:uiPriority w:val="0"/>
    <w:rPr>
      <w:sz w:val="18"/>
      <w:szCs w:val="18"/>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b/>
      <w:bCs/>
      <w:caps/>
      <w:sz w:val="20"/>
    </w:rPr>
  </w:style>
  <w:style w:type="paragraph" w:styleId="19">
    <w:name w:val="toc 4"/>
    <w:basedOn w:val="1"/>
    <w:next w:val="1"/>
    <w:semiHidden/>
    <w:qFormat/>
    <w:uiPriority w:val="0"/>
    <w:pPr>
      <w:ind w:left="630"/>
      <w:jc w:val="left"/>
    </w:pPr>
    <w:rPr>
      <w:sz w:val="18"/>
      <w:szCs w:val="18"/>
    </w:rPr>
  </w:style>
  <w:style w:type="paragraph" w:styleId="20">
    <w:name w:val="toc 6"/>
    <w:basedOn w:val="1"/>
    <w:next w:val="1"/>
    <w:semiHidden/>
    <w:qFormat/>
    <w:uiPriority w:val="0"/>
    <w:pPr>
      <w:ind w:left="1050"/>
      <w:jc w:val="left"/>
    </w:pPr>
    <w:rPr>
      <w:sz w:val="18"/>
      <w:szCs w:val="18"/>
    </w:rPr>
  </w:style>
  <w:style w:type="paragraph" w:styleId="21">
    <w:name w:val="Body Text Indent 3"/>
    <w:basedOn w:val="1"/>
    <w:qFormat/>
    <w:uiPriority w:val="0"/>
    <w:pPr>
      <w:spacing w:after="120"/>
      <w:ind w:left="420" w:leftChars="200"/>
    </w:pPr>
    <w:rPr>
      <w:sz w:val="16"/>
      <w:szCs w:val="16"/>
    </w:rPr>
  </w:style>
  <w:style w:type="paragraph" w:styleId="22">
    <w:name w:val="toc 2"/>
    <w:basedOn w:val="1"/>
    <w:next w:val="1"/>
    <w:semiHidden/>
    <w:qFormat/>
    <w:uiPriority w:val="0"/>
    <w:pPr>
      <w:ind w:left="210"/>
      <w:jc w:val="left"/>
    </w:pPr>
    <w:rPr>
      <w:smallCaps/>
      <w:sz w:val="20"/>
    </w:rPr>
  </w:style>
  <w:style w:type="paragraph" w:styleId="23">
    <w:name w:val="toc 9"/>
    <w:basedOn w:val="1"/>
    <w:next w:val="1"/>
    <w:semiHidden/>
    <w:qFormat/>
    <w:uiPriority w:val="0"/>
    <w:pPr>
      <w:ind w:left="1680"/>
      <w:jc w:val="left"/>
    </w:pPr>
    <w:rPr>
      <w:sz w:val="18"/>
      <w:szCs w:val="18"/>
    </w:rPr>
  </w:style>
  <w:style w:type="paragraph" w:styleId="24">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paragraph" w:styleId="25">
    <w:name w:val="Title"/>
    <w:basedOn w:val="1"/>
    <w:next w:val="1"/>
    <w:link w:val="36"/>
    <w:qFormat/>
    <w:uiPriority w:val="0"/>
    <w:pPr>
      <w:spacing w:before="120" w:after="120"/>
      <w:jc w:val="left"/>
      <w:outlineLvl w:val="0"/>
    </w:pPr>
    <w:rPr>
      <w:b/>
      <w:bCs/>
      <w:sz w:val="32"/>
      <w:szCs w:val="32"/>
    </w:rPr>
  </w:style>
  <w:style w:type="paragraph" w:styleId="26">
    <w:name w:val="annotation subject"/>
    <w:basedOn w:val="7"/>
    <w:next w:val="7"/>
    <w:link w:val="37"/>
    <w:qFormat/>
    <w:uiPriority w:val="0"/>
    <w:rPr>
      <w:b/>
      <w:bCs/>
    </w:rPr>
  </w:style>
  <w:style w:type="paragraph" w:styleId="27">
    <w:name w:val="Body Text First Indent 2"/>
    <w:basedOn w:val="9"/>
    <w:qFormat/>
    <w:uiPriority w:val="0"/>
    <w:pPr>
      <w:ind w:firstLine="420"/>
    </w:p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basedOn w:val="30"/>
    <w:qFormat/>
    <w:uiPriority w:val="0"/>
  </w:style>
  <w:style w:type="character" w:styleId="32">
    <w:name w:val="Hyperlink"/>
    <w:qFormat/>
    <w:uiPriority w:val="99"/>
    <w:rPr>
      <w:color w:val="0000FF"/>
      <w:u w:val="single"/>
    </w:rPr>
  </w:style>
  <w:style w:type="character" w:styleId="33">
    <w:name w:val="annotation reference"/>
    <w:qFormat/>
    <w:uiPriority w:val="0"/>
    <w:rPr>
      <w:sz w:val="21"/>
      <w:szCs w:val="21"/>
    </w:rPr>
  </w:style>
  <w:style w:type="paragraph" w:customStyle="1" w:styleId="34">
    <w:name w:val="Char Char1 Char Char"/>
    <w:basedOn w:val="1"/>
    <w:qFormat/>
    <w:uiPriority w:val="0"/>
    <w:rPr>
      <w:szCs w:val="24"/>
    </w:rPr>
  </w:style>
  <w:style w:type="character" w:customStyle="1" w:styleId="35">
    <w:name w:val="批注文字 字符"/>
    <w:link w:val="7"/>
    <w:qFormat/>
    <w:uiPriority w:val="0"/>
    <w:rPr>
      <w:kern w:val="2"/>
      <w:sz w:val="21"/>
    </w:rPr>
  </w:style>
  <w:style w:type="character" w:customStyle="1" w:styleId="36">
    <w:name w:val="标题 字符"/>
    <w:link w:val="25"/>
    <w:qFormat/>
    <w:uiPriority w:val="0"/>
    <w:rPr>
      <w:rFonts w:cs="Times New Roman"/>
      <w:b/>
      <w:bCs/>
      <w:kern w:val="2"/>
      <w:sz w:val="32"/>
      <w:szCs w:val="32"/>
    </w:rPr>
  </w:style>
  <w:style w:type="character" w:customStyle="1" w:styleId="37">
    <w:name w:val="批注主题 字符"/>
    <w:link w:val="26"/>
    <w:qFormat/>
    <w:uiPriority w:val="0"/>
    <w:rPr>
      <w:b/>
      <w:bCs/>
      <w:kern w:val="2"/>
      <w:sz w:val="21"/>
    </w:rPr>
  </w:style>
  <w:style w:type="character" w:customStyle="1" w:styleId="38">
    <w:name w:val="Char Char"/>
    <w:qFormat/>
    <w:uiPriority w:val="0"/>
    <w:rPr>
      <w:rFonts w:eastAsia="宋体"/>
      <w:kern w:val="2"/>
      <w:sz w:val="21"/>
      <w:szCs w:val="21"/>
      <w:lang w:val="en-US" w:eastAsia="zh-CN" w:bidi="ar-SA"/>
    </w:rPr>
  </w:style>
  <w:style w:type="paragraph" w:customStyle="1" w:styleId="39">
    <w:name w:val="Char Char Char Char Char Char Char Char Char Char"/>
    <w:basedOn w:val="1"/>
    <w:qFormat/>
    <w:uiPriority w:val="0"/>
    <w:rPr>
      <w:szCs w:val="21"/>
    </w:rPr>
  </w:style>
  <w:style w:type="paragraph" w:customStyle="1" w:styleId="40">
    <w:name w:val="Char"/>
    <w:basedOn w:val="1"/>
    <w:semiHidden/>
    <w:qFormat/>
    <w:uiPriority w:val="0"/>
    <w:pPr>
      <w:widowControl/>
      <w:spacing w:after="160" w:line="240" w:lineRule="exact"/>
      <w:jc w:val="left"/>
    </w:pPr>
    <w:rPr>
      <w:rFonts w:ascii="Verdana" w:hAnsi="Verdana"/>
      <w:kern w:val="0"/>
      <w:sz w:val="20"/>
      <w:lang w:eastAsia="en-US"/>
    </w:rPr>
  </w:style>
  <w:style w:type="paragraph" w:customStyle="1" w:styleId="41">
    <w:name w:val="Char1"/>
    <w:basedOn w:val="1"/>
    <w:qFormat/>
    <w:uiPriority w:val="0"/>
    <w:rPr>
      <w:szCs w:val="21"/>
    </w:rPr>
  </w:style>
  <w:style w:type="paragraph" w:customStyle="1" w:styleId="42">
    <w:name w:val="Char Char Char Char Char Char Char Char Char1 Char Char Char Char"/>
    <w:basedOn w:val="1"/>
    <w:qFormat/>
    <w:uiPriority w:val="0"/>
    <w:rPr>
      <w:szCs w:val="24"/>
    </w:rPr>
  </w:style>
  <w:style w:type="paragraph" w:customStyle="1" w:styleId="4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44">
    <w:name w:val="Char Char8"/>
    <w:semiHidden/>
    <w:qFormat/>
    <w:uiPriority w:val="0"/>
    <w:rPr>
      <w:rFonts w:eastAsia="宋体"/>
      <w:szCs w:val="24"/>
      <w:lang w:bidi="ar-SA"/>
    </w:rPr>
  </w:style>
  <w:style w:type="paragraph" w:customStyle="1" w:styleId="45">
    <w:name w:val="Char Char1"/>
    <w:basedOn w:val="1"/>
    <w:qFormat/>
    <w:uiPriority w:val="0"/>
    <w:pPr>
      <w:spacing w:line="240" w:lineRule="auto"/>
      <w:ind w:firstLine="0" w:firstLineChars="0"/>
    </w:pPr>
    <w:rPr>
      <w:sz w:val="21"/>
      <w:szCs w:val="24"/>
    </w:rPr>
  </w:style>
  <w:style w:type="paragraph" w:customStyle="1" w:styleId="46">
    <w:name w:val="yw表格居中五号"/>
    <w:qFormat/>
    <w:uiPriority w:val="0"/>
    <w:pPr>
      <w:autoSpaceDE w:val="0"/>
      <w:autoSpaceDN w:val="0"/>
      <w:adjustRightInd w:val="0"/>
      <w:snapToGrid w:val="0"/>
      <w:jc w:val="center"/>
    </w:pPr>
    <w:rPr>
      <w:rFonts w:ascii="Times New Roman" w:hAnsi="Times New Roman" w:eastAsia="宋体" w:cs="Times New Roman"/>
      <w:sz w:val="21"/>
      <w:szCs w:val="21"/>
      <w:lang w:val="en-US" w:eastAsia="zh-CN" w:bidi="ar-SA"/>
    </w:rPr>
  </w:style>
  <w:style w:type="paragraph" w:customStyle="1" w:styleId="4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8">
    <w:name w:val="Revision"/>
    <w:hidden/>
    <w:unhideWhenUsed/>
    <w:qFormat/>
    <w:uiPriority w:val="99"/>
    <w:rPr>
      <w:rFonts w:ascii="Times New Roman" w:hAnsi="Times New Roman" w:eastAsia="宋体" w:cs="Times New Roman"/>
      <w:kern w:val="2"/>
      <w:sz w:val="24"/>
      <w:lang w:val="en-US" w:eastAsia="zh-CN" w:bidi="ar-SA"/>
    </w:rPr>
  </w:style>
  <w:style w:type="paragraph" w:styleId="49">
    <w:name w:val="List Paragraph"/>
    <w:basedOn w:val="1"/>
    <w:unhideWhenUsed/>
    <w:qFormat/>
    <w:uiPriority w:val="99"/>
    <w:pPr>
      <w:ind w:firstLine="420"/>
    </w:pPr>
  </w:style>
  <w:style w:type="paragraph" w:customStyle="1" w:styleId="50">
    <w:name w:val="标准文件_术语条一"/>
    <w:basedOn w:val="51"/>
    <w:next w:val="47"/>
    <w:qFormat/>
    <w:uiPriority w:val="0"/>
  </w:style>
  <w:style w:type="paragraph" w:customStyle="1" w:styleId="51">
    <w:name w:val="标准文件_一级无标题"/>
    <w:basedOn w:val="52"/>
    <w:qFormat/>
    <w:uiPriority w:val="0"/>
    <w:pPr>
      <w:spacing w:before="0" w:beforeLines="0" w:after="0" w:afterLines="0"/>
      <w:outlineLvl w:val="9"/>
    </w:pPr>
    <w:rPr>
      <w:rFonts w:ascii="宋体" w:eastAsia="宋体"/>
    </w:rPr>
  </w:style>
  <w:style w:type="paragraph" w:customStyle="1" w:styleId="52">
    <w:name w:val="标准文件_一级条标题"/>
    <w:basedOn w:val="53"/>
    <w:next w:val="47"/>
    <w:qFormat/>
    <w:uiPriority w:val="0"/>
    <w:pPr>
      <w:numPr>
        <w:ilvl w:val="2"/>
      </w:numPr>
      <w:spacing w:before="50" w:beforeLines="50" w:after="50" w:afterLines="50"/>
      <w:outlineLvl w:val="1"/>
    </w:pPr>
  </w:style>
  <w:style w:type="paragraph" w:customStyle="1" w:styleId="53">
    <w:name w:val="标准文件_章标题"/>
    <w:next w:val="4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wmf"/><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9218</Words>
  <Characters>11965</Characters>
  <Lines>99</Lines>
  <Paragraphs>28</Paragraphs>
  <TotalTime>8</TotalTime>
  <ScaleCrop>false</ScaleCrop>
  <LinksUpToDate>false</LinksUpToDate>
  <CharactersWithSpaces>12157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2024-12-25T08:36:00Z</dcterms:created>
  <dc:creator>周志岐</dc:creator>
  <cp:lastModifiedBy>Admin</cp:lastModifiedBy>
  <cp:lastPrinted>2008-02-28T08:15:00Z</cp:lastPrinted>
  <dcterms:modified xsi:type="dcterms:W3CDTF">2024-12-26T09:01:36Z</dcterms:modified>
  <dc:title>国家标准“天然气中含硫化合物的测定”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F9AC787F57144C279013B7F01A1A80D7_13</vt:lpwstr>
  </property>
  <property fmtid="{D5CDD505-2E9C-101B-9397-08002B2CF9AE}" pid="4" name="KSOTemplateDocerSaveRecord">
    <vt:lpwstr>eyJoZGlkIjoiMTU1NTQzNThkYjRiZjE5MjFiMmE1MjEwYWE4OTFlZGEiLCJ1c2VySWQiOiI2MDcwNjkwNzEifQ==</vt:lpwstr>
  </property>
</Properties>
</file>