
<file path=[Content_Types].xml><?xml version="1.0" encoding="utf-8"?>
<Types xmlns="http://schemas.openxmlformats.org/package/2006/content-types">
  <Default Extension="xml" ContentType="application/xml"/>
  <Default Extension="png" ContentType="image/png"/>
  <Default Extension="tiff" ContentType="image/tiff"/>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0" w:type="auto"/>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line="240" w:lineRule="auto"/>
              <w:ind w:left="3"/>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w:t>
            </w:r>
            <w:r>
              <w:rPr>
                <w:rFonts w:ascii="黑体" w:hAnsi="黑体" w:eastAsia="黑体"/>
                <w:sz w:val="21"/>
                <w:szCs w:val="21"/>
              </w:rPr>
              <w:fldChar w:fldCharType="end"/>
            </w:r>
            <w:bookmarkEnd w:id="0"/>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p>
      <w:pPr>
        <w:pStyle w:val="50"/>
        <w:framePr w:w="9639" w:h="624" w:hRule="exact" w:hSpace="181" w:vSpace="181" w:wrap="around" w:hAnchor="page" w:x="1305" w:y="2269"/>
      </w:pPr>
      <w:bookmarkStart w:id="2" w:name="_Hlk26473981"/>
      <w:r>
        <w:rPr>
          <w:rFonts w:hint="eastAsia"/>
        </w:rPr>
        <w:t>中华人民共和国国家标准</w:t>
      </w:r>
    </w:p>
    <w:bookmarkEnd w:id="2"/>
    <w:p>
      <w:pPr>
        <w:pStyle w:val="195"/>
        <w:rPr>
          <w:lang w:val="fr-FR"/>
        </w:rPr>
      </w:pPr>
      <w:r>
        <w:fldChar w:fldCharType="begin">
          <w:ffData>
            <w:name w:val="文字1"/>
            <w:enabled/>
            <w:calcOnExit w:val="0"/>
            <w:textInput>
              <w:default w:val="GB/T"/>
            </w:textInput>
          </w:ffData>
        </w:fldChar>
      </w:r>
      <w:bookmarkStart w:id="3" w:name="文字1"/>
      <w:r>
        <w:rPr>
          <w:lang w:val="fr-FR"/>
        </w:rPr>
        <w:instrText xml:space="preserve"> FORMTEXT </w:instrText>
      </w:r>
      <w:r>
        <w:fldChar w:fldCharType="separate"/>
      </w:r>
      <w:r>
        <w:rPr>
          <w:lang w:val="fr-FR"/>
        </w:rPr>
        <w:t>GB/T</w:t>
      </w:r>
      <w:r>
        <w:fldChar w:fldCharType="end"/>
      </w:r>
      <w:bookmarkEnd w:id="3"/>
      <w:r>
        <w:rPr>
          <w:lang w:val="fr-FR"/>
        </w:rPr>
        <w:t xml:space="preserve"> </w:t>
      </w:r>
      <w:r>
        <w:fldChar w:fldCharType="begin">
          <w:ffData>
            <w:name w:val="NSTD_CODE_F"/>
            <w:enabled/>
            <w:calcOnExit w:val="0"/>
            <w:textInput>
              <w:default w:val="XXXXX"/>
            </w:textInput>
          </w:ffData>
        </w:fldChar>
      </w:r>
      <w:bookmarkStart w:id="4" w:name="NSTD_CODE_F"/>
      <w:r>
        <w:rPr>
          <w:lang w:val="fr-FR"/>
        </w:rPr>
        <w:instrText xml:space="preserve"> FORMTEXT </w:instrText>
      </w:r>
      <w:r>
        <w:fldChar w:fldCharType="separate"/>
      </w:r>
      <w:r>
        <w:rPr>
          <w:lang w:val="fr-FR"/>
        </w:rPr>
        <w:t>XXXXX</w:t>
      </w:r>
      <w:r>
        <w:fldChar w:fldCharType="end"/>
      </w:r>
      <w:bookmarkEnd w:id="4"/>
      <w:r>
        <w:rPr>
          <w:rFonts w:hAnsi="黑体"/>
          <w:lang w:val="fr-FR"/>
        </w:rPr>
        <w:t>—</w:t>
      </w:r>
      <w:r>
        <w:fldChar w:fldCharType="begin">
          <w:ffData>
            <w:name w:val="NSTD_CODE_B"/>
            <w:enabled/>
            <w:calcOnExit w:val="0"/>
            <w:textInput>
              <w:default w:val="XXXX"/>
            </w:textInput>
          </w:ffData>
        </w:fldChar>
      </w:r>
      <w:bookmarkStart w:id="5" w:name="NSTD_CODE_B"/>
      <w:r>
        <w:rPr>
          <w:lang w:val="fr-FR"/>
        </w:rPr>
        <w:instrText xml:space="preserve"> FORMTEXT </w:instrText>
      </w:r>
      <w:r>
        <w:fldChar w:fldCharType="separate"/>
      </w:r>
      <w:r>
        <w:rPr>
          <w:lang w:val="fr-FR"/>
        </w:rPr>
        <w:t>XXXX</w:t>
      </w:r>
      <w:r>
        <w:fldChar w:fldCharType="end"/>
      </w:r>
      <w:bookmarkEnd w:id="5"/>
    </w:p>
    <w:p>
      <w:pPr>
        <w:pStyle w:val="196"/>
        <w:rPr>
          <w:rFonts w:hAnsi="黑体"/>
        </w:rPr>
      </w:pPr>
      <w:r>
        <w:rPr>
          <w:rFonts w:hAnsi="黑体"/>
        </w:rPr>
        <w:fldChar w:fldCharType="begin">
          <w:ffData>
            <w:name w:val="OSTD_CODE"/>
            <w:enabled/>
            <w:calcOnExit w:val="0"/>
            <w:textInput/>
          </w:ffData>
        </w:fldChar>
      </w:r>
      <w:bookmarkStart w:id="6"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6"/>
    </w:p>
    <w:p>
      <w:pPr>
        <w:spacing w:line="240" w:lineRule="auto"/>
        <w:ind w:left="8080"/>
        <w:rPr>
          <w:rFonts w:ascii="黑体" w:hAnsi="黑体" w:eastAsia="黑体"/>
          <w:kern w:val="0"/>
          <w:sz w:val="52"/>
          <w:szCs w:val="20"/>
        </w:rPr>
      </w:pPr>
      <w:r>
        <w:rPr>
          <w:rFonts w:ascii="黑体" w:hAnsi="黑体" w:eastAsia="黑体"/>
          <w:kern w:val="0"/>
          <w:sz w:val="52"/>
          <w:szCs w:val="20"/>
        </w:rPr>
        <mc:AlternateContent>
          <mc:Choice Requires="wps">
            <w:drawing>
              <wp:anchor distT="0" distB="0" distL="114300" distR="114300" simplePos="0" relativeHeight="251660288"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60288;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r>
        <w:rPr>
          <w:rFonts w:ascii="黑体" w:hAnsi="黑体" w:eastAsia="黑体"/>
          <w:kern w:val="0"/>
          <w:sz w:val="52"/>
          <w:szCs w:val="20"/>
        </w:rPr>
        <w:drawing>
          <wp:anchor distT="0" distB="0" distL="114300" distR="114300" simplePos="0" relativeHeight="251659264" behindDoc="0" locked="0" layoutInCell="1" allowOverlap="0">
            <wp:simplePos x="0" y="0"/>
            <wp:positionH relativeFrom="page">
              <wp:posOffset>5004435</wp:posOffset>
            </wp:positionH>
            <wp:positionV relativeFrom="page">
              <wp:posOffset>466725</wp:posOffset>
            </wp:positionV>
            <wp:extent cx="1447165" cy="732790"/>
            <wp:effectExtent l="0" t="0" r="635" b="0"/>
            <wp:wrapNone/>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a:xfrm>
                      <a:off x="0" y="0"/>
                      <a:ext cx="1447200" cy="732960"/>
                    </a:xfrm>
                    <a:prstGeom prst="rect">
                      <a:avLst/>
                    </a:prstGeom>
                    <a:noFill/>
                    <a:ln>
                      <a:noFill/>
                    </a:ln>
                  </pic:spPr>
                </pic:pic>
              </a:graphicData>
            </a:graphic>
          </wp:anchor>
        </w:drawing>
      </w:r>
    </w:p>
    <w:p>
      <w:pPr>
        <w:pStyle w:val="50"/>
        <w:framePr w:w="9639" w:h="6976" w:hRule="exact" w:hSpace="0" w:vSpace="0" w:wrap="around" w:hAnchor="page" w:y="6408"/>
        <w:jc w:val="center"/>
        <w:rPr>
          <w:rFonts w:ascii="黑体" w:hAnsi="黑体" w:eastAsia="黑体"/>
          <w:b w:val="0"/>
          <w:bCs w:val="0"/>
          <w:w w:val="100"/>
        </w:rPr>
      </w:pPr>
    </w:p>
    <w:p>
      <w:pPr>
        <w:pStyle w:val="197"/>
        <w:framePr w:h="6974" w:hRule="exact" w:wrap="around" w:x="1419" w:anchorLock="1"/>
      </w:pPr>
      <w:r>
        <w:rPr>
          <w:rFonts w:hint="eastAsia"/>
          <w:lang w:val="en-US" w:eastAsia="zh-CN"/>
        </w:rPr>
        <w:t>海上CO</w:t>
      </w:r>
      <w:r>
        <w:rPr>
          <w:rFonts w:hint="eastAsia"/>
          <w:vertAlign w:val="subscript"/>
          <w:lang w:val="en-US" w:eastAsia="zh-CN"/>
        </w:rPr>
        <w:t>2</w:t>
      </w:r>
      <w:r>
        <w:rPr>
          <w:rFonts w:hint="eastAsia"/>
          <w:lang w:val="en-US" w:eastAsia="zh-CN"/>
        </w:rPr>
        <w:t>咸水层封存场地适宜性评价规范</w:t>
      </w:r>
    </w:p>
    <w:p>
      <w:pPr>
        <w:framePr w:w="9639" w:h="6974" w:hRule="exact" w:wrap="around" w:vAnchor="page" w:hAnchor="page" w:x="1419" w:y="6408" w:anchorLock="1"/>
        <w:ind w:left="-1418"/>
      </w:pPr>
    </w:p>
    <w:p>
      <w:pPr>
        <w:pStyle w:val="125"/>
        <w:framePr w:w="9639" w:h="6974" w:hRule="exact" w:wrap="around" w:vAnchor="page" w:hAnchor="page" w:x="1419" w:y="6408" w:anchorLock="1"/>
        <w:textAlignment w:val="bottom"/>
        <w:rPr>
          <w:rFonts w:hint="eastAsia" w:eastAsia="黑体"/>
          <w:szCs w:val="28"/>
          <w:lang w:eastAsia="zh-CN"/>
        </w:rPr>
      </w:pPr>
      <w:r>
        <w:rPr>
          <w:rFonts w:hint="eastAsia" w:eastAsia="黑体"/>
          <w:szCs w:val="28"/>
          <w:lang w:val="en-US" w:eastAsia="zh-CN"/>
        </w:rPr>
        <w:t>Suitability evaluation guideline of CO</w:t>
      </w:r>
      <w:r>
        <w:rPr>
          <w:rFonts w:hint="eastAsia" w:eastAsia="黑体"/>
          <w:szCs w:val="28"/>
          <w:vertAlign w:val="subscript"/>
          <w:lang w:val="en-US" w:eastAsia="zh-CN"/>
        </w:rPr>
        <w:t>2</w:t>
      </w:r>
      <w:r>
        <w:rPr>
          <w:rFonts w:hint="eastAsia" w:eastAsia="黑体"/>
          <w:szCs w:val="28"/>
          <w:lang w:val="en-US" w:eastAsia="zh-CN"/>
        </w:rPr>
        <w:t xml:space="preserve"> storage site in offshore saline aquifers</w:t>
      </w:r>
    </w:p>
    <w:p>
      <w:pPr>
        <w:framePr w:w="9639" w:h="6974" w:hRule="exact" w:wrap="around" w:vAnchor="page" w:hAnchor="page" w:x="1419" w:y="6408" w:anchorLock="1"/>
        <w:spacing w:line="760" w:lineRule="exact"/>
        <w:ind w:left="-1418"/>
      </w:pPr>
    </w:p>
    <w:p>
      <w:pPr>
        <w:pStyle w:val="125"/>
        <w:framePr w:w="9639" w:h="6974" w:hRule="exact" w:wrap="around" w:vAnchor="page" w:hAnchor="page" w:x="1419" w:y="6408" w:anchorLock="1"/>
        <w:spacing w:before="440" w:after="160"/>
        <w:textAlignment w:val="bottom"/>
        <w:rPr>
          <w:sz w:val="24"/>
          <w:szCs w:val="28"/>
        </w:rPr>
      </w:pPr>
      <w:bookmarkStart w:id="7" w:name="下拉1"/>
      <w:r>
        <w:rPr>
          <w:rFonts w:hint="eastAsia" w:ascii="Times New Roman" w:hAnsi="Times New Roman" w:eastAsia="宋体" w:cs="Times New Roman"/>
          <w:sz w:val="24"/>
          <w:szCs w:val="28"/>
          <w:lang w:val="en-US" w:eastAsia="zh-CN" w:bidi="ar-SA"/>
        </w:rPr>
        <w:t>（征求意见稿）</w:t>
      </w:r>
      <w:r>
        <w:rPr>
          <w:rFonts w:ascii="Times New Roman" w:hAnsi="Times New Roman" w:eastAsia="宋体" w:cs="Times New Roman"/>
          <w:sz w:val="24"/>
          <w:szCs w:val="28"/>
          <w:lang w:val="en-US" w:eastAsia="zh-CN" w:bidi="ar-SA"/>
        </w:rPr>
        <w:fldChar w:fldCharType="begin">
          <w:ffData>
            <w:name w:val="下拉1"/>
            <w:enabled/>
            <w:calcOnExit w:val="0"/>
            <w:ddList>
              <w:listEntry w:val=" "/>
              <w:listEntry w:val="草案版次选择"/>
              <w:listEntry w:val="（工作组讨论稿）"/>
              <w:listEntry w:val="（征求意见稿）"/>
              <w:listEntry w:val="（送审讨论稿）"/>
              <w:listEntry w:val="（送审稿）"/>
              <w:listEntry w:val="（报批稿）"/>
            </w:ddList>
          </w:ffData>
        </w:fldChar>
      </w:r>
      <w:r>
        <w:rPr>
          <w:rFonts w:ascii="Times New Roman" w:hAnsi="Times New Roman" w:eastAsia="宋体" w:cs="Times New Roman"/>
          <w:sz w:val="24"/>
          <w:szCs w:val="28"/>
          <w:lang w:val="en-US" w:eastAsia="zh-CN" w:bidi="ar-SA"/>
        </w:rPr>
        <w:instrText xml:space="preserve">FORMDROPDOWN</w:instrText>
      </w:r>
      <w:r>
        <w:rPr>
          <w:rFonts w:ascii="Times New Roman" w:hAnsi="Times New Roman" w:eastAsia="宋体" w:cs="Times New Roman"/>
          <w:sz w:val="24"/>
          <w:szCs w:val="28"/>
          <w:lang w:val="en-US" w:eastAsia="zh-CN" w:bidi="ar-SA"/>
        </w:rPr>
        <w:fldChar w:fldCharType="separate"/>
      </w:r>
      <w:r>
        <w:rPr>
          <w:rFonts w:ascii="Times New Roman" w:hAnsi="Times New Roman" w:eastAsia="宋体" w:cs="Times New Roman"/>
          <w:sz w:val="24"/>
          <w:szCs w:val="28"/>
          <w:lang w:val="en-US" w:eastAsia="zh-CN" w:bidi="ar-SA"/>
        </w:rPr>
        <w:fldChar w:fldCharType="end"/>
      </w:r>
      <w:bookmarkEnd w:id="7"/>
    </w:p>
    <w:p>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8"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8"/>
    </w:p>
    <w:p>
      <w:pPr>
        <w:pStyle w:val="193"/>
        <w:framePr w:wrap="around" w:y="14176"/>
      </w:pPr>
      <w:r>
        <w:rPr>
          <w:rFonts w:ascii="黑体"/>
        </w:rPr>
        <w:fldChar w:fldCharType="begin">
          <w:ffData>
            <w:name w:val="PLSH_DATE_Y"/>
            <w:enabled/>
            <w:calcOnExit w:val="0"/>
            <w:textInput>
              <w:default w:val="XXXX"/>
              <w:maxLength w:val="4"/>
            </w:textInput>
          </w:ffData>
        </w:fldChar>
      </w:r>
      <w:bookmarkStart w:id="9"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9"/>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0"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0"/>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1"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1"/>
      <w:r>
        <w:rPr>
          <w:rFonts w:hint="eastAsia"/>
        </w:rPr>
        <w:t>发布</w:t>
      </w:r>
    </w:p>
    <w:p>
      <w:pPr>
        <w:pStyle w:val="194"/>
        <w:framePr w:wrap="around" w:y="14176"/>
      </w:pPr>
      <w:r>
        <w:rPr>
          <w:rFonts w:ascii="黑体"/>
        </w:rPr>
        <w:fldChar w:fldCharType="begin">
          <w:ffData>
            <w:name w:val="CROT_DATE_Y"/>
            <w:enabled/>
            <w:calcOnExit w:val="0"/>
            <w:textInput>
              <w:default w:val="XXXX"/>
              <w:maxLength w:val="4"/>
            </w:textInput>
          </w:ffData>
        </w:fldChar>
      </w:r>
      <w:bookmarkStart w:id="12"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2"/>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3"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3"/>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4"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4"/>
      <w:r>
        <w:rPr>
          <w:rFonts w:hint="eastAsia"/>
        </w:rPr>
        <w:t>实施</w:t>
      </w:r>
    </w:p>
    <w:p>
      <w:pPr>
        <w:rPr>
          <w:rFonts w:ascii="宋体" w:hAnsi="宋体"/>
          <w:sz w:val="28"/>
          <w:szCs w:val="28"/>
        </w:rPr>
        <w:sectPr>
          <w:headerReference r:id="rId7" w:type="first"/>
          <w:footerReference r:id="rId9" w:type="first"/>
          <w:headerReference r:id="rId5" w:type="default"/>
          <w:headerReference r:id="rId6" w:type="even"/>
          <w:footerReference r:id="rId8"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w:drawing>
          <wp:anchor distT="0" distB="0" distL="114300" distR="114300" simplePos="0" relativeHeight="251662336" behindDoc="0" locked="0" layoutInCell="1" allowOverlap="1">
            <wp:simplePos x="0" y="0"/>
            <wp:positionH relativeFrom="column">
              <wp:posOffset>1610360</wp:posOffset>
            </wp:positionH>
            <wp:positionV relativeFrom="paragraph">
              <wp:posOffset>8281035</wp:posOffset>
            </wp:positionV>
            <wp:extent cx="2868930" cy="545465"/>
            <wp:effectExtent l="0" t="0" r="0" b="762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15" cstate="print">
                      <a:extLst>
                        <a:ext uri="{28A0092B-C50C-407E-A947-70E740481C1C}">
                          <a14:useLocalDpi xmlns:a14="http://schemas.microsoft.com/office/drawing/2010/main" val="0"/>
                        </a:ext>
                      </a:extLst>
                    </a:blip>
                    <a:stretch>
                      <a:fillRect/>
                    </a:stretch>
                  </pic:blipFill>
                  <pic:spPr>
                    <a:xfrm>
                      <a:off x="0" y="0"/>
                      <a:ext cx="2868840" cy="545400"/>
                    </a:xfrm>
                    <a:prstGeom prst="rect">
                      <a:avLst/>
                    </a:prstGeom>
                  </pic:spPr>
                </pic:pic>
              </a:graphicData>
            </a:graphic>
          </wp:anchor>
        </w:drawing>
      </w:r>
      <w:r>
        <w:rPr>
          <w:rFonts w:hint="eastAsia" w:ascii="宋体" w:hAnsi="宋体"/>
          <w:sz w:val="28"/>
          <w:szCs w:val="28"/>
        </w:rPr>
        <mc:AlternateContent>
          <mc:Choice Requires="wps">
            <w:drawing>
              <wp:anchor distT="0" distB="0" distL="114300" distR="114300" simplePos="0" relativeHeight="251661312"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1312;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r>
        <w:rPr>
          <w:rFonts w:hint="eastAsia" w:ascii="宋体" w:hAnsi="宋体"/>
          <w:sz w:val="28"/>
          <w:szCs w:val="28"/>
        </w:rPr>
        <w:t>`</w:t>
      </w:r>
    </w:p>
    <w:p>
      <w:pPr>
        <w:pStyle w:val="91"/>
        <w:spacing w:after="468"/>
      </w:pPr>
      <w:bookmarkStart w:id="15" w:name="BookMark1"/>
      <w:r>
        <w:rPr>
          <w:rFonts w:hint="eastAsia"/>
          <w:spacing w:val="320"/>
        </w:rPr>
        <w:t>目</w:t>
      </w:r>
      <w:r>
        <w:rPr>
          <w:rFonts w:hint="eastAsia"/>
        </w:rPr>
        <w:t>次</w:t>
      </w:r>
    </w:p>
    <w:p>
      <w:pPr>
        <w:pStyle w:val="19"/>
        <w:tabs>
          <w:tab w:val="right" w:leader="dot" w:pos="9354"/>
        </w:tabs>
      </w:pPr>
      <w:r>
        <w:fldChar w:fldCharType="begin"/>
      </w:r>
      <w:r>
        <w:instrText xml:space="preserve"> TOC \o "1-1" \h </w:instrText>
      </w:r>
      <w:r>
        <w:fldChar w:fldCharType="separate"/>
      </w:r>
      <w:r>
        <w:fldChar w:fldCharType="begin"/>
      </w:r>
      <w:r>
        <w:instrText xml:space="preserve"> HYPERLINK \l _Toc8247 </w:instrText>
      </w:r>
      <w:r>
        <w:fldChar w:fldCharType="separate"/>
      </w:r>
      <w:r>
        <w:rPr>
          <w:spacing w:val="320"/>
        </w:rPr>
        <w:t>前</w:t>
      </w:r>
      <w:r>
        <w:t>言</w:t>
      </w:r>
      <w:r>
        <w:tab/>
      </w:r>
      <w:r>
        <w:fldChar w:fldCharType="begin"/>
      </w:r>
      <w:r>
        <w:instrText xml:space="preserve"> PAGEREF _Toc8247 \h </w:instrText>
      </w:r>
      <w:r>
        <w:fldChar w:fldCharType="separate"/>
      </w:r>
      <w:r>
        <w:t>II</w:t>
      </w:r>
      <w:r>
        <w:fldChar w:fldCharType="end"/>
      </w:r>
      <w:r>
        <w:fldChar w:fldCharType="end"/>
      </w:r>
    </w:p>
    <w:p>
      <w:pPr>
        <w:pStyle w:val="19"/>
        <w:tabs>
          <w:tab w:val="right" w:leader="dot" w:pos="9354"/>
        </w:tabs>
      </w:pPr>
      <w:r>
        <w:fldChar w:fldCharType="begin"/>
      </w:r>
      <w:r>
        <w:instrText xml:space="preserve"> HYPERLINK \l _Toc1820 </w:instrText>
      </w:r>
      <w:r>
        <w:fldChar w:fldCharType="separate"/>
      </w:r>
      <w:r>
        <w:rPr>
          <w:rFonts w:hint="eastAsia" w:ascii="黑体" w:eastAsia="黑体"/>
          <w:i w:val="0"/>
        </w:rPr>
        <w:t xml:space="preserve">1 </w:t>
      </w:r>
      <w:r>
        <w:rPr>
          <w:rFonts w:hint="eastAsia"/>
        </w:rPr>
        <w:t>范围</w:t>
      </w:r>
      <w:r>
        <w:tab/>
      </w:r>
      <w:r>
        <w:fldChar w:fldCharType="begin"/>
      </w:r>
      <w:r>
        <w:instrText xml:space="preserve"> PAGEREF _Toc1820 \h </w:instrText>
      </w:r>
      <w:r>
        <w:fldChar w:fldCharType="separate"/>
      </w:r>
      <w:r>
        <w:t>1</w:t>
      </w:r>
      <w:r>
        <w:fldChar w:fldCharType="end"/>
      </w:r>
      <w:r>
        <w:fldChar w:fldCharType="end"/>
      </w:r>
    </w:p>
    <w:p>
      <w:pPr>
        <w:pStyle w:val="19"/>
        <w:tabs>
          <w:tab w:val="right" w:leader="dot" w:pos="9354"/>
        </w:tabs>
      </w:pPr>
      <w:r>
        <w:fldChar w:fldCharType="begin"/>
      </w:r>
      <w:r>
        <w:instrText xml:space="preserve"> HYPERLINK \l _Toc19024 </w:instrText>
      </w:r>
      <w:r>
        <w:fldChar w:fldCharType="separate"/>
      </w:r>
      <w:r>
        <w:rPr>
          <w:rFonts w:hint="eastAsia" w:ascii="黑体" w:eastAsia="黑体"/>
          <w:i w:val="0"/>
        </w:rPr>
        <w:t xml:space="preserve">2 </w:t>
      </w:r>
      <w:r>
        <w:rPr>
          <w:rFonts w:hint="eastAsia"/>
        </w:rPr>
        <w:t>规范性引用文件</w:t>
      </w:r>
      <w:r>
        <w:tab/>
      </w:r>
      <w:r>
        <w:fldChar w:fldCharType="begin"/>
      </w:r>
      <w:r>
        <w:instrText xml:space="preserve"> PAGEREF _Toc19024 \h </w:instrText>
      </w:r>
      <w:r>
        <w:fldChar w:fldCharType="separate"/>
      </w:r>
      <w:r>
        <w:t>1</w:t>
      </w:r>
      <w:r>
        <w:fldChar w:fldCharType="end"/>
      </w:r>
      <w:r>
        <w:fldChar w:fldCharType="end"/>
      </w:r>
    </w:p>
    <w:p>
      <w:pPr>
        <w:pStyle w:val="19"/>
        <w:tabs>
          <w:tab w:val="right" w:leader="dot" w:pos="9354"/>
        </w:tabs>
      </w:pPr>
      <w:r>
        <w:fldChar w:fldCharType="begin"/>
      </w:r>
      <w:r>
        <w:instrText xml:space="preserve"> HYPERLINK \l _Toc9147 </w:instrText>
      </w:r>
      <w:r>
        <w:fldChar w:fldCharType="separate"/>
      </w:r>
      <w:r>
        <w:rPr>
          <w:rFonts w:hint="eastAsia" w:ascii="黑体" w:eastAsia="黑体"/>
          <w:i w:val="0"/>
        </w:rPr>
        <w:t xml:space="preserve">3 </w:t>
      </w:r>
      <w:r>
        <w:rPr>
          <w:rFonts w:hint="eastAsia"/>
          <w:szCs w:val="21"/>
        </w:rPr>
        <w:t>术语和定义</w:t>
      </w:r>
      <w:r>
        <w:tab/>
      </w:r>
      <w:r>
        <w:fldChar w:fldCharType="begin"/>
      </w:r>
      <w:r>
        <w:instrText xml:space="preserve"> PAGEREF _Toc9147 \h </w:instrText>
      </w:r>
      <w:r>
        <w:fldChar w:fldCharType="separate"/>
      </w:r>
      <w:r>
        <w:t>1</w:t>
      </w:r>
      <w:r>
        <w:fldChar w:fldCharType="end"/>
      </w:r>
      <w:r>
        <w:fldChar w:fldCharType="end"/>
      </w:r>
    </w:p>
    <w:p>
      <w:pPr>
        <w:pStyle w:val="19"/>
        <w:tabs>
          <w:tab w:val="right" w:leader="dot" w:pos="9354"/>
        </w:tabs>
      </w:pPr>
      <w:r>
        <w:fldChar w:fldCharType="begin"/>
      </w:r>
      <w:r>
        <w:instrText xml:space="preserve"> HYPERLINK \l _Toc20054 </w:instrText>
      </w:r>
      <w:r>
        <w:fldChar w:fldCharType="separate"/>
      </w:r>
      <w:r>
        <w:rPr>
          <w:rFonts w:hint="eastAsia" w:ascii="黑体" w:eastAsia="黑体"/>
          <w:i w:val="0"/>
        </w:rPr>
        <w:t xml:space="preserve">4 </w:t>
      </w:r>
      <w:r>
        <w:rPr>
          <w:rFonts w:hint="eastAsia"/>
        </w:rPr>
        <w:t>评价目的和流程</w:t>
      </w:r>
      <w:r>
        <w:tab/>
      </w:r>
      <w:r>
        <w:fldChar w:fldCharType="begin"/>
      </w:r>
      <w:r>
        <w:instrText xml:space="preserve"> PAGEREF _Toc20054 \h </w:instrText>
      </w:r>
      <w:r>
        <w:fldChar w:fldCharType="separate"/>
      </w:r>
      <w:r>
        <w:t>2</w:t>
      </w:r>
      <w:r>
        <w:fldChar w:fldCharType="end"/>
      </w:r>
      <w:r>
        <w:fldChar w:fldCharType="end"/>
      </w:r>
    </w:p>
    <w:p>
      <w:pPr>
        <w:pStyle w:val="19"/>
        <w:tabs>
          <w:tab w:val="right" w:leader="dot" w:pos="9354"/>
        </w:tabs>
      </w:pPr>
      <w:r>
        <w:fldChar w:fldCharType="begin"/>
      </w:r>
      <w:r>
        <w:instrText xml:space="preserve"> HYPERLINK \l _Toc2598 </w:instrText>
      </w:r>
      <w:r>
        <w:fldChar w:fldCharType="separate"/>
      </w:r>
      <w:r>
        <w:rPr>
          <w:rFonts w:hint="eastAsia" w:ascii="黑体" w:eastAsia="黑体"/>
          <w:i w:val="0"/>
        </w:rPr>
        <w:t xml:space="preserve">5 </w:t>
      </w:r>
      <w:r>
        <w:rPr>
          <w:rFonts w:hint="eastAsia"/>
          <w:lang w:val="en-US" w:eastAsia="zh-CN"/>
        </w:rPr>
        <w:t>评价内容及指标</w:t>
      </w:r>
      <w:r>
        <w:tab/>
      </w:r>
      <w:r>
        <w:fldChar w:fldCharType="begin"/>
      </w:r>
      <w:r>
        <w:instrText xml:space="preserve"> PAGEREF _Toc2598 \h </w:instrText>
      </w:r>
      <w:r>
        <w:fldChar w:fldCharType="separate"/>
      </w:r>
      <w:r>
        <w:t>3</w:t>
      </w:r>
      <w:r>
        <w:fldChar w:fldCharType="end"/>
      </w:r>
      <w:r>
        <w:fldChar w:fldCharType="end"/>
      </w:r>
    </w:p>
    <w:p>
      <w:pPr>
        <w:pStyle w:val="19"/>
        <w:tabs>
          <w:tab w:val="right" w:leader="dot" w:pos="9354"/>
        </w:tabs>
      </w:pPr>
      <w:r>
        <w:fldChar w:fldCharType="begin"/>
      </w:r>
      <w:r>
        <w:instrText xml:space="preserve"> HYPERLINK \l _Toc17217 </w:instrText>
      </w:r>
      <w:r>
        <w:fldChar w:fldCharType="separate"/>
      </w:r>
      <w:r>
        <w:rPr>
          <w:rFonts w:hint="eastAsia" w:ascii="黑体" w:eastAsia="黑体"/>
          <w:i w:val="0"/>
        </w:rPr>
        <w:t xml:space="preserve">6 </w:t>
      </w:r>
      <w:r>
        <w:rPr>
          <w:rFonts w:hint="eastAsia"/>
          <w:lang w:val="en-US" w:eastAsia="zh-CN"/>
        </w:rPr>
        <w:t>场地适宜性评价方法</w:t>
      </w:r>
      <w:r>
        <w:tab/>
      </w:r>
      <w:r>
        <w:fldChar w:fldCharType="begin"/>
      </w:r>
      <w:r>
        <w:instrText xml:space="preserve"> PAGEREF _Toc17217 \h </w:instrText>
      </w:r>
      <w:r>
        <w:fldChar w:fldCharType="separate"/>
      </w:r>
      <w:r>
        <w:t>4</w:t>
      </w:r>
      <w:r>
        <w:fldChar w:fldCharType="end"/>
      </w:r>
      <w:r>
        <w:fldChar w:fldCharType="end"/>
      </w:r>
    </w:p>
    <w:p>
      <w:pPr>
        <w:pStyle w:val="19"/>
        <w:tabs>
          <w:tab w:val="right" w:leader="dot" w:pos="9354"/>
        </w:tabs>
      </w:pPr>
      <w:r>
        <w:fldChar w:fldCharType="begin"/>
      </w:r>
      <w:r>
        <w:instrText xml:space="preserve"> HYPERLINK \l _Toc13306 </w:instrText>
      </w:r>
      <w:r>
        <w:fldChar w:fldCharType="separate"/>
      </w:r>
      <w:r>
        <w:rPr>
          <w:rFonts w:hint="eastAsia"/>
          <w:spacing w:val="100"/>
        </w:rPr>
        <w:t>附录</w:t>
      </w:r>
      <w:r>
        <w:rPr>
          <w:rFonts w:hint="default" w:ascii="Times New Roman" w:hAnsi="Times New Roman" w:cs="Times New Roman"/>
          <w:spacing w:val="100"/>
        </w:rPr>
        <w:t>A</w:t>
      </w:r>
      <w:r>
        <w:rPr>
          <w:rFonts w:hint="eastAsia"/>
          <w:spacing w:val="100"/>
        </w:rPr>
        <w:t xml:space="preserve"> </w:t>
      </w:r>
      <w:r>
        <w:t xml:space="preserve"> </w:t>
      </w:r>
      <w:r>
        <w:rPr>
          <w:rFonts w:hint="eastAsia"/>
        </w:rPr>
        <w:t>（</w:t>
      </w:r>
      <w:r>
        <w:rPr>
          <w:rFonts w:hint="eastAsia"/>
          <w:lang w:val="en-US" w:eastAsia="zh-CN"/>
        </w:rPr>
        <w:t>资料</w:t>
      </w:r>
      <w:r>
        <w:rPr>
          <w:rFonts w:hint="eastAsia"/>
        </w:rPr>
        <w:t>性）</w:t>
      </w:r>
      <w:r>
        <w:t xml:space="preserve"> </w:t>
      </w:r>
      <w:r>
        <w:rPr>
          <w:rFonts w:hint="eastAsia"/>
        </w:rPr>
        <w:t>常用海上</w:t>
      </w:r>
      <w:r>
        <w:rPr>
          <w:rFonts w:hint="default" w:ascii="Times New Roman" w:hAnsi="Times New Roman" w:cs="Times New Roman"/>
        </w:rPr>
        <w:t>CO</w:t>
      </w:r>
      <w:r>
        <w:rPr>
          <w:rFonts w:hint="default" w:ascii="Times New Roman" w:hAnsi="Times New Roman" w:cs="Times New Roman"/>
          <w:vertAlign w:val="subscript"/>
        </w:rPr>
        <w:t>2</w:t>
      </w:r>
      <w:r>
        <w:rPr>
          <w:rFonts w:hint="eastAsia"/>
        </w:rPr>
        <w:t>咸水层封存适宜性评价相关数据表</w:t>
      </w:r>
      <w:r>
        <w:tab/>
      </w:r>
      <w:r>
        <w:fldChar w:fldCharType="begin"/>
      </w:r>
      <w:r>
        <w:instrText xml:space="preserve"> PAGEREF _Toc13306 \h </w:instrText>
      </w:r>
      <w:r>
        <w:fldChar w:fldCharType="separate"/>
      </w:r>
      <w:r>
        <w:t>8</w:t>
      </w:r>
      <w:r>
        <w:fldChar w:fldCharType="end"/>
      </w:r>
      <w:r>
        <w:fldChar w:fldCharType="end"/>
      </w:r>
    </w:p>
    <w:p>
      <w:pPr>
        <w:pStyle w:val="19"/>
        <w:tabs>
          <w:tab w:val="right" w:leader="dot" w:pos="9354"/>
        </w:tabs>
      </w:pPr>
      <w:r>
        <w:fldChar w:fldCharType="begin"/>
      </w:r>
      <w:r>
        <w:instrText xml:space="preserve"> HYPERLINK \l _Toc10402 </w:instrText>
      </w:r>
      <w:r>
        <w:fldChar w:fldCharType="separate"/>
      </w:r>
      <w:r>
        <w:rPr>
          <w:rFonts w:hint="eastAsia"/>
          <w:spacing w:val="105"/>
        </w:rPr>
        <w:t>参考文</w:t>
      </w:r>
      <w:r>
        <w:rPr>
          <w:rFonts w:hint="eastAsia"/>
        </w:rPr>
        <w:t>献</w:t>
      </w:r>
      <w:r>
        <w:tab/>
      </w:r>
      <w:r>
        <w:fldChar w:fldCharType="begin"/>
      </w:r>
      <w:r>
        <w:instrText xml:space="preserve"> PAGEREF _Toc10402 \h </w:instrText>
      </w:r>
      <w:r>
        <w:fldChar w:fldCharType="separate"/>
      </w:r>
      <w:r>
        <w:t>9</w:t>
      </w:r>
      <w:r>
        <w:fldChar w:fldCharType="end"/>
      </w:r>
      <w:r>
        <w:fldChar w:fldCharType="end"/>
      </w:r>
    </w:p>
    <w:p>
      <w:pPr>
        <w:pStyle w:val="91"/>
        <w:spacing w:after="468"/>
        <w:sectPr>
          <w:headerReference r:id="rId10" w:type="default"/>
          <w:footerReference r:id="rId12" w:type="default"/>
          <w:headerReference r:id="rId11" w:type="even"/>
          <w:pgSz w:w="11906" w:h="16838"/>
          <w:pgMar w:top="567" w:right="1134" w:bottom="1134" w:left="1134" w:header="1418" w:footer="1134" w:gutter="284"/>
          <w:pgNumType w:fmt="upperRoman" w:start="1"/>
          <w:cols w:space="425" w:num="1"/>
          <w:formProt w:val="0"/>
          <w:docGrid w:type="lines" w:linePitch="312" w:charSpace="0"/>
        </w:sectPr>
      </w:pPr>
      <w:r>
        <w:fldChar w:fldCharType="end"/>
      </w:r>
    </w:p>
    <w:bookmarkEnd w:id="15"/>
    <w:p>
      <w:pPr>
        <w:pStyle w:val="89"/>
        <w:spacing w:after="468"/>
      </w:pPr>
      <w:bookmarkStart w:id="16" w:name="_Toc8247"/>
      <w:bookmarkStart w:id="17" w:name="BookMark2"/>
      <w:r>
        <w:rPr>
          <w:spacing w:val="320"/>
        </w:rPr>
        <w:t>前</w:t>
      </w:r>
      <w:r>
        <w:t>言</w:t>
      </w:r>
      <w:bookmarkEnd w:id="16"/>
    </w:p>
    <w:p>
      <w:pPr>
        <w:pStyle w:val="56"/>
        <w:ind w:firstLine="420"/>
        <w:rPr>
          <w:rFonts w:hint="eastAsia"/>
        </w:rPr>
      </w:pPr>
      <w:r>
        <w:rPr>
          <w:rFonts w:hint="eastAsia"/>
        </w:rPr>
        <w:t>本文件按照GB/T 1.1—2020《标准化工作导则 第1部分：标准化文件的结构和起草规则》的规定起草。</w:t>
      </w:r>
    </w:p>
    <w:p>
      <w:pPr>
        <w:pStyle w:val="56"/>
        <w:ind w:firstLine="420"/>
        <w:rPr>
          <w:rFonts w:hint="eastAsia"/>
        </w:rPr>
      </w:pPr>
      <w:r>
        <w:rPr>
          <w:rFonts w:hint="eastAsia"/>
        </w:rPr>
        <w:t xml:space="preserve">本文件由中国标准化研究院标准化委员会提出并归口。 </w:t>
      </w:r>
    </w:p>
    <w:p>
      <w:pPr>
        <w:pStyle w:val="56"/>
        <w:ind w:firstLine="420"/>
      </w:pPr>
      <w:r>
        <w:rPr>
          <w:rFonts w:hint="eastAsia"/>
        </w:rPr>
        <w:t>本文件起草单位 ：</w:t>
      </w:r>
    </w:p>
    <w:p>
      <w:pPr>
        <w:pStyle w:val="56"/>
        <w:ind w:firstLine="420"/>
      </w:pPr>
      <w:r>
        <w:rPr>
          <w:rFonts w:hint="eastAsia"/>
        </w:rPr>
        <w:t>本文件主要起草人：</w:t>
      </w:r>
    </w:p>
    <w:p>
      <w:pPr>
        <w:pStyle w:val="56"/>
        <w:ind w:firstLine="420"/>
      </w:pPr>
    </w:p>
    <w:p>
      <w:pPr>
        <w:pStyle w:val="56"/>
        <w:ind w:firstLine="420"/>
        <w:sectPr>
          <w:pgSz w:w="11906" w:h="16838"/>
          <w:pgMar w:top="567" w:right="1134" w:bottom="1134" w:left="1134" w:header="1418" w:footer="1134" w:gutter="284"/>
          <w:pgNumType w:fmt="upperRoman"/>
          <w:cols w:space="425" w:num="1"/>
          <w:formProt w:val="0"/>
          <w:docGrid w:type="lines" w:linePitch="312" w:charSpace="0"/>
        </w:sectPr>
      </w:pPr>
    </w:p>
    <w:bookmarkEnd w:id="17"/>
    <w:p>
      <w:pPr>
        <w:spacing w:line="20" w:lineRule="exact"/>
        <w:jc w:val="center"/>
        <w:rPr>
          <w:rFonts w:ascii="黑体" w:hAnsi="黑体" w:eastAsia="黑体"/>
          <w:sz w:val="32"/>
          <w:szCs w:val="32"/>
        </w:rPr>
      </w:pPr>
      <w:bookmarkStart w:id="18" w:name="BookMark4"/>
    </w:p>
    <w:p>
      <w:pPr>
        <w:spacing w:line="20" w:lineRule="exact"/>
        <w:jc w:val="center"/>
        <w:rPr>
          <w:rFonts w:ascii="黑体" w:hAnsi="黑体" w:eastAsia="黑体"/>
          <w:sz w:val="32"/>
          <w:szCs w:val="32"/>
        </w:rPr>
      </w:pPr>
    </w:p>
    <w:sdt>
      <w:sdtPr>
        <w:tag w:val="NEW_STAND_NAME"/>
        <w:id w:val="595910757"/>
        <w:lock w:val="sdtLocked"/>
        <w:placeholder>
          <w:docPart w:val="3DDF2970FC494303A22536CF31D48176"/>
        </w:placeholder>
      </w:sdtPr>
      <w:sdtContent>
        <w:p>
          <w:pPr>
            <w:pStyle w:val="177"/>
            <w:spacing w:before="567" w:beforeLines="182" w:after="686" w:afterLines="220"/>
          </w:pPr>
          <w:bookmarkStart w:id="19" w:name="NEW_STAND_NAME"/>
          <w:r>
            <w:rPr>
              <w:rFonts w:hint="eastAsia"/>
            </w:rPr>
            <w:t>海上CO</w:t>
          </w:r>
          <w:r>
            <w:rPr>
              <w:rFonts w:hint="eastAsia"/>
              <w:vertAlign w:val="subscript"/>
            </w:rPr>
            <w:t>2</w:t>
          </w:r>
          <w:r>
            <w:rPr>
              <w:rFonts w:hint="eastAsia"/>
            </w:rPr>
            <w:t>咸水层封存场地适宜性评价方法</w:t>
          </w:r>
        </w:p>
      </w:sdtContent>
    </w:sdt>
    <w:bookmarkEnd w:id="19"/>
    <w:p>
      <w:pPr>
        <w:pStyle w:val="104"/>
        <w:spacing w:before="312" w:after="312"/>
      </w:pPr>
      <w:bookmarkStart w:id="20" w:name="_Toc17233333"/>
      <w:bookmarkStart w:id="21" w:name="_Toc26986530"/>
      <w:bookmarkStart w:id="22" w:name="_Toc26648465"/>
      <w:bookmarkStart w:id="23" w:name="_Toc24884211"/>
      <w:bookmarkStart w:id="24" w:name="_Toc24884218"/>
      <w:bookmarkStart w:id="25" w:name="_Toc26718930"/>
      <w:bookmarkStart w:id="26" w:name="_Toc17233325"/>
      <w:bookmarkStart w:id="27" w:name="_Toc26986771"/>
      <w:bookmarkStart w:id="28" w:name="_Toc1820"/>
      <w:r>
        <w:rPr>
          <w:rFonts w:hint="eastAsia"/>
        </w:rPr>
        <w:t>范围</w:t>
      </w:r>
      <w:bookmarkEnd w:id="20"/>
      <w:bookmarkEnd w:id="21"/>
      <w:bookmarkEnd w:id="22"/>
      <w:bookmarkEnd w:id="23"/>
      <w:bookmarkEnd w:id="24"/>
      <w:bookmarkEnd w:id="25"/>
      <w:bookmarkEnd w:id="26"/>
      <w:bookmarkEnd w:id="27"/>
      <w:bookmarkEnd w:id="28"/>
    </w:p>
    <w:p>
      <w:pPr>
        <w:pStyle w:val="56"/>
        <w:ind w:firstLine="420"/>
        <w:rPr>
          <w:rFonts w:hint="eastAsia"/>
        </w:rPr>
      </w:pPr>
      <w:bookmarkStart w:id="29" w:name="_Toc26648466"/>
      <w:bookmarkStart w:id="30" w:name="_Toc17233326"/>
      <w:bookmarkStart w:id="31" w:name="_Toc24884219"/>
      <w:bookmarkStart w:id="32" w:name="_Toc24884212"/>
      <w:bookmarkStart w:id="33" w:name="_Toc17233334"/>
      <w:r>
        <w:rPr>
          <w:rFonts w:hint="eastAsia"/>
        </w:rPr>
        <w:t>本文件规定了海上</w:t>
      </w:r>
      <w:r>
        <w:rPr>
          <w:rFonts w:hint="default" w:ascii="Times New Roman" w:hAnsi="Times New Roman" w:cs="Times New Roman"/>
        </w:rPr>
        <w:t>CO</w:t>
      </w:r>
      <w:r>
        <w:rPr>
          <w:rFonts w:hint="default" w:ascii="Times New Roman" w:hAnsi="Times New Roman" w:cs="Times New Roman"/>
          <w:vertAlign w:val="subscript"/>
        </w:rPr>
        <w:t>2</w:t>
      </w:r>
      <w:r>
        <w:rPr>
          <w:rFonts w:hint="eastAsia"/>
        </w:rPr>
        <w:t>咸水层封存场地适宜性</w:t>
      </w:r>
      <w:r>
        <w:rPr>
          <w:rFonts w:hint="eastAsia"/>
          <w:lang w:val="en-US" w:eastAsia="zh-CN"/>
        </w:rPr>
        <w:t>的评价目的和流程、内容及指标和方法</w:t>
      </w:r>
      <w:r>
        <w:rPr>
          <w:rFonts w:hint="eastAsia"/>
        </w:rPr>
        <w:t>。</w:t>
      </w:r>
    </w:p>
    <w:p>
      <w:pPr>
        <w:pStyle w:val="56"/>
        <w:ind w:firstLine="420"/>
        <w:rPr>
          <w:rFonts w:hint="eastAsia"/>
        </w:rPr>
      </w:pPr>
      <w:r>
        <w:rPr>
          <w:rFonts w:hint="eastAsia"/>
        </w:rPr>
        <w:t>本文件适用于海上</w:t>
      </w:r>
      <w:r>
        <w:rPr>
          <w:rFonts w:hint="default" w:ascii="Times New Roman" w:hAnsi="Times New Roman" w:cs="Times New Roman"/>
        </w:rPr>
        <w:t>CO</w:t>
      </w:r>
      <w:r>
        <w:rPr>
          <w:rFonts w:hint="default" w:ascii="Times New Roman" w:hAnsi="Times New Roman" w:cs="Times New Roman"/>
          <w:vertAlign w:val="subscript"/>
        </w:rPr>
        <w:t>2</w:t>
      </w:r>
      <w:r>
        <w:rPr>
          <w:rFonts w:hint="eastAsia"/>
        </w:rPr>
        <w:t>咸水层封存场地适宜性评价和选区评价。</w:t>
      </w:r>
    </w:p>
    <w:p>
      <w:pPr>
        <w:pStyle w:val="104"/>
        <w:spacing w:before="312" w:after="312"/>
      </w:pPr>
      <w:bookmarkStart w:id="34" w:name="_Toc26718931"/>
      <w:bookmarkStart w:id="35" w:name="_Toc26986772"/>
      <w:bookmarkStart w:id="36" w:name="_Toc19024"/>
      <w:bookmarkStart w:id="37" w:name="_Toc26986531"/>
      <w:r>
        <w:rPr>
          <w:rFonts w:hint="eastAsia"/>
        </w:rPr>
        <w:t>规范性引用文件</w:t>
      </w:r>
      <w:bookmarkEnd w:id="29"/>
      <w:bookmarkEnd w:id="30"/>
      <w:bookmarkEnd w:id="31"/>
      <w:bookmarkEnd w:id="32"/>
      <w:bookmarkEnd w:id="33"/>
      <w:bookmarkEnd w:id="34"/>
      <w:bookmarkEnd w:id="35"/>
      <w:bookmarkEnd w:id="36"/>
      <w:bookmarkEnd w:id="37"/>
    </w:p>
    <w:sdt>
      <w:sdtPr>
        <w:rPr>
          <w:rFonts w:hint="eastAsia"/>
        </w:rPr>
        <w:id w:val="715848253"/>
        <w:placeholder>
          <w:docPart w:val="8EDD782B0A554986A46D582A31504B74"/>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pPr>
        <w:pStyle w:val="56"/>
        <w:ind w:firstLine="420"/>
        <w:rPr>
          <w:rFonts w:hint="default" w:ascii="Times New Roman" w:hAnsi="Times New Roman" w:cs="Times New Roman"/>
        </w:rPr>
      </w:pPr>
      <w:r>
        <w:rPr>
          <w:rFonts w:hint="default" w:ascii="Times New Roman" w:hAnsi="Times New Roman" w:cs="Times New Roman"/>
        </w:rPr>
        <w:t>GB/T 17741  工程场地地震安全性评价</w:t>
      </w:r>
    </w:p>
    <w:p>
      <w:pPr>
        <w:pStyle w:val="56"/>
        <w:ind w:firstLine="420"/>
        <w:rPr>
          <w:rFonts w:hint="default" w:ascii="Times New Roman" w:hAnsi="Times New Roman" w:cs="Times New Roman"/>
        </w:rPr>
      </w:pPr>
      <w:r>
        <w:rPr>
          <w:rFonts w:hint="default" w:ascii="Times New Roman" w:hAnsi="Times New Roman" w:cs="Times New Roman"/>
        </w:rPr>
        <w:t>SY/T 6942   石油天然气盖层评价方法</w:t>
      </w:r>
    </w:p>
    <w:p>
      <w:pPr>
        <w:pStyle w:val="104"/>
        <w:spacing w:before="312" w:after="312"/>
      </w:pPr>
      <w:bookmarkStart w:id="38" w:name="_Toc9147"/>
      <w:r>
        <w:rPr>
          <w:rFonts w:hint="eastAsia"/>
          <w:szCs w:val="21"/>
        </w:rPr>
        <w:t>术语和定义</w:t>
      </w:r>
      <w:bookmarkEnd w:id="38"/>
    </w:p>
    <w:sdt>
      <w:sdtPr>
        <w:id w:val="-1909835108"/>
        <w:placeholder>
          <w:docPart w:val="8EDD782B0A554986A46D582A31504B74"/>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pPr>
            <w:pStyle w:val="56"/>
            <w:ind w:firstLine="420"/>
          </w:pPr>
          <w:bookmarkStart w:id="39" w:name="_Toc26986532"/>
          <w:bookmarkEnd w:id="39"/>
          <w:r>
            <w:rPr>
              <w:rFonts w:ascii="宋体" w:hAnsi="Times New Roman" w:eastAsia="宋体" w:cs="Times New Roman"/>
              <w:sz w:val="21"/>
              <w:lang w:val="en-US" w:eastAsia="zh-CN" w:bidi="ar-SA"/>
            </w:rPr>
            <w:t>下列术语和定义适用于本文件。</w:t>
          </w:r>
        </w:p>
      </w:sdtContent>
    </w:sdt>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海上封存场地 offshore storage site</w:t>
      </w:r>
    </w:p>
    <w:p>
      <w:pPr>
        <w:pStyle w:val="56"/>
        <w:ind w:firstLine="420"/>
      </w:pPr>
      <w:r>
        <w:rPr>
          <w:rFonts w:hint="eastAsia"/>
        </w:rPr>
        <w:t>封存地质体或地下空间以及用于开发二氧化碳注入设施并进行封存活动（包括监测）的海洋区域。</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海上封存适宜性 offshore storage suitability</w:t>
      </w:r>
    </w:p>
    <w:p>
      <w:pPr>
        <w:pStyle w:val="56"/>
        <w:ind w:firstLine="420"/>
        <w:rPr>
          <w:rFonts w:hint="eastAsia"/>
        </w:rPr>
      </w:pPr>
      <w:r>
        <w:rPr>
          <w:rFonts w:hint="eastAsia"/>
        </w:rPr>
        <w:t>实施二氧化碳海上地质封存的地质体或地下空间储集条件、地质安全性条件以及海洋工程条件和社会经济条件等。</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咸水层 saline aquifer</w:t>
      </w:r>
    </w:p>
    <w:p>
      <w:pPr>
        <w:pStyle w:val="56"/>
        <w:rPr>
          <w:rFonts w:hint="eastAsia"/>
        </w:rPr>
      </w:pPr>
      <w:r>
        <w:rPr>
          <w:rFonts w:hint="eastAsia"/>
        </w:rPr>
        <w:t>特指沉积盆地内适宜二氧化碳地质封存的高孔隙含水地层</w:t>
      </w:r>
      <w:r>
        <w:rPr>
          <w:rFonts w:hint="eastAsia"/>
          <w:lang w:eastAsia="zh-CN"/>
        </w:rPr>
        <w:t>，</w:t>
      </w:r>
      <w:r>
        <w:rPr>
          <w:rFonts w:hint="eastAsia"/>
        </w:rPr>
        <w:t>赋存深度一般在800 m以下，矿化度3 g/L以上。</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储层 reservoir</w:t>
      </w:r>
    </w:p>
    <w:p>
      <w:pPr>
        <w:pStyle w:val="56"/>
        <w:rPr>
          <w:rFonts w:hint="eastAsia"/>
        </w:rPr>
      </w:pPr>
      <w:r>
        <w:rPr>
          <w:rFonts w:hint="eastAsia"/>
        </w:rPr>
        <w:t>具有大量孔隙且孔隙之间具有连通性的能够注入和储存二氧化碳的岩层。</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储层条件 storage condition</w:t>
      </w:r>
    </w:p>
    <w:p>
      <w:pPr>
        <w:pStyle w:val="56"/>
        <w:rPr>
          <w:rFonts w:hint="eastAsia"/>
        </w:rPr>
      </w:pPr>
      <w:r>
        <w:rPr>
          <w:rFonts w:hint="eastAsia"/>
        </w:rPr>
        <w:t>储层能够渗流和封存二氧化碳的条件或能力。</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地质封存体 geological storage</w:t>
      </w:r>
    </w:p>
    <w:p>
      <w:pPr>
        <w:pStyle w:val="56"/>
        <w:rPr>
          <w:rFonts w:hint="eastAsia"/>
        </w:rPr>
      </w:pPr>
      <w:r>
        <w:rPr>
          <w:rFonts w:hint="eastAsia"/>
        </w:rPr>
        <w:t>地下能满足二氧化碳封存的独立地质单元。该单元具有独立的水动力系统和压力系统。</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封存潜力 storage potential</w:t>
      </w:r>
    </w:p>
    <w:p>
      <w:pPr>
        <w:pStyle w:val="56"/>
        <w:rPr>
          <w:rFonts w:hint="eastAsia"/>
        </w:rPr>
      </w:pPr>
      <w:r>
        <w:rPr>
          <w:rFonts w:hint="eastAsia"/>
        </w:rPr>
        <w:t>在不导致地质封存体破坏的条件下，储层可以容纳的二氧化碳最大质量。</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可注入性 injectivity</w:t>
      </w:r>
    </w:p>
    <w:p>
      <w:pPr>
        <w:pStyle w:val="56"/>
        <w:rPr>
          <w:rFonts w:hint="eastAsia"/>
        </w:rPr>
      </w:pPr>
      <w:r>
        <w:rPr>
          <w:rFonts w:hint="eastAsia"/>
        </w:rPr>
        <w:t>向储层注入二氧化碳的容易程度。</w:t>
      </w:r>
    </w:p>
    <w:p>
      <w:pPr>
        <w:pStyle w:val="223"/>
        <w:ind w:left="420" w:hanging="420" w:hangingChars="200"/>
        <w:rPr>
          <w:rFonts w:hint="eastAsia" w:ascii="黑体" w:hAnsi="黑体" w:eastAsia="黑体"/>
        </w:rPr>
      </w:pPr>
      <w:r>
        <w:rPr>
          <w:rFonts w:ascii="黑体" w:hAnsi="黑体" w:eastAsia="黑体"/>
        </w:rPr>
        <w:br w:type="textWrapping"/>
      </w:r>
      <w:r>
        <w:rPr>
          <w:rFonts w:hint="eastAsia" w:ascii="黑体" w:hAnsi="黑体" w:eastAsia="黑体"/>
        </w:rPr>
        <w:t>盖层 caprock</w:t>
      </w:r>
    </w:p>
    <w:p>
      <w:pPr>
        <w:pStyle w:val="56"/>
        <w:rPr>
          <w:rFonts w:hint="eastAsia"/>
        </w:rPr>
      </w:pPr>
      <w:r>
        <w:rPr>
          <w:rFonts w:hint="eastAsia"/>
        </w:rPr>
        <w:t>位于储层之上，二氧化碳等流体难以进入并流动的岩层。</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封闭性 sealing property</w:t>
      </w:r>
    </w:p>
    <w:p>
      <w:pPr>
        <w:pStyle w:val="56"/>
        <w:rPr>
          <w:rFonts w:hint="eastAsia"/>
        </w:rPr>
      </w:pPr>
      <w:r>
        <w:rPr>
          <w:rFonts w:hint="eastAsia"/>
        </w:rPr>
        <w:t>盖层、断层等对二氧化碳等流体运移渗透的阻碍性能。</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安全性 geological safety</w:t>
      </w:r>
    </w:p>
    <w:p>
      <w:pPr>
        <w:pStyle w:val="56"/>
        <w:rPr>
          <w:rFonts w:hint="eastAsia"/>
        </w:rPr>
      </w:pPr>
      <w:r>
        <w:rPr>
          <w:rFonts w:hint="eastAsia"/>
        </w:rPr>
        <w:t>二氧化碳在封存地质体中长期稳定封存，不发生泄漏的性能。</w:t>
      </w:r>
    </w:p>
    <w:p>
      <w:pPr>
        <w:pStyle w:val="223"/>
        <w:ind w:left="420" w:hanging="420" w:hangingChars="200"/>
        <w:rPr>
          <w:rFonts w:ascii="黑体" w:hAnsi="黑体" w:eastAsia="黑体"/>
        </w:rPr>
      </w:pPr>
      <w:r>
        <w:rPr>
          <w:rFonts w:ascii="黑体" w:hAnsi="黑体" w:eastAsia="黑体"/>
        </w:rPr>
        <w:br w:type="textWrapping"/>
      </w:r>
      <w:r>
        <w:rPr>
          <w:rFonts w:hint="eastAsia" w:ascii="黑体" w:hAnsi="黑体" w:eastAsia="黑体"/>
        </w:rPr>
        <w:t>碳源 carbon sources</w:t>
      </w:r>
    </w:p>
    <w:p>
      <w:pPr>
        <w:pStyle w:val="56"/>
        <w:rPr>
          <w:rFonts w:hint="eastAsia"/>
        </w:rPr>
      </w:pPr>
      <w:r>
        <w:rPr>
          <w:rFonts w:hint="eastAsia"/>
        </w:rPr>
        <w:t>工业生产过程中向大气排放二氧化碳的发生地。</w:t>
      </w:r>
    </w:p>
    <w:p>
      <w:pPr>
        <w:pStyle w:val="104"/>
        <w:spacing w:before="312" w:after="312"/>
      </w:pPr>
      <w:bookmarkStart w:id="40" w:name="_Toc20054"/>
      <w:r>
        <w:rPr>
          <w:rFonts w:hint="eastAsia"/>
        </w:rPr>
        <w:t>评价目的和流程</w:t>
      </w:r>
      <w:bookmarkEnd w:id="40"/>
    </w:p>
    <w:p>
      <w:pPr>
        <w:pStyle w:val="105"/>
        <w:spacing w:before="156" w:after="156"/>
      </w:pPr>
      <w:r>
        <w:rPr>
          <w:rFonts w:hint="eastAsia"/>
        </w:rPr>
        <w:t>评价目的</w:t>
      </w:r>
    </w:p>
    <w:p>
      <w:pPr>
        <w:pStyle w:val="56"/>
        <w:ind w:firstLine="420"/>
      </w:pPr>
      <w:r>
        <w:rPr>
          <w:rFonts w:hint="eastAsia"/>
        </w:rPr>
        <w:t>在方案或项目早期规划阶段，对一个或多个海上封存场地的海上CO2封存适宜性进行评价，为后续预可行性研究及可行性研究等筛选潜在封存场地提供依据。</w:t>
      </w:r>
    </w:p>
    <w:p>
      <w:pPr>
        <w:pStyle w:val="105"/>
        <w:spacing w:before="156" w:after="156"/>
      </w:pPr>
      <w:r>
        <w:rPr>
          <w:rFonts w:hint="eastAsia"/>
          <w:lang w:val="en-US" w:eastAsia="zh-CN"/>
        </w:rPr>
        <w:t>评价流程</w:t>
      </w:r>
    </w:p>
    <w:p>
      <w:pPr>
        <w:pStyle w:val="56"/>
        <w:ind w:firstLine="420"/>
        <w:rPr>
          <w:rFonts w:hint="eastAsia"/>
        </w:rPr>
      </w:pPr>
      <w:r>
        <w:rPr>
          <w:rFonts w:hint="eastAsia"/>
        </w:rPr>
        <w:t>a）资料收集；</w:t>
      </w:r>
    </w:p>
    <w:p>
      <w:pPr>
        <w:pStyle w:val="56"/>
        <w:ind w:firstLine="420"/>
        <w:rPr>
          <w:rFonts w:hint="eastAsia"/>
        </w:rPr>
      </w:pPr>
      <w:r>
        <w:rPr>
          <w:rFonts w:hint="eastAsia"/>
        </w:rPr>
        <w:t>b）基础条件评估；</w:t>
      </w:r>
    </w:p>
    <w:p>
      <w:pPr>
        <w:pStyle w:val="56"/>
        <w:ind w:firstLine="420"/>
        <w:rPr>
          <w:rFonts w:hint="eastAsia"/>
        </w:rPr>
      </w:pPr>
      <w:r>
        <w:rPr>
          <w:rFonts w:hint="eastAsia"/>
        </w:rPr>
        <w:t>c）建立评价指标体系；</w:t>
      </w:r>
    </w:p>
    <w:p>
      <w:pPr>
        <w:pStyle w:val="56"/>
        <w:ind w:firstLine="420"/>
        <w:rPr>
          <w:rFonts w:hint="eastAsia"/>
        </w:rPr>
      </w:pPr>
      <w:r>
        <w:rPr>
          <w:rFonts w:hint="eastAsia"/>
        </w:rPr>
        <w:t>d）确定各评价指标权重；</w:t>
      </w:r>
    </w:p>
    <w:p>
      <w:pPr>
        <w:pStyle w:val="56"/>
        <w:ind w:firstLine="420"/>
        <w:rPr>
          <w:rFonts w:hint="eastAsia"/>
        </w:rPr>
      </w:pPr>
      <w:r>
        <w:rPr>
          <w:rFonts w:hint="eastAsia"/>
        </w:rPr>
        <w:t>e）评价场地适宜性。</w:t>
      </w:r>
    </w:p>
    <w:p>
      <w:pPr>
        <w:pStyle w:val="56"/>
        <w:ind w:firstLine="420"/>
        <w:rPr>
          <w:rFonts w:hint="eastAsia"/>
        </w:rPr>
      </w:pPr>
    </w:p>
    <w:p>
      <w:pPr>
        <w:pStyle w:val="56"/>
        <w:keepNext w:val="0"/>
        <w:keepLines w:val="0"/>
        <w:pageBreakBefore w:val="0"/>
        <w:widowControl/>
        <w:kinsoku/>
        <w:wordWrap/>
        <w:overflowPunct/>
        <w:topLinePunct w:val="0"/>
        <w:autoSpaceDE w:val="0"/>
        <w:autoSpaceDN w:val="0"/>
        <w:bidi w:val="0"/>
        <w:adjustRightInd/>
        <w:snapToGrid/>
        <w:ind w:firstLine="0" w:firstLineChars="0"/>
        <w:jc w:val="center"/>
        <w:textAlignment w:val="auto"/>
        <w:rPr>
          <w:rFonts w:hint="eastAsia"/>
        </w:rPr>
      </w:pPr>
      <w:r>
        <w:drawing>
          <wp:inline distT="0" distB="0" distL="114300" distR="114300">
            <wp:extent cx="1671320" cy="2329815"/>
            <wp:effectExtent l="0" t="0" r="5080" b="13335"/>
            <wp:docPr id="33"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2"/>
                    <pic:cNvPicPr>
                      <a:picLocks noChangeAspect="1"/>
                    </pic:cNvPicPr>
                  </pic:nvPicPr>
                  <pic:blipFill>
                    <a:blip r:embed="rId16"/>
                    <a:stretch>
                      <a:fillRect/>
                    </a:stretch>
                  </pic:blipFill>
                  <pic:spPr>
                    <a:xfrm>
                      <a:off x="0" y="0"/>
                      <a:ext cx="1671320" cy="2329815"/>
                    </a:xfrm>
                    <a:prstGeom prst="rect">
                      <a:avLst/>
                    </a:prstGeom>
                  </pic:spPr>
                </pic:pic>
              </a:graphicData>
            </a:graphic>
          </wp:inline>
        </w:drawing>
      </w:r>
    </w:p>
    <w:p>
      <w:pPr>
        <w:pStyle w:val="114"/>
        <w:spacing w:before="156" w:after="156"/>
        <w:rPr>
          <w:rFonts w:hint="eastAsia"/>
        </w:rPr>
      </w:pPr>
      <w:r>
        <w:rPr>
          <w:rFonts w:hint="eastAsia"/>
          <w:lang w:val="en-US" w:eastAsia="zh-CN"/>
        </w:rPr>
        <w:t>适宜性评价流程示意图</w:t>
      </w:r>
    </w:p>
    <w:p>
      <w:pPr>
        <w:pStyle w:val="104"/>
        <w:spacing w:before="312" w:after="312"/>
      </w:pPr>
      <w:bookmarkStart w:id="41" w:name="_Toc2598"/>
      <w:r>
        <w:rPr>
          <w:rFonts w:hint="eastAsia"/>
          <w:lang w:val="en-US" w:eastAsia="zh-CN"/>
        </w:rPr>
        <w:t>评价内容及指标</w:t>
      </w:r>
      <w:bookmarkEnd w:id="41"/>
    </w:p>
    <w:p>
      <w:pPr>
        <w:pStyle w:val="105"/>
        <w:spacing w:before="156" w:after="156"/>
        <w:rPr>
          <w:rFonts w:hint="eastAsia"/>
          <w:lang w:val="en-US" w:eastAsia="zh-CN"/>
        </w:rPr>
      </w:pPr>
      <w:r>
        <w:rPr>
          <w:rFonts w:hint="eastAsia"/>
          <w:lang w:val="en-US" w:eastAsia="zh-CN"/>
        </w:rPr>
        <w:t>评价基础条件</w:t>
      </w:r>
    </w:p>
    <w:p>
      <w:pPr>
        <w:pStyle w:val="56"/>
        <w:ind w:firstLine="420"/>
        <w:rPr>
          <w:rFonts w:hint="default" w:ascii="Times New Roman" w:hAnsi="Times New Roman" w:cs="Times New Roman"/>
          <w:lang w:eastAsia="zh-CN"/>
        </w:rPr>
      </w:pPr>
      <w:r>
        <w:rPr>
          <w:rFonts w:hint="default" w:ascii="Times New Roman" w:hAnsi="Times New Roman" w:cs="Times New Roman"/>
          <w:lang w:val="en-US" w:eastAsia="zh-CN"/>
        </w:rPr>
        <w:t>封存场地需满足以下各项评价基础条件，然后再根据评价指标开展适宜性评价</w:t>
      </w:r>
      <w:r>
        <w:rPr>
          <w:rFonts w:hint="default" w:ascii="Times New Roman" w:hAnsi="Times New Roman" w:cs="Times New Roman"/>
          <w:lang w:eastAsia="zh-CN"/>
        </w:rPr>
        <w:t>：</w:t>
      </w:r>
    </w:p>
    <w:p>
      <w:pPr>
        <w:pStyle w:val="56"/>
        <w:ind w:firstLine="420"/>
        <w:rPr>
          <w:rFonts w:hint="default" w:ascii="Times New Roman" w:hAnsi="Times New Roman" w:cs="Times New Roman"/>
        </w:rPr>
      </w:pPr>
      <w:r>
        <w:rPr>
          <w:rFonts w:hint="default" w:ascii="Times New Roman" w:hAnsi="Times New Roman" w:cs="Times New Roman"/>
        </w:rPr>
        <w:t>a）满足所需的CO</w:t>
      </w:r>
      <w:r>
        <w:rPr>
          <w:rFonts w:hint="default" w:ascii="Times New Roman" w:hAnsi="Times New Roman" w:cs="Times New Roman"/>
          <w:vertAlign w:val="subscript"/>
        </w:rPr>
        <w:t>2</w:t>
      </w:r>
      <w:r>
        <w:rPr>
          <w:rFonts w:hint="default" w:ascii="Times New Roman" w:hAnsi="Times New Roman" w:cs="Times New Roman"/>
        </w:rPr>
        <w:t>注入规模和注入能力；</w:t>
      </w:r>
    </w:p>
    <w:p>
      <w:pPr>
        <w:pStyle w:val="56"/>
        <w:ind w:firstLine="420"/>
        <w:rPr>
          <w:rFonts w:hint="default" w:ascii="Times New Roman" w:hAnsi="Times New Roman" w:cs="Times New Roman"/>
        </w:rPr>
      </w:pPr>
      <w:r>
        <w:rPr>
          <w:rFonts w:hint="default" w:ascii="Times New Roman" w:hAnsi="Times New Roman" w:cs="Times New Roman"/>
        </w:rPr>
        <w:t>b）盖层、断层、已钻井全部达到封闭要求；</w:t>
      </w:r>
    </w:p>
    <w:p>
      <w:pPr>
        <w:pStyle w:val="56"/>
        <w:ind w:firstLine="420"/>
        <w:rPr>
          <w:rFonts w:hint="default" w:ascii="Times New Roman" w:hAnsi="Times New Roman" w:cs="Times New Roman"/>
        </w:rPr>
      </w:pPr>
      <w:r>
        <w:rPr>
          <w:rFonts w:hint="default" w:ascii="Times New Roman" w:hAnsi="Times New Roman" w:cs="Times New Roman"/>
        </w:rPr>
        <w:t>c）未处于地震活跃区；</w:t>
      </w:r>
    </w:p>
    <w:p>
      <w:pPr>
        <w:pStyle w:val="56"/>
        <w:ind w:firstLine="420"/>
        <w:rPr>
          <w:rFonts w:hint="default" w:ascii="Times New Roman" w:hAnsi="Times New Roman" w:eastAsia="宋体" w:cs="Times New Roman"/>
          <w:lang w:val="en-US" w:eastAsia="zh-CN"/>
        </w:rPr>
      </w:pPr>
      <w:r>
        <w:rPr>
          <w:rFonts w:hint="default" w:ascii="Times New Roman" w:hAnsi="Times New Roman" w:cs="Times New Roman"/>
        </w:rPr>
        <w:t>d）具备必须的和可靠</w:t>
      </w:r>
      <w:r>
        <w:rPr>
          <w:rFonts w:hint="default" w:ascii="Times New Roman" w:hAnsi="Times New Roman" w:cs="Times New Roman"/>
          <w:lang w:val="en-US" w:eastAsia="zh-CN"/>
        </w:rPr>
        <w:t>基础地质</w:t>
      </w:r>
      <w:r>
        <w:rPr>
          <w:rFonts w:hint="default" w:ascii="Times New Roman" w:hAnsi="Times New Roman" w:cs="Times New Roman"/>
        </w:rPr>
        <w:t>资料</w:t>
      </w:r>
      <w:r>
        <w:rPr>
          <w:rFonts w:hint="default" w:ascii="Times New Roman" w:hAnsi="Times New Roman" w:cs="Times New Roman"/>
          <w:lang w:eastAsia="zh-CN"/>
        </w:rPr>
        <w:t>。</w:t>
      </w:r>
    </w:p>
    <w:p>
      <w:pPr>
        <w:pStyle w:val="105"/>
        <w:spacing w:before="156" w:after="156"/>
        <w:rPr>
          <w:rFonts w:hint="eastAsia"/>
          <w:lang w:val="en-US" w:eastAsia="zh-CN"/>
        </w:rPr>
      </w:pPr>
      <w:r>
        <w:rPr>
          <w:rFonts w:hint="eastAsia"/>
          <w:lang w:val="en-US" w:eastAsia="zh-CN"/>
        </w:rPr>
        <w:t>评价指标</w:t>
      </w:r>
    </w:p>
    <w:p>
      <w:pPr>
        <w:spacing w:line="240" w:lineRule="auto"/>
        <w:ind w:firstLine="420"/>
        <w:rPr>
          <w:rFonts w:ascii="Times New Roman" w:hAnsi="Times New Roman"/>
        </w:rPr>
      </w:pPr>
      <w:r>
        <w:rPr>
          <w:rFonts w:hint="eastAsia" w:ascii="Times New Roman" w:hAnsi="Times New Roman"/>
        </w:rPr>
        <w:t>封存场地适宜性评价包括封存潜力评价、封存安全性评价、环境经济和技术可行性评价、资料基础评价等四个方面，共八项基本评价条件。八项评价条件和指标可参考附录A中表A.1中给出的封存场地的推荐指标及优劣划分。</w:t>
      </w:r>
    </w:p>
    <w:p>
      <w:pPr>
        <w:pStyle w:val="105"/>
        <w:spacing w:before="156" w:after="156"/>
        <w:rPr>
          <w:rFonts w:hint="eastAsia"/>
          <w:lang w:val="en-US" w:eastAsia="zh-CN"/>
        </w:rPr>
      </w:pPr>
      <w:r>
        <w:rPr>
          <w:rFonts w:hint="eastAsia"/>
          <w:lang w:val="en-US" w:eastAsia="zh-CN"/>
        </w:rPr>
        <w:t>圈闭条件</w:t>
      </w:r>
    </w:p>
    <w:p>
      <w:pPr>
        <w:spacing w:line="240" w:lineRule="auto"/>
        <w:ind w:firstLine="420"/>
        <w:rPr>
          <w:rFonts w:ascii="Times New Roman" w:hAnsi="Times New Roman"/>
        </w:rPr>
      </w:pPr>
      <w:r>
        <w:rPr>
          <w:rFonts w:hint="eastAsia" w:ascii="Times New Roman" w:hAnsi="Times New Roman"/>
        </w:rPr>
        <w:t>评价圈闭条件包括以下指标：</w:t>
      </w:r>
    </w:p>
    <w:p>
      <w:pPr>
        <w:spacing w:line="240" w:lineRule="auto"/>
        <w:ind w:firstLine="420"/>
        <w:rPr>
          <w:rFonts w:ascii="Times New Roman" w:hAnsi="Times New Roman"/>
        </w:rPr>
      </w:pPr>
      <w:r>
        <w:rPr>
          <w:rFonts w:hint="eastAsia" w:ascii="Times New Roman" w:hAnsi="Times New Roman"/>
        </w:rPr>
        <w:t>a）</w:t>
      </w:r>
      <w:r>
        <w:rPr>
          <w:rFonts w:ascii="Times New Roman" w:hAnsi="Times New Roman"/>
        </w:rPr>
        <w:t>圈闭类型</w:t>
      </w:r>
      <w:r>
        <w:rPr>
          <w:rFonts w:hint="eastAsia" w:ascii="Times New Roman" w:hAnsi="Times New Roman"/>
        </w:rPr>
        <w:t>：背斜圈闭封存效果优于断背斜、断鼻等构造圈闭。</w:t>
      </w:r>
    </w:p>
    <w:p>
      <w:pPr>
        <w:spacing w:line="240" w:lineRule="auto"/>
        <w:ind w:firstLine="420"/>
        <w:rPr>
          <w:rFonts w:ascii="Times New Roman" w:hAnsi="Times New Roman"/>
        </w:rPr>
      </w:pPr>
      <w:r>
        <w:rPr>
          <w:rFonts w:hint="eastAsia" w:ascii="Times New Roman" w:hAnsi="Times New Roman"/>
        </w:rPr>
        <w:t>b）</w:t>
      </w:r>
      <w:r>
        <w:rPr>
          <w:rFonts w:ascii="Times New Roman" w:hAnsi="Times New Roman"/>
        </w:rPr>
        <w:t>圈闭面积</w:t>
      </w:r>
      <w:r>
        <w:rPr>
          <w:rFonts w:hint="eastAsia" w:ascii="Times New Roman" w:hAnsi="Times New Roman"/>
        </w:rPr>
        <w:t>：构造圈闭或储层等封存体的平面展布面积</w:t>
      </w:r>
      <w:r>
        <w:rPr>
          <w:rFonts w:hint="eastAsia" w:ascii="Times New Roman" w:hAnsi="Times New Roman"/>
          <w:lang w:eastAsia="zh-CN"/>
        </w:rPr>
        <w:t>，</w:t>
      </w:r>
      <w:r>
        <w:rPr>
          <w:rFonts w:hint="eastAsia" w:ascii="Times New Roman" w:hAnsi="Times New Roman"/>
          <w:lang w:val="en-US" w:eastAsia="zh-CN"/>
        </w:rPr>
        <w:t>是评价封存规模的重要条件</w:t>
      </w:r>
      <w:r>
        <w:rPr>
          <w:rFonts w:hint="eastAsia" w:ascii="Times New Roman" w:hAnsi="Times New Roman"/>
        </w:rPr>
        <w:t>。</w:t>
      </w:r>
    </w:p>
    <w:p>
      <w:pPr>
        <w:spacing w:line="240" w:lineRule="auto"/>
        <w:ind w:firstLine="420"/>
        <w:rPr>
          <w:rFonts w:ascii="Times New Roman" w:hAnsi="Times New Roman"/>
        </w:rPr>
      </w:pPr>
      <w:r>
        <w:rPr>
          <w:rFonts w:hint="eastAsia" w:ascii="Times New Roman" w:hAnsi="Times New Roman"/>
          <w:lang w:val="en-US" w:eastAsia="zh-CN"/>
        </w:rPr>
        <w:t>c</w:t>
      </w:r>
      <w:r>
        <w:rPr>
          <w:rFonts w:hint="eastAsia" w:ascii="Times New Roman" w:hAnsi="Times New Roman"/>
        </w:rPr>
        <w:t>）</w:t>
      </w:r>
      <w:r>
        <w:rPr>
          <w:rFonts w:ascii="Times New Roman" w:hAnsi="Times New Roman"/>
        </w:rPr>
        <w:t>高点埋深</w:t>
      </w:r>
      <w:r>
        <w:rPr>
          <w:rFonts w:hint="eastAsia" w:ascii="Times New Roman" w:hAnsi="Times New Roman"/>
        </w:rPr>
        <w:t>：高点埋深</w:t>
      </w:r>
      <w:r>
        <w:rPr>
          <w:rFonts w:hint="eastAsia" w:ascii="Times New Roman" w:hAnsi="Times New Roman"/>
          <w:lang w:val="en-US" w:eastAsia="zh-CN"/>
        </w:rPr>
        <w:t>宜</w:t>
      </w:r>
      <w:r>
        <w:rPr>
          <w:rFonts w:hint="eastAsia" w:ascii="Times New Roman" w:hAnsi="Times New Roman"/>
        </w:rPr>
        <w:t>大于800米。</w:t>
      </w:r>
    </w:p>
    <w:p>
      <w:pPr>
        <w:spacing w:line="240" w:lineRule="auto"/>
        <w:ind w:firstLine="420"/>
        <w:rPr>
          <w:rFonts w:ascii="Times New Roman" w:hAnsi="Times New Roman"/>
        </w:rPr>
      </w:pPr>
      <w:r>
        <w:rPr>
          <w:rFonts w:hint="eastAsia" w:ascii="Times New Roman" w:hAnsi="Times New Roman"/>
          <w:lang w:val="en-US" w:eastAsia="zh-CN"/>
        </w:rPr>
        <w:t>d</w:t>
      </w:r>
      <w:r>
        <w:rPr>
          <w:rFonts w:hint="eastAsia" w:ascii="Times New Roman" w:hAnsi="Times New Roman"/>
        </w:rPr>
        <w:t>）</w:t>
      </w:r>
      <w:r>
        <w:rPr>
          <w:rFonts w:ascii="Times New Roman" w:hAnsi="Times New Roman"/>
        </w:rPr>
        <w:t>圈闭形态</w:t>
      </w:r>
      <w:r>
        <w:rPr>
          <w:rFonts w:hint="eastAsia" w:ascii="Times New Roman" w:hAnsi="Times New Roman"/>
        </w:rPr>
        <w:t>：</w:t>
      </w:r>
      <w:r>
        <w:rPr>
          <w:rFonts w:hint="eastAsia" w:ascii="Times New Roman" w:hAnsi="Times New Roman"/>
          <w:lang w:val="en-US" w:eastAsia="zh-CN"/>
        </w:rPr>
        <w:t>单个圈闭高点为宜</w:t>
      </w:r>
      <w:r>
        <w:rPr>
          <w:rFonts w:hint="eastAsia" w:ascii="Times New Roman" w:hAnsi="Times New Roman"/>
        </w:rPr>
        <w:t>。</w:t>
      </w:r>
    </w:p>
    <w:p>
      <w:pPr>
        <w:spacing w:line="240" w:lineRule="auto"/>
        <w:ind w:firstLine="420"/>
        <w:rPr>
          <w:rFonts w:hint="eastAsia" w:ascii="Times New Roman" w:hAnsi="Times New Roman"/>
          <w:lang w:val="en-US" w:eastAsia="zh-CN"/>
        </w:rPr>
      </w:pPr>
      <w:r>
        <w:rPr>
          <w:rFonts w:hint="eastAsia" w:ascii="Times New Roman" w:hAnsi="Times New Roman"/>
          <w:lang w:val="en-US" w:eastAsia="zh-CN"/>
        </w:rPr>
        <w:t>e</w:t>
      </w:r>
      <w:r>
        <w:rPr>
          <w:rFonts w:hint="eastAsia" w:ascii="Times New Roman" w:hAnsi="Times New Roman"/>
        </w:rPr>
        <w:t>）</w:t>
      </w:r>
      <w:r>
        <w:rPr>
          <w:rFonts w:ascii="Times New Roman" w:hAnsi="Times New Roman"/>
        </w:rPr>
        <w:t>圈闭可靠性</w:t>
      </w:r>
      <w:r>
        <w:rPr>
          <w:rFonts w:hint="eastAsia" w:ascii="Times New Roman" w:hAnsi="Times New Roman"/>
        </w:rPr>
        <w:t>：</w:t>
      </w:r>
      <w:r>
        <w:rPr>
          <w:rFonts w:hint="eastAsia" w:ascii="Times New Roman" w:hAnsi="Times New Roman"/>
          <w:lang w:val="en-US" w:eastAsia="zh-CN"/>
        </w:rPr>
        <w:t>须综合地震等资料对圈闭落实程度进行判断。</w:t>
      </w:r>
    </w:p>
    <w:p>
      <w:pPr>
        <w:spacing w:line="240" w:lineRule="auto"/>
        <w:ind w:firstLine="420"/>
        <w:rPr>
          <w:rFonts w:hint="eastAsia" w:ascii="Times New Roman" w:hAnsi="Times New Roman"/>
          <w:lang w:val="en-US" w:eastAsia="zh-CN"/>
        </w:rPr>
      </w:pPr>
      <w:r>
        <w:rPr>
          <w:rFonts w:hint="eastAsia" w:ascii="Times New Roman" w:hAnsi="Times New Roman"/>
          <w:lang w:val="en-US" w:eastAsia="zh-CN"/>
        </w:rPr>
        <w:t>f）地震历史记录：历史地震级数大于9级，则地层稳定性差，不宜封存。</w:t>
      </w:r>
    </w:p>
    <w:p>
      <w:pPr>
        <w:pStyle w:val="105"/>
        <w:spacing w:before="156" w:after="156"/>
        <w:rPr>
          <w:rFonts w:hint="eastAsia"/>
          <w:lang w:val="en-US" w:eastAsia="zh-CN"/>
        </w:rPr>
      </w:pPr>
      <w:r>
        <w:rPr>
          <w:rFonts w:hint="eastAsia"/>
          <w:lang w:val="en-US" w:eastAsia="zh-CN"/>
        </w:rPr>
        <w:t>储层条件</w:t>
      </w:r>
    </w:p>
    <w:p>
      <w:pPr>
        <w:spacing w:line="240" w:lineRule="auto"/>
        <w:ind w:firstLine="420"/>
        <w:rPr>
          <w:rFonts w:ascii="Times New Roman" w:hAnsi="Times New Roman"/>
        </w:rPr>
      </w:pPr>
      <w:r>
        <w:rPr>
          <w:rFonts w:hint="eastAsia" w:ascii="Times New Roman" w:hAnsi="Times New Roman"/>
        </w:rPr>
        <w:t>评价储层条件包括以下指标：</w:t>
      </w:r>
    </w:p>
    <w:p>
      <w:pPr>
        <w:spacing w:line="240" w:lineRule="auto"/>
        <w:ind w:firstLine="420"/>
        <w:rPr>
          <w:rFonts w:ascii="Times New Roman" w:hAnsi="Times New Roman"/>
        </w:rPr>
      </w:pPr>
      <w:r>
        <w:rPr>
          <w:rFonts w:hint="eastAsia" w:ascii="Times New Roman" w:hAnsi="Times New Roman"/>
        </w:rPr>
        <w:t>a）储层埋深：储层埋深应满足CO</w:t>
      </w:r>
      <w:r>
        <w:rPr>
          <w:rFonts w:hint="eastAsia" w:ascii="Times New Roman" w:hAnsi="Times New Roman"/>
          <w:vertAlign w:val="subscript"/>
        </w:rPr>
        <w:t>2</w:t>
      </w:r>
      <w:r>
        <w:rPr>
          <w:rFonts w:hint="eastAsia" w:ascii="Times New Roman" w:hAnsi="Times New Roman"/>
          <w:vertAlign w:val="baseline"/>
          <w:lang w:val="en-US" w:eastAsia="zh-CN"/>
        </w:rPr>
        <w:t>封存</w:t>
      </w:r>
      <w:r>
        <w:rPr>
          <w:rFonts w:hint="eastAsia" w:ascii="Times New Roman" w:hAnsi="Times New Roman"/>
        </w:rPr>
        <w:t>相态要求</w:t>
      </w:r>
      <w:r>
        <w:rPr>
          <w:rFonts w:hint="eastAsia" w:ascii="Times New Roman" w:hAnsi="Times New Roman"/>
          <w:lang w:eastAsia="zh-CN"/>
        </w:rPr>
        <w:t>，</w:t>
      </w:r>
      <w:r>
        <w:rPr>
          <w:rFonts w:hint="eastAsia" w:ascii="Times New Roman" w:hAnsi="Times New Roman"/>
          <w:lang w:val="en-US" w:eastAsia="zh-CN"/>
        </w:rPr>
        <w:t>宜大于800米</w:t>
      </w:r>
      <w:r>
        <w:rPr>
          <w:rFonts w:hint="eastAsia" w:ascii="Times New Roman" w:hAnsi="Times New Roman"/>
        </w:rPr>
        <w:t>。</w:t>
      </w:r>
    </w:p>
    <w:p>
      <w:pPr>
        <w:spacing w:line="240" w:lineRule="auto"/>
        <w:ind w:firstLine="420"/>
        <w:rPr>
          <w:rFonts w:ascii="Times New Roman" w:hAnsi="Times New Roman"/>
        </w:rPr>
      </w:pPr>
      <w:r>
        <w:rPr>
          <w:rFonts w:hint="eastAsia" w:ascii="Times New Roman" w:hAnsi="Times New Roman"/>
        </w:rPr>
        <w:t>b）储层厚度：储层</w:t>
      </w:r>
      <w:r>
        <w:rPr>
          <w:rFonts w:hint="eastAsia" w:ascii="Times New Roman" w:hAnsi="Times New Roman"/>
          <w:lang w:val="en-US" w:eastAsia="zh-CN"/>
        </w:rPr>
        <w:t>层段总</w:t>
      </w:r>
      <w:r>
        <w:rPr>
          <w:rFonts w:hint="eastAsia" w:ascii="Times New Roman" w:hAnsi="Times New Roman"/>
        </w:rPr>
        <w:t>厚度宜大于</w:t>
      </w:r>
      <w:r>
        <w:rPr>
          <w:rFonts w:hint="eastAsia" w:ascii="Times New Roman" w:hAnsi="Times New Roman"/>
          <w:lang w:val="en-US" w:eastAsia="zh-CN"/>
        </w:rPr>
        <w:t>500米</w:t>
      </w:r>
      <w:r>
        <w:rPr>
          <w:rFonts w:hint="eastAsia" w:ascii="Times New Roman" w:hAnsi="Times New Roman"/>
        </w:rPr>
        <w:t>。</w:t>
      </w:r>
    </w:p>
    <w:p>
      <w:pPr>
        <w:spacing w:line="240" w:lineRule="auto"/>
        <w:ind w:firstLine="420"/>
        <w:rPr>
          <w:rFonts w:ascii="Times New Roman" w:hAnsi="Times New Roman"/>
        </w:rPr>
      </w:pPr>
      <w:r>
        <w:rPr>
          <w:rFonts w:hint="eastAsia" w:ascii="Times New Roman" w:hAnsi="Times New Roman"/>
        </w:rPr>
        <w:t>c）储层砂地比：</w:t>
      </w:r>
      <w:r>
        <w:rPr>
          <w:rFonts w:hint="eastAsia" w:ascii="Times New Roman" w:hAnsi="Times New Roman"/>
          <w:lang w:val="en-US" w:eastAsia="zh-CN"/>
        </w:rPr>
        <w:t>储层砂地比宜大于30%</w:t>
      </w:r>
      <w:r>
        <w:rPr>
          <w:rFonts w:hint="eastAsia" w:ascii="Times New Roman" w:hAnsi="Times New Roman"/>
        </w:rPr>
        <w:t>。</w:t>
      </w:r>
    </w:p>
    <w:p>
      <w:pPr>
        <w:spacing w:line="240" w:lineRule="auto"/>
        <w:ind w:firstLine="420"/>
        <w:rPr>
          <w:rFonts w:ascii="Times New Roman" w:hAnsi="Times New Roman"/>
        </w:rPr>
      </w:pPr>
      <w:r>
        <w:rPr>
          <w:rFonts w:hint="eastAsia" w:ascii="Times New Roman" w:hAnsi="Times New Roman"/>
        </w:rPr>
        <w:t>d）储层孔隙度：</w:t>
      </w:r>
      <w:r>
        <w:rPr>
          <w:rFonts w:hint="eastAsia" w:ascii="Times New Roman" w:hAnsi="Times New Roman"/>
          <w:lang w:val="en-US" w:eastAsia="zh-CN"/>
        </w:rPr>
        <w:t>储层</w:t>
      </w:r>
      <w:r>
        <w:rPr>
          <w:rFonts w:hint="eastAsia" w:ascii="Times New Roman" w:hAnsi="Times New Roman"/>
        </w:rPr>
        <w:t>孔隙度</w:t>
      </w:r>
      <w:r>
        <w:rPr>
          <w:rFonts w:hint="eastAsia" w:ascii="Times New Roman" w:hAnsi="Times New Roman"/>
          <w:lang w:val="en-US" w:eastAsia="zh-CN"/>
        </w:rPr>
        <w:t>宜大于10%</w:t>
      </w:r>
      <w:r>
        <w:rPr>
          <w:rFonts w:hint="eastAsia" w:ascii="Times New Roman" w:hAnsi="Times New Roman"/>
        </w:rPr>
        <w:t>。</w:t>
      </w:r>
    </w:p>
    <w:p>
      <w:pPr>
        <w:spacing w:line="240" w:lineRule="auto"/>
        <w:ind w:firstLine="420"/>
        <w:rPr>
          <w:rFonts w:ascii="Times New Roman" w:hAnsi="Times New Roman"/>
        </w:rPr>
      </w:pPr>
      <w:r>
        <w:rPr>
          <w:rFonts w:hint="eastAsia" w:ascii="Times New Roman" w:hAnsi="Times New Roman"/>
        </w:rPr>
        <w:t>e）储层渗透率：储层渗透率</w:t>
      </w:r>
      <w:r>
        <w:rPr>
          <w:rFonts w:hint="eastAsia" w:ascii="Times New Roman" w:hAnsi="Times New Roman" w:cs="Times New Roman"/>
          <w:lang w:val="en-US" w:eastAsia="zh-CN"/>
        </w:rPr>
        <w:t>宜大</w:t>
      </w:r>
      <w:r>
        <w:rPr>
          <w:rFonts w:hint="eastAsia" w:ascii="Times New Roman" w:hAnsi="Times New Roman" w:cs="Times New Roman"/>
        </w:rPr>
        <w:t>于1</w:t>
      </w:r>
      <w:r>
        <w:rPr>
          <w:rFonts w:hint="eastAsia" w:ascii="Times New Roman" w:hAnsi="Times New Roman" w:cs="Times New Roman"/>
          <w:lang w:val="en-US" w:eastAsia="zh-CN"/>
        </w:rPr>
        <w:t>00</w:t>
      </w:r>
      <w:r>
        <w:rPr>
          <w:rFonts w:hint="eastAsia" w:ascii="Times New Roman" w:hAnsi="Times New Roman" w:cs="Times New Roman"/>
        </w:rPr>
        <w:t>mD</w:t>
      </w:r>
      <w:r>
        <w:rPr>
          <w:rFonts w:hint="eastAsia" w:ascii="Times New Roman" w:hAnsi="Times New Roman"/>
        </w:rPr>
        <w:t>。</w:t>
      </w:r>
    </w:p>
    <w:p>
      <w:pPr>
        <w:spacing w:line="240" w:lineRule="auto"/>
        <w:ind w:firstLine="420"/>
        <w:rPr>
          <w:rFonts w:ascii="Times New Roman" w:hAnsi="Times New Roman"/>
        </w:rPr>
      </w:pPr>
      <w:r>
        <w:rPr>
          <w:rFonts w:hint="eastAsia" w:ascii="Times New Roman" w:hAnsi="Times New Roman"/>
        </w:rPr>
        <w:t>f）储层压力系数：较低的初始储层压力系数有利于CO</w:t>
      </w:r>
      <w:r>
        <w:rPr>
          <w:rFonts w:hint="eastAsia" w:ascii="Times New Roman" w:hAnsi="Times New Roman"/>
          <w:vertAlign w:val="subscript"/>
        </w:rPr>
        <w:t>2</w:t>
      </w:r>
      <w:r>
        <w:rPr>
          <w:rFonts w:hint="eastAsia" w:ascii="Times New Roman" w:hAnsi="Times New Roman"/>
        </w:rPr>
        <w:t>的注入。</w:t>
      </w:r>
    </w:p>
    <w:p>
      <w:pPr>
        <w:spacing w:line="240" w:lineRule="auto"/>
        <w:ind w:firstLine="420"/>
        <w:rPr>
          <w:rFonts w:ascii="Times New Roman" w:hAnsi="Times New Roman"/>
        </w:rPr>
      </w:pPr>
      <w:r>
        <w:rPr>
          <w:rFonts w:hint="eastAsia" w:ascii="Times New Roman" w:hAnsi="Times New Roman"/>
        </w:rPr>
        <w:t>g）地温梯度：较低的储层温度</w:t>
      </w:r>
      <w:r>
        <w:rPr>
          <w:rFonts w:hint="eastAsia" w:ascii="Times New Roman" w:hAnsi="Times New Roman"/>
          <w:lang w:val="en-US" w:eastAsia="zh-CN"/>
        </w:rPr>
        <w:t>条件下，CO</w:t>
      </w:r>
      <w:r>
        <w:rPr>
          <w:rFonts w:hint="eastAsia" w:ascii="Times New Roman" w:hAnsi="Times New Roman"/>
          <w:vertAlign w:val="subscript"/>
          <w:lang w:val="en-US" w:eastAsia="zh-CN"/>
        </w:rPr>
        <w:t>2</w:t>
      </w:r>
      <w:r>
        <w:rPr>
          <w:rFonts w:hint="eastAsia" w:ascii="Times New Roman" w:hAnsi="Times New Roman"/>
          <w:lang w:val="en-US" w:eastAsia="zh-CN"/>
        </w:rPr>
        <w:t>密度较大，有利于提高</w:t>
      </w:r>
      <w:r>
        <w:rPr>
          <w:rFonts w:hint="eastAsia" w:ascii="Times New Roman" w:hAnsi="Times New Roman"/>
        </w:rPr>
        <w:t>CO</w:t>
      </w:r>
      <w:r>
        <w:rPr>
          <w:rFonts w:hint="eastAsia" w:ascii="Times New Roman" w:hAnsi="Times New Roman"/>
          <w:vertAlign w:val="subscript"/>
        </w:rPr>
        <w:t>2</w:t>
      </w:r>
      <w:r>
        <w:rPr>
          <w:rFonts w:hint="eastAsia" w:ascii="Times New Roman" w:hAnsi="Times New Roman"/>
        </w:rPr>
        <w:t>封存容量。</w:t>
      </w:r>
    </w:p>
    <w:p>
      <w:pPr>
        <w:pStyle w:val="105"/>
        <w:spacing w:before="156" w:after="156"/>
        <w:rPr>
          <w:rFonts w:hint="eastAsia"/>
          <w:lang w:val="en-US" w:eastAsia="zh-CN"/>
        </w:rPr>
      </w:pPr>
      <w:r>
        <w:rPr>
          <w:rFonts w:hint="eastAsia"/>
          <w:lang w:val="en-US" w:eastAsia="zh-CN"/>
        </w:rPr>
        <w:t>盖层条件</w:t>
      </w:r>
    </w:p>
    <w:p>
      <w:pPr>
        <w:spacing w:line="240" w:lineRule="auto"/>
        <w:ind w:firstLine="420"/>
        <w:rPr>
          <w:rFonts w:ascii="Times New Roman" w:hAnsi="Times New Roman"/>
        </w:rPr>
      </w:pPr>
      <w:r>
        <w:rPr>
          <w:rFonts w:hint="eastAsia" w:ascii="Times New Roman" w:hAnsi="Times New Roman"/>
        </w:rPr>
        <w:t>评价盖层条件包括以下指标：</w:t>
      </w:r>
    </w:p>
    <w:p>
      <w:pPr>
        <w:spacing w:line="240" w:lineRule="auto"/>
        <w:ind w:firstLine="420"/>
        <w:rPr>
          <w:rFonts w:ascii="Times New Roman" w:hAnsi="Times New Roman"/>
        </w:rPr>
      </w:pPr>
      <w:r>
        <w:rPr>
          <w:rFonts w:hint="eastAsia" w:ascii="Times New Roman" w:hAnsi="Times New Roman"/>
        </w:rPr>
        <w:t>a）盖层岩性：膏盐类盖层封存效果优于泥质岩类盖层，泥质岩类盖层封存效果优于页岩/致密砂岩类盖层。</w:t>
      </w:r>
    </w:p>
    <w:p>
      <w:pPr>
        <w:spacing w:line="240" w:lineRule="auto"/>
        <w:ind w:firstLine="420"/>
        <w:rPr>
          <w:rFonts w:hint="eastAsia" w:ascii="Times New Roman" w:hAnsi="Times New Roman"/>
          <w:lang w:val="en-US" w:eastAsia="zh-CN"/>
        </w:rPr>
      </w:pPr>
      <w:r>
        <w:rPr>
          <w:rFonts w:hint="eastAsia" w:ascii="Times New Roman" w:hAnsi="Times New Roman"/>
        </w:rPr>
        <w:t>b）盖层厚度：</w:t>
      </w:r>
      <w:r>
        <w:rPr>
          <w:rFonts w:hint="eastAsia" w:ascii="Times New Roman" w:hAnsi="Times New Roman"/>
          <w:lang w:val="en-US" w:eastAsia="zh-CN"/>
        </w:rPr>
        <w:t>盖层厚度应满足封闭性要求，层段总厚度宜大于300米。</w:t>
      </w:r>
    </w:p>
    <w:p>
      <w:pPr>
        <w:spacing w:line="240" w:lineRule="auto"/>
        <w:ind w:firstLine="420"/>
        <w:rPr>
          <w:rFonts w:hint="eastAsia" w:ascii="Times New Roman" w:hAnsi="Times New Roman"/>
          <w:lang w:val="en-US" w:eastAsia="zh-CN"/>
        </w:rPr>
      </w:pPr>
      <w:r>
        <w:rPr>
          <w:rFonts w:hint="eastAsia" w:ascii="Times New Roman" w:hAnsi="Times New Roman"/>
        </w:rPr>
        <w:t>c）</w:t>
      </w:r>
      <w:r>
        <w:rPr>
          <w:rFonts w:hint="eastAsia" w:ascii="Times New Roman" w:hAnsi="Times New Roman" w:cs="Times New Roman"/>
        </w:rPr>
        <w:t>盖层渗透率：盖层渗透率</w:t>
      </w:r>
      <w:r>
        <w:rPr>
          <w:rFonts w:hint="eastAsia" w:ascii="Times New Roman" w:hAnsi="Times New Roman" w:cs="Times New Roman"/>
          <w:lang w:val="en-US" w:eastAsia="zh-CN"/>
        </w:rPr>
        <w:t>宜</w:t>
      </w:r>
      <w:r>
        <w:rPr>
          <w:rFonts w:hint="eastAsia" w:ascii="Times New Roman" w:hAnsi="Times New Roman" w:cs="Times New Roman"/>
        </w:rPr>
        <w:t>小于1mD。</w:t>
      </w:r>
    </w:p>
    <w:p>
      <w:pPr>
        <w:spacing w:line="240" w:lineRule="auto"/>
        <w:ind w:firstLine="420"/>
        <w:rPr>
          <w:rFonts w:ascii="Times New Roman" w:hAnsi="Times New Roman"/>
        </w:rPr>
      </w:pPr>
      <w:r>
        <w:rPr>
          <w:rFonts w:hint="eastAsia" w:ascii="Times New Roman" w:hAnsi="Times New Roman"/>
          <w:lang w:val="en-US" w:eastAsia="zh-CN"/>
        </w:rPr>
        <w:t>d</w:t>
      </w:r>
      <w:r>
        <w:rPr>
          <w:rFonts w:hint="eastAsia" w:ascii="Times New Roman" w:hAnsi="Times New Roman"/>
        </w:rPr>
        <w:t>）盖层泥地比：盖层泥地比</w:t>
      </w:r>
      <w:r>
        <w:rPr>
          <w:rFonts w:hint="eastAsia" w:ascii="Times New Roman" w:hAnsi="Times New Roman"/>
          <w:lang w:val="en-US" w:eastAsia="zh-CN"/>
        </w:rPr>
        <w:t>宜大于40%</w:t>
      </w:r>
      <w:r>
        <w:rPr>
          <w:rFonts w:hint="eastAsia" w:ascii="Times New Roman" w:hAnsi="Times New Roman"/>
        </w:rPr>
        <w:t>。</w:t>
      </w:r>
    </w:p>
    <w:p>
      <w:pPr>
        <w:spacing w:line="240" w:lineRule="auto"/>
        <w:ind w:firstLine="420"/>
        <w:rPr>
          <w:rFonts w:ascii="Times New Roman" w:hAnsi="Times New Roman"/>
        </w:rPr>
      </w:pPr>
      <w:r>
        <w:rPr>
          <w:rFonts w:hint="eastAsia" w:ascii="Times New Roman" w:hAnsi="Times New Roman"/>
          <w:lang w:val="en-US" w:eastAsia="zh-CN"/>
        </w:rPr>
        <w:t>e</w:t>
      </w:r>
      <w:r>
        <w:rPr>
          <w:rFonts w:hint="eastAsia" w:ascii="Times New Roman" w:hAnsi="Times New Roman"/>
        </w:rPr>
        <w:t>）纵向分布特征：</w:t>
      </w:r>
      <w:r>
        <w:rPr>
          <w:rFonts w:hint="eastAsia" w:ascii="Times New Roman" w:hAnsi="Times New Roman"/>
          <w:lang w:val="en-US" w:eastAsia="zh-CN"/>
        </w:rPr>
        <w:t>至少有一套储盖组合，</w:t>
      </w:r>
      <w:r>
        <w:rPr>
          <w:rFonts w:hint="eastAsia" w:ascii="Times New Roman" w:hAnsi="Times New Roman"/>
        </w:rPr>
        <w:t>多套储盖组合</w:t>
      </w:r>
      <w:r>
        <w:rPr>
          <w:rFonts w:hint="eastAsia" w:ascii="Times New Roman" w:hAnsi="Times New Roman"/>
          <w:lang w:val="en-US" w:eastAsia="zh-CN"/>
        </w:rPr>
        <w:t>更有利于阻止CO</w:t>
      </w:r>
      <w:r>
        <w:rPr>
          <w:rFonts w:hint="eastAsia" w:ascii="Times New Roman" w:hAnsi="Times New Roman"/>
          <w:vertAlign w:val="subscript"/>
          <w:lang w:val="en-US" w:eastAsia="zh-CN"/>
        </w:rPr>
        <w:t>2</w:t>
      </w:r>
      <w:r>
        <w:rPr>
          <w:rFonts w:hint="eastAsia" w:ascii="Times New Roman" w:hAnsi="Times New Roman"/>
          <w:lang w:val="en-US" w:eastAsia="zh-CN"/>
        </w:rPr>
        <w:t>的泄漏逃逸</w:t>
      </w:r>
      <w:r>
        <w:rPr>
          <w:rFonts w:hint="eastAsia" w:ascii="Times New Roman" w:hAnsi="Times New Roman"/>
        </w:rPr>
        <w:t>。</w:t>
      </w:r>
    </w:p>
    <w:p>
      <w:pPr>
        <w:spacing w:line="240" w:lineRule="auto"/>
        <w:ind w:firstLine="420"/>
        <w:rPr>
          <w:rFonts w:ascii="Times New Roman" w:hAnsi="Times New Roman"/>
        </w:rPr>
      </w:pPr>
      <w:r>
        <w:rPr>
          <w:rFonts w:hint="eastAsia" w:ascii="Times New Roman" w:hAnsi="Times New Roman"/>
          <w:lang w:val="en-US" w:eastAsia="zh-CN"/>
        </w:rPr>
        <w:t>f</w:t>
      </w:r>
      <w:r>
        <w:rPr>
          <w:rFonts w:hint="eastAsia" w:ascii="Times New Roman" w:hAnsi="Times New Roman"/>
        </w:rPr>
        <w:t>）盖层连续性：在</w:t>
      </w:r>
      <w:r>
        <w:rPr>
          <w:rFonts w:hint="eastAsia" w:ascii="Times New Roman" w:hAnsi="Times New Roman"/>
          <w:lang w:val="en-US" w:eastAsia="zh-CN"/>
        </w:rPr>
        <w:t>CO</w:t>
      </w:r>
      <w:r>
        <w:rPr>
          <w:rFonts w:hint="eastAsia" w:ascii="Times New Roman" w:hAnsi="Times New Roman"/>
          <w:vertAlign w:val="subscript"/>
          <w:lang w:val="en-US" w:eastAsia="zh-CN"/>
        </w:rPr>
        <w:t>2</w:t>
      </w:r>
      <w:r>
        <w:rPr>
          <w:rFonts w:hint="eastAsia" w:ascii="Times New Roman" w:hAnsi="Times New Roman"/>
          <w:lang w:val="en-US" w:eastAsia="zh-CN"/>
        </w:rPr>
        <w:t>羽流扩展范围内，盖层须稳定连续分布</w:t>
      </w:r>
      <w:r>
        <w:rPr>
          <w:rFonts w:hint="eastAsia" w:ascii="Times New Roman" w:hAnsi="Times New Roman"/>
        </w:rPr>
        <w:t>。评价方法遵照SY</w:t>
      </w:r>
      <w:r>
        <w:rPr>
          <w:rFonts w:ascii="Times New Roman" w:hAnsi="Times New Roman"/>
        </w:rPr>
        <w:t>/</w:t>
      </w:r>
      <w:r>
        <w:rPr>
          <w:rFonts w:hint="eastAsia" w:ascii="Times New Roman" w:hAnsi="Times New Roman"/>
        </w:rPr>
        <w:t>T 6942的规定。</w:t>
      </w:r>
    </w:p>
    <w:p>
      <w:pPr>
        <w:pStyle w:val="105"/>
        <w:spacing w:before="156" w:after="156"/>
        <w:rPr>
          <w:rFonts w:hint="eastAsia"/>
          <w:lang w:val="en-US" w:eastAsia="zh-CN"/>
        </w:rPr>
      </w:pPr>
      <w:r>
        <w:rPr>
          <w:rFonts w:hint="eastAsia"/>
          <w:lang w:val="en-US" w:eastAsia="zh-CN"/>
        </w:rPr>
        <w:t>断裂条件</w:t>
      </w:r>
    </w:p>
    <w:p>
      <w:pPr>
        <w:spacing w:line="240" w:lineRule="auto"/>
        <w:ind w:firstLine="420"/>
        <w:rPr>
          <w:rFonts w:ascii="Times New Roman" w:hAnsi="Times New Roman"/>
        </w:rPr>
      </w:pPr>
      <w:r>
        <w:rPr>
          <w:rFonts w:hint="eastAsia" w:ascii="Times New Roman" w:hAnsi="Times New Roman"/>
        </w:rPr>
        <w:t>评价断裂条件包括以下指标：</w:t>
      </w:r>
    </w:p>
    <w:p>
      <w:pPr>
        <w:pStyle w:val="230"/>
        <w:numPr>
          <w:ilvl w:val="0"/>
          <w:numId w:val="32"/>
        </w:numPr>
        <w:ind w:firstLine="420"/>
        <w:rPr>
          <w:rFonts w:ascii="Times New Roman"/>
        </w:rPr>
      </w:pPr>
      <w:r>
        <w:rPr>
          <w:rFonts w:hint="eastAsia" w:ascii="Times New Roman"/>
        </w:rPr>
        <w:t>断裂数量：</w:t>
      </w:r>
      <w:r>
        <w:rPr>
          <w:rFonts w:hint="eastAsia" w:ascii="Times New Roman"/>
          <w:lang w:val="en-US" w:eastAsia="zh-CN"/>
        </w:rPr>
        <w:t>断裂数量反映了封存场地范围内潜在泄漏途径的多少</w:t>
      </w:r>
      <w:r>
        <w:rPr>
          <w:rFonts w:hint="eastAsia" w:ascii="Times New Roman"/>
        </w:rPr>
        <w:t>。</w:t>
      </w:r>
    </w:p>
    <w:p>
      <w:pPr>
        <w:pStyle w:val="230"/>
        <w:numPr>
          <w:ilvl w:val="0"/>
          <w:numId w:val="32"/>
        </w:numPr>
        <w:ind w:firstLine="420"/>
        <w:rPr>
          <w:rFonts w:hint="default" w:ascii="Times New Roman"/>
          <w:lang w:val="en-US" w:eastAsia="zh-CN"/>
        </w:rPr>
      </w:pPr>
      <w:r>
        <w:rPr>
          <w:rFonts w:hint="eastAsia" w:ascii="Times New Roman"/>
        </w:rPr>
        <w:t>断穿盖层断裂数量：断穿盖层断裂数量</w:t>
      </w:r>
      <w:r>
        <w:rPr>
          <w:rFonts w:hint="eastAsia" w:ascii="Times New Roman"/>
          <w:lang w:val="en-US" w:eastAsia="zh-CN"/>
        </w:rPr>
        <w:t>反映了CO</w:t>
      </w:r>
      <w:r>
        <w:rPr>
          <w:rFonts w:hint="eastAsia" w:ascii="Times New Roman"/>
          <w:vertAlign w:val="subscript"/>
          <w:lang w:val="en-US" w:eastAsia="zh-CN"/>
        </w:rPr>
        <w:t>2</w:t>
      </w:r>
      <w:r>
        <w:rPr>
          <w:rFonts w:hint="eastAsia" w:ascii="Times New Roman"/>
          <w:lang w:val="en-US" w:eastAsia="zh-CN"/>
        </w:rPr>
        <w:t>突破盖层泄漏的风险。</w:t>
      </w:r>
    </w:p>
    <w:p>
      <w:pPr>
        <w:pStyle w:val="230"/>
        <w:numPr>
          <w:ilvl w:val="0"/>
          <w:numId w:val="32"/>
        </w:numPr>
        <w:ind w:firstLine="420"/>
        <w:rPr>
          <w:rFonts w:hint="default" w:ascii="Times New Roman"/>
          <w:lang w:val="en-US" w:eastAsia="zh-CN"/>
        </w:rPr>
      </w:pPr>
      <w:r>
        <w:rPr>
          <w:rFonts w:hint="eastAsia" w:ascii="Times New Roman"/>
          <w:lang w:val="en-US" w:eastAsia="zh-CN"/>
        </w:rPr>
        <w:t>断层封闭性：断层宜无侧向和垂向泄漏逃逸风险。</w:t>
      </w:r>
    </w:p>
    <w:p>
      <w:pPr>
        <w:pStyle w:val="105"/>
        <w:spacing w:before="156" w:after="156"/>
        <w:rPr>
          <w:rFonts w:hint="eastAsia"/>
          <w:lang w:val="en-US" w:eastAsia="zh-CN"/>
        </w:rPr>
      </w:pPr>
      <w:r>
        <w:rPr>
          <w:rFonts w:hint="eastAsia"/>
          <w:lang w:val="en-US" w:eastAsia="zh-CN"/>
        </w:rPr>
        <w:t>老井条件</w:t>
      </w:r>
    </w:p>
    <w:p>
      <w:pPr>
        <w:spacing w:line="240" w:lineRule="auto"/>
        <w:ind w:firstLine="420"/>
        <w:rPr>
          <w:rFonts w:ascii="Times New Roman" w:hAnsi="Times New Roman"/>
        </w:rPr>
      </w:pPr>
      <w:r>
        <w:rPr>
          <w:rFonts w:hint="eastAsia" w:ascii="Times New Roman" w:hAnsi="Times New Roman"/>
        </w:rPr>
        <w:t>评价已钻井条件包括以下指标：</w:t>
      </w:r>
    </w:p>
    <w:p>
      <w:pPr>
        <w:pStyle w:val="230"/>
        <w:numPr>
          <w:ilvl w:val="0"/>
          <w:numId w:val="33"/>
        </w:numPr>
        <w:ind w:firstLine="420"/>
        <w:rPr>
          <w:rFonts w:ascii="Times New Roman"/>
        </w:rPr>
      </w:pPr>
      <w:r>
        <w:rPr>
          <w:rFonts w:hint="eastAsia" w:ascii="Times New Roman"/>
          <w:lang w:val="en-US" w:eastAsia="zh-CN"/>
        </w:rPr>
        <w:t>老井</w:t>
      </w:r>
      <w:r>
        <w:rPr>
          <w:rFonts w:hint="eastAsia" w:ascii="Times New Roman"/>
        </w:rPr>
        <w:t>数量：</w:t>
      </w:r>
      <w:r>
        <w:rPr>
          <w:rFonts w:hint="eastAsia" w:ascii="Times New Roman"/>
          <w:lang w:val="en-US" w:eastAsia="zh-CN"/>
        </w:rPr>
        <w:t>老井是CO</w:t>
      </w:r>
      <w:r>
        <w:rPr>
          <w:rFonts w:hint="eastAsia" w:ascii="Times New Roman"/>
          <w:vertAlign w:val="subscript"/>
          <w:lang w:val="en-US" w:eastAsia="zh-CN"/>
        </w:rPr>
        <w:t>2</w:t>
      </w:r>
      <w:r>
        <w:rPr>
          <w:rFonts w:hint="eastAsia" w:ascii="Times New Roman"/>
          <w:lang w:val="en-US" w:eastAsia="zh-CN"/>
        </w:rPr>
        <w:t>主要泄漏途径之一，数量宜无或少</w:t>
      </w:r>
      <w:r>
        <w:rPr>
          <w:rFonts w:hint="eastAsia" w:ascii="Times New Roman"/>
        </w:rPr>
        <w:t>。</w:t>
      </w:r>
    </w:p>
    <w:p>
      <w:pPr>
        <w:pStyle w:val="230"/>
        <w:numPr>
          <w:ilvl w:val="0"/>
          <w:numId w:val="33"/>
        </w:numPr>
        <w:ind w:firstLine="420"/>
        <w:rPr>
          <w:rFonts w:ascii="Times New Roman"/>
        </w:rPr>
      </w:pPr>
      <w:r>
        <w:rPr>
          <w:rFonts w:hint="eastAsia" w:ascii="Times New Roman"/>
          <w:lang w:val="en-US" w:eastAsia="zh-CN"/>
        </w:rPr>
        <w:t>老井状态</w:t>
      </w:r>
      <w:r>
        <w:rPr>
          <w:rFonts w:hint="eastAsia" w:ascii="Times New Roman"/>
        </w:rPr>
        <w:t>：</w:t>
      </w:r>
      <w:r>
        <w:rPr>
          <w:rFonts w:hint="eastAsia" w:ascii="Times New Roman"/>
          <w:lang w:val="en-US" w:eastAsia="zh-CN"/>
        </w:rPr>
        <w:t>包括钻井时间、</w:t>
      </w:r>
      <w:r>
        <w:rPr>
          <w:rFonts w:hint="eastAsia" w:ascii="Times New Roman"/>
        </w:rPr>
        <w:t>弃井或在产</w:t>
      </w:r>
      <w:r>
        <w:rPr>
          <w:rFonts w:hint="eastAsia" w:ascii="Times New Roman"/>
          <w:lang w:val="en-US" w:eastAsia="zh-CN"/>
        </w:rPr>
        <w:t>等</w:t>
      </w:r>
      <w:r>
        <w:rPr>
          <w:rFonts w:hint="eastAsia" w:ascii="Times New Roman"/>
        </w:rPr>
        <w:t>。</w:t>
      </w:r>
    </w:p>
    <w:p>
      <w:pPr>
        <w:pStyle w:val="230"/>
        <w:numPr>
          <w:ilvl w:val="0"/>
          <w:numId w:val="33"/>
        </w:numPr>
        <w:ind w:firstLine="420"/>
        <w:rPr>
          <w:rFonts w:ascii="Times New Roman"/>
        </w:rPr>
      </w:pPr>
      <w:r>
        <w:rPr>
          <w:rFonts w:hint="eastAsia" w:ascii="Times New Roman"/>
        </w:rPr>
        <w:t>套管规格：</w:t>
      </w:r>
      <w:r>
        <w:rPr>
          <w:rFonts w:hint="eastAsia" w:ascii="Times New Roman"/>
          <w:lang w:val="en-US" w:eastAsia="zh-CN"/>
        </w:rPr>
        <w:t>宜从</w:t>
      </w:r>
      <w:r>
        <w:rPr>
          <w:rFonts w:hint="eastAsia" w:ascii="Times New Roman"/>
        </w:rPr>
        <w:t>套管壁</w:t>
      </w:r>
      <w:r>
        <w:rPr>
          <w:rFonts w:hint="eastAsia" w:ascii="Times New Roman"/>
          <w:lang w:val="en-US" w:eastAsia="zh-CN"/>
        </w:rPr>
        <w:t>厚</w:t>
      </w:r>
      <w:r>
        <w:rPr>
          <w:rFonts w:hint="eastAsia" w:ascii="Times New Roman"/>
          <w:lang w:eastAsia="zh-CN"/>
        </w:rPr>
        <w:t>、</w:t>
      </w:r>
      <w:r>
        <w:rPr>
          <w:rFonts w:hint="eastAsia" w:ascii="Times New Roman"/>
        </w:rPr>
        <w:t>钢级</w:t>
      </w:r>
      <w:r>
        <w:rPr>
          <w:rFonts w:hint="eastAsia" w:ascii="Times New Roman"/>
          <w:lang w:val="en-US" w:eastAsia="zh-CN"/>
        </w:rPr>
        <w:t>等套管规格评价套管质量</w:t>
      </w:r>
      <w:r>
        <w:rPr>
          <w:rFonts w:hint="eastAsia" w:ascii="Times New Roman"/>
        </w:rPr>
        <w:t>。</w:t>
      </w:r>
    </w:p>
    <w:p>
      <w:pPr>
        <w:pStyle w:val="230"/>
        <w:numPr>
          <w:ilvl w:val="0"/>
          <w:numId w:val="33"/>
        </w:numPr>
        <w:ind w:firstLine="420"/>
        <w:rPr>
          <w:rFonts w:ascii="Times New Roman"/>
        </w:rPr>
      </w:pPr>
      <w:r>
        <w:rPr>
          <w:rFonts w:hint="eastAsia" w:ascii="Times New Roman"/>
          <w:lang w:val="en-US" w:eastAsia="zh-CN"/>
        </w:rPr>
        <w:t>井筒完整性</w:t>
      </w:r>
      <w:r>
        <w:rPr>
          <w:rFonts w:hint="eastAsia" w:ascii="Times New Roman"/>
        </w:rPr>
        <w:t>：</w:t>
      </w:r>
      <w:r>
        <w:rPr>
          <w:rFonts w:hint="eastAsia" w:ascii="Times New Roman"/>
          <w:lang w:val="en-US" w:eastAsia="zh-CN"/>
        </w:rPr>
        <w:t>宜从固井质量、封堵层位、水泥塞长度等方面评价井筒完整性</w:t>
      </w:r>
      <w:r>
        <w:rPr>
          <w:rFonts w:hint="eastAsia" w:ascii="Times New Roman"/>
        </w:rPr>
        <w:t>。</w:t>
      </w:r>
    </w:p>
    <w:p>
      <w:pPr>
        <w:pStyle w:val="105"/>
        <w:spacing w:before="156" w:after="156"/>
        <w:rPr>
          <w:rFonts w:hint="eastAsia"/>
          <w:lang w:val="en-US" w:eastAsia="zh-CN"/>
        </w:rPr>
      </w:pPr>
      <w:r>
        <w:rPr>
          <w:rFonts w:hint="eastAsia"/>
          <w:lang w:val="en-US" w:eastAsia="zh-CN"/>
        </w:rPr>
        <w:t>封存容量</w:t>
      </w:r>
    </w:p>
    <w:p>
      <w:pPr>
        <w:spacing w:line="240" w:lineRule="auto"/>
        <w:ind w:firstLine="420"/>
        <w:rPr>
          <w:rFonts w:ascii="Times New Roman" w:hAnsi="Times New Roman"/>
        </w:rPr>
      </w:pPr>
      <w:r>
        <w:rPr>
          <w:rFonts w:hint="eastAsia" w:ascii="Times New Roman" w:hAnsi="Times New Roman"/>
        </w:rPr>
        <w:t>评价封存容量包括以下指标：</w:t>
      </w:r>
    </w:p>
    <w:p>
      <w:pPr>
        <w:spacing w:line="240" w:lineRule="auto"/>
        <w:ind w:firstLine="420"/>
        <w:rPr>
          <w:rFonts w:ascii="Times New Roman" w:hAnsi="Times New Roman"/>
        </w:rPr>
      </w:pPr>
      <w:r>
        <w:rPr>
          <w:rFonts w:hint="eastAsia" w:ascii="Times New Roman" w:hAnsi="Times New Roman"/>
        </w:rPr>
        <w:t>a）孔隙体积：</w:t>
      </w:r>
      <w:r>
        <w:rPr>
          <w:rFonts w:hint="eastAsia" w:ascii="Times New Roman" w:hAnsi="Times New Roman"/>
          <w:lang w:val="en-US" w:eastAsia="zh-CN"/>
        </w:rPr>
        <w:t>评价</w:t>
      </w:r>
      <w:r>
        <w:rPr>
          <w:rFonts w:hint="eastAsia" w:ascii="Times New Roman" w:hAnsi="Times New Roman"/>
        </w:rPr>
        <w:t>储层</w:t>
      </w:r>
      <w:r>
        <w:rPr>
          <w:rFonts w:hint="eastAsia" w:ascii="Times New Roman" w:hAnsi="Times New Roman"/>
          <w:lang w:val="en-US" w:eastAsia="zh-CN"/>
        </w:rPr>
        <w:t>用来容纳CO</w:t>
      </w:r>
      <w:r>
        <w:rPr>
          <w:rFonts w:hint="eastAsia" w:ascii="Times New Roman" w:hAnsi="Times New Roman"/>
          <w:vertAlign w:val="subscript"/>
          <w:lang w:val="en-US" w:eastAsia="zh-CN"/>
        </w:rPr>
        <w:t>2</w:t>
      </w:r>
      <w:r>
        <w:rPr>
          <w:rFonts w:hint="eastAsia" w:ascii="Times New Roman" w:hAnsi="Times New Roman"/>
          <w:lang w:val="en-US" w:eastAsia="zh-CN"/>
        </w:rPr>
        <w:t>的最大理论体积。</w:t>
      </w:r>
    </w:p>
    <w:p>
      <w:pPr>
        <w:spacing w:line="240" w:lineRule="auto"/>
        <w:ind w:firstLine="420"/>
        <w:rPr>
          <w:rFonts w:ascii="Times New Roman" w:hAnsi="Times New Roman"/>
        </w:rPr>
      </w:pPr>
      <w:r>
        <w:rPr>
          <w:rFonts w:hint="eastAsia" w:ascii="Times New Roman" w:hAnsi="Times New Roman"/>
          <w:lang w:val="en-US" w:eastAsia="zh-CN"/>
        </w:rPr>
        <w:t>b</w:t>
      </w:r>
      <w:r>
        <w:rPr>
          <w:rFonts w:hint="eastAsia" w:ascii="Times New Roman" w:hAnsi="Times New Roman"/>
        </w:rPr>
        <w:t>）封存容量：</w:t>
      </w:r>
      <w:r>
        <w:rPr>
          <w:rFonts w:hint="eastAsia" w:ascii="Times New Roman" w:hAnsi="Times New Roman"/>
          <w:lang w:val="en-US" w:eastAsia="zh-CN"/>
        </w:rPr>
        <w:t>依据现有技术条件下封存系数计算的储层CO</w:t>
      </w:r>
      <w:r>
        <w:rPr>
          <w:rFonts w:hint="eastAsia" w:ascii="Times New Roman" w:hAnsi="Times New Roman"/>
          <w:vertAlign w:val="subscript"/>
          <w:lang w:val="en-US" w:eastAsia="zh-CN"/>
        </w:rPr>
        <w:t>2</w:t>
      </w:r>
      <w:r>
        <w:rPr>
          <w:rFonts w:hint="eastAsia" w:ascii="Times New Roman" w:hAnsi="Times New Roman"/>
          <w:lang w:val="en-US" w:eastAsia="zh-CN"/>
        </w:rPr>
        <w:t>封存量。</w:t>
      </w:r>
    </w:p>
    <w:p>
      <w:pPr>
        <w:pStyle w:val="105"/>
        <w:spacing w:before="156" w:after="156"/>
        <w:rPr>
          <w:rFonts w:hint="eastAsia"/>
          <w:lang w:val="en-US" w:eastAsia="zh-CN"/>
        </w:rPr>
      </w:pPr>
      <w:r>
        <w:rPr>
          <w:rFonts w:hint="eastAsia"/>
          <w:lang w:val="en-US" w:eastAsia="zh-CN"/>
        </w:rPr>
        <w:t>工程条件</w:t>
      </w:r>
    </w:p>
    <w:p>
      <w:pPr>
        <w:spacing w:line="240" w:lineRule="auto"/>
        <w:ind w:firstLine="420"/>
        <w:rPr>
          <w:rFonts w:ascii="Times New Roman" w:hAnsi="Times New Roman"/>
        </w:rPr>
      </w:pPr>
      <w:r>
        <w:rPr>
          <w:rFonts w:hint="eastAsia" w:ascii="Times New Roman" w:hAnsi="Times New Roman"/>
        </w:rPr>
        <w:t>评价工程条件包括以下指标：</w:t>
      </w:r>
    </w:p>
    <w:p>
      <w:pPr>
        <w:pStyle w:val="230"/>
        <w:numPr>
          <w:ilvl w:val="0"/>
          <w:numId w:val="34"/>
        </w:numPr>
        <w:ind w:firstLine="420"/>
        <w:rPr>
          <w:rFonts w:ascii="Times New Roman"/>
        </w:rPr>
      </w:pPr>
      <w:r>
        <w:rPr>
          <w:rFonts w:hint="eastAsia" w:ascii="Times New Roman"/>
        </w:rPr>
        <w:t>碳源距离：封存场地距离</w:t>
      </w:r>
      <w:r>
        <w:rPr>
          <w:rFonts w:hint="eastAsia" w:ascii="Times New Roman"/>
          <w:lang w:val="en-US" w:eastAsia="zh-CN"/>
        </w:rPr>
        <w:t>陆上</w:t>
      </w:r>
      <w:r>
        <w:rPr>
          <w:rFonts w:hint="eastAsia" w:ascii="Times New Roman"/>
        </w:rPr>
        <w:t>碳源</w:t>
      </w:r>
      <w:r>
        <w:rPr>
          <w:rFonts w:hint="eastAsia" w:ascii="Times New Roman"/>
          <w:lang w:val="en-US" w:eastAsia="zh-CN"/>
        </w:rPr>
        <w:t>入海处宜小于200公里</w:t>
      </w:r>
      <w:r>
        <w:rPr>
          <w:rFonts w:hint="eastAsia" w:ascii="Times New Roman"/>
        </w:rPr>
        <w:t>。</w:t>
      </w:r>
    </w:p>
    <w:p>
      <w:pPr>
        <w:pStyle w:val="230"/>
        <w:numPr>
          <w:ilvl w:val="0"/>
          <w:numId w:val="34"/>
        </w:numPr>
        <w:ind w:firstLine="420"/>
        <w:rPr>
          <w:rFonts w:ascii="Times New Roman"/>
        </w:rPr>
      </w:pPr>
      <w:r>
        <w:rPr>
          <w:rFonts w:hint="eastAsia" w:ascii="Times New Roman"/>
        </w:rPr>
        <w:t>海洋水深：</w:t>
      </w:r>
      <w:r>
        <w:rPr>
          <w:rFonts w:hint="eastAsia" w:ascii="Times New Roman"/>
          <w:lang w:val="en-US" w:eastAsia="zh-CN"/>
        </w:rPr>
        <w:t>封存场地水深宜小于100米</w:t>
      </w:r>
      <w:r>
        <w:rPr>
          <w:rFonts w:hint="eastAsia" w:ascii="Times New Roman"/>
        </w:rPr>
        <w:t>。</w:t>
      </w:r>
    </w:p>
    <w:p>
      <w:pPr>
        <w:pStyle w:val="230"/>
        <w:numPr>
          <w:ilvl w:val="0"/>
          <w:numId w:val="34"/>
        </w:numPr>
        <w:ind w:firstLine="420"/>
        <w:rPr>
          <w:rFonts w:ascii="Times New Roman"/>
        </w:rPr>
      </w:pPr>
      <w:r>
        <w:rPr>
          <w:rFonts w:hint="eastAsia" w:ascii="Times New Roman"/>
        </w:rPr>
        <w:t>基础设施条件：以可依托现有海上设备、电力、管道等为佳。</w:t>
      </w:r>
    </w:p>
    <w:p>
      <w:pPr>
        <w:pStyle w:val="230"/>
        <w:numPr>
          <w:ilvl w:val="0"/>
          <w:numId w:val="34"/>
        </w:numPr>
        <w:ind w:firstLine="420"/>
        <w:rPr>
          <w:rFonts w:ascii="Times New Roman"/>
        </w:rPr>
      </w:pPr>
      <w:r>
        <w:rPr>
          <w:rFonts w:hint="eastAsia" w:ascii="Times New Roman"/>
        </w:rPr>
        <w:t>地质灾害易发性：尽可能避免选址在地震、滑坡、浊流、浅层气、水合物等海底地质灾害易发区。</w:t>
      </w:r>
    </w:p>
    <w:p>
      <w:pPr>
        <w:pStyle w:val="230"/>
        <w:numPr>
          <w:ilvl w:val="0"/>
          <w:numId w:val="34"/>
        </w:numPr>
        <w:ind w:firstLine="420"/>
        <w:rPr>
          <w:rFonts w:ascii="Times New Roman"/>
        </w:rPr>
      </w:pPr>
      <w:r>
        <w:rPr>
          <w:rFonts w:hint="eastAsia" w:ascii="Times New Roman"/>
        </w:rPr>
        <w:t>限制区域：宜远离生态、渔业、军事、航道等限制区。</w:t>
      </w:r>
    </w:p>
    <w:p>
      <w:pPr>
        <w:pStyle w:val="105"/>
        <w:spacing w:before="156" w:after="156"/>
        <w:rPr>
          <w:rFonts w:hint="eastAsia"/>
          <w:lang w:val="en-US" w:eastAsia="zh-CN"/>
        </w:rPr>
      </w:pPr>
      <w:r>
        <w:rPr>
          <w:rFonts w:hint="eastAsia"/>
          <w:lang w:val="en-US" w:eastAsia="zh-CN"/>
        </w:rPr>
        <w:t>资料基础</w:t>
      </w:r>
    </w:p>
    <w:p>
      <w:pPr>
        <w:spacing w:line="240" w:lineRule="auto"/>
        <w:ind w:firstLine="420"/>
        <w:rPr>
          <w:rFonts w:ascii="Times New Roman" w:hAnsi="Times New Roman"/>
        </w:rPr>
      </w:pPr>
      <w:r>
        <w:rPr>
          <w:rFonts w:hint="eastAsia" w:ascii="Times New Roman" w:hAnsi="Times New Roman"/>
        </w:rPr>
        <w:t>评价资料基础包括以下指标：</w:t>
      </w:r>
    </w:p>
    <w:p>
      <w:pPr>
        <w:pStyle w:val="230"/>
        <w:numPr>
          <w:ilvl w:val="0"/>
          <w:numId w:val="35"/>
        </w:numPr>
        <w:ind w:firstLine="420"/>
        <w:rPr>
          <w:rFonts w:ascii="Times New Roman"/>
        </w:rPr>
      </w:pPr>
      <w:r>
        <w:rPr>
          <w:rFonts w:hint="eastAsia" w:ascii="Times New Roman"/>
        </w:rPr>
        <w:t>周边油气田情况：在不干扰油气生产的前提下，距离油气田越近越好。</w:t>
      </w:r>
    </w:p>
    <w:p>
      <w:pPr>
        <w:pStyle w:val="230"/>
        <w:numPr>
          <w:ilvl w:val="0"/>
          <w:numId w:val="35"/>
        </w:numPr>
        <w:ind w:firstLine="420"/>
        <w:rPr>
          <w:rFonts w:ascii="Times New Roman"/>
        </w:rPr>
      </w:pPr>
      <w:r>
        <w:rPr>
          <w:rFonts w:hint="eastAsia" w:ascii="Times New Roman"/>
        </w:rPr>
        <w:t>油气发现情况：有油气发现为佳，如无油气发现，须分析未成藏原因。</w:t>
      </w:r>
    </w:p>
    <w:p>
      <w:pPr>
        <w:pStyle w:val="230"/>
        <w:numPr>
          <w:ilvl w:val="0"/>
          <w:numId w:val="35"/>
        </w:numPr>
        <w:ind w:firstLine="420"/>
        <w:rPr>
          <w:rFonts w:ascii="Times New Roman"/>
        </w:rPr>
      </w:pPr>
      <w:r>
        <w:rPr>
          <w:rFonts w:hint="eastAsia" w:ascii="Times New Roman"/>
        </w:rPr>
        <w:t>地震及测网密度：地震资料</w:t>
      </w:r>
      <w:r>
        <w:rPr>
          <w:rFonts w:hint="eastAsia" w:ascii="Times New Roman"/>
          <w:lang w:val="en-US" w:eastAsia="zh-CN"/>
        </w:rPr>
        <w:t>宜以三维地震资料为佳，测网密度宜小于1×1公里。</w:t>
      </w:r>
    </w:p>
    <w:p>
      <w:pPr>
        <w:pStyle w:val="230"/>
        <w:numPr>
          <w:ilvl w:val="0"/>
          <w:numId w:val="35"/>
        </w:numPr>
        <w:ind w:firstLine="420"/>
        <w:rPr>
          <w:rFonts w:ascii="Times New Roman"/>
        </w:rPr>
      </w:pPr>
      <w:r>
        <w:rPr>
          <w:rFonts w:hint="eastAsia" w:ascii="Times New Roman"/>
        </w:rPr>
        <w:t>测试化验等资料：录井、测井、岩性实验、流体检测等资料越丰富，研究认识越可靠。</w:t>
      </w:r>
    </w:p>
    <w:p>
      <w:pPr>
        <w:pStyle w:val="104"/>
        <w:bidi w:val="0"/>
        <w:ind w:left="0" w:leftChars="0" w:firstLine="0" w:firstLineChars="0"/>
      </w:pPr>
      <w:bookmarkStart w:id="42" w:name="_Toc17217"/>
      <w:r>
        <w:rPr>
          <w:rFonts w:hint="eastAsia"/>
          <w:lang w:val="en-US" w:eastAsia="zh-CN"/>
        </w:rPr>
        <w:t>场地适宜性评价方法</w:t>
      </w:r>
      <w:bookmarkEnd w:id="42"/>
    </w:p>
    <w:p>
      <w:pPr>
        <w:pStyle w:val="105"/>
        <w:spacing w:before="156" w:after="156"/>
        <w:rPr>
          <w:rFonts w:hint="eastAsia"/>
          <w:lang w:val="en-US" w:eastAsia="zh-CN"/>
        </w:rPr>
      </w:pPr>
      <w:r>
        <w:rPr>
          <w:rFonts w:hint="eastAsia"/>
          <w:lang w:val="en-US" w:eastAsia="zh-CN"/>
        </w:rPr>
        <w:t>评价方法应用条件</w:t>
      </w:r>
    </w:p>
    <w:p>
      <w:pPr>
        <w:pStyle w:val="230"/>
        <w:ind w:firstLine="420"/>
        <w:rPr>
          <w:rFonts w:ascii="Times New Roman"/>
        </w:rPr>
      </w:pPr>
      <w:r>
        <w:rPr>
          <w:rFonts w:ascii="Times New Roman"/>
        </w:rPr>
        <w:t>通过对现有标准与文献总结，推荐类比分析法、专家打分法与模糊综合评价法进行场地适宜性评价。</w:t>
      </w:r>
    </w:p>
    <w:p>
      <w:pPr>
        <w:pStyle w:val="230"/>
        <w:ind w:firstLine="420"/>
        <w:rPr>
          <w:rFonts w:ascii="Times New Roman"/>
        </w:rPr>
      </w:pPr>
      <w:r>
        <w:rPr>
          <w:rFonts w:ascii="Times New Roman"/>
        </w:rPr>
        <w:t>a）类比分析法：适用于数据资料较少，且存在可参考的相同的或相似的现有工程的目标场地。该方法是工程分析常用的方法，也是定量结果较为准确的方法，要求时间长、工作量大。</w:t>
      </w:r>
    </w:p>
    <w:p>
      <w:pPr>
        <w:pStyle w:val="230"/>
        <w:ind w:firstLine="420"/>
        <w:rPr>
          <w:rFonts w:ascii="Times New Roman"/>
        </w:rPr>
      </w:pPr>
      <w:r>
        <w:rPr>
          <w:rFonts w:ascii="Times New Roman"/>
        </w:rPr>
        <w:t>b）专家打分法：适用于存在诸多不确定因素、客观数据不足，采用其他方法难以进行定量分析的情形。依赖专家的经验和知识来进行评估，主观性强。评估结果受专家的选择、数量以及专业知识水平和认知程度影响。</w:t>
      </w:r>
    </w:p>
    <w:p>
      <w:pPr>
        <w:pStyle w:val="230"/>
        <w:ind w:firstLine="420"/>
        <w:rPr>
          <w:rFonts w:ascii="Times New Roman"/>
        </w:rPr>
      </w:pPr>
      <w:r>
        <w:rPr>
          <w:rFonts w:ascii="Times New Roman"/>
        </w:rPr>
        <w:t>c）模糊综合评价法：主要用于解决模糊和难以量化的问题，是一种基于模糊数学和模糊关联矩阵的综合评价方法，可将定性分析转化为定量计算。某些情况下，模糊关系矩阵的确定有一定困难，对于指标类型、数量较多的盆地级以上的评价等级，可能需分类设计，过程会更加繁琐，因此更适于指标较少评价对象较为简单的场地评价。</w:t>
      </w:r>
    </w:p>
    <w:p>
      <w:pPr>
        <w:pStyle w:val="105"/>
        <w:spacing w:before="156" w:after="156"/>
        <w:rPr>
          <w:rFonts w:hint="eastAsia"/>
          <w:lang w:val="en-US" w:eastAsia="zh-CN"/>
        </w:rPr>
      </w:pPr>
      <w:r>
        <w:rPr>
          <w:rFonts w:hint="eastAsia"/>
          <w:lang w:val="en-US" w:eastAsia="zh-CN"/>
        </w:rPr>
        <w:t>类比分析法</w:t>
      </w:r>
    </w:p>
    <w:p>
      <w:pPr>
        <w:pStyle w:val="230"/>
        <w:ind w:firstLine="420"/>
        <w:rPr>
          <w:rFonts w:ascii="Times New Roman"/>
        </w:rPr>
      </w:pPr>
      <w:r>
        <w:rPr>
          <w:rFonts w:ascii="Times New Roman"/>
        </w:rPr>
        <w:t>类比分析法是通过类比分析国内外相似场地的评价方法评价流程，参考借鉴相应的经验，进行目标场地的适宜性评价，是一种量化结果较为准确的方法。采用此法时，需充分注意分析目标与类比对象之间的相似性。</w:t>
      </w:r>
    </w:p>
    <w:p>
      <w:pPr>
        <w:pStyle w:val="230"/>
        <w:ind w:firstLine="420"/>
        <w:rPr>
          <w:rFonts w:ascii="Times New Roman"/>
        </w:rPr>
      </w:pPr>
      <w:r>
        <w:rPr>
          <w:rFonts w:ascii="Times New Roman"/>
        </w:rPr>
        <w:t>主要类比指标包括：</w:t>
      </w:r>
    </w:p>
    <w:p>
      <w:pPr>
        <w:pStyle w:val="230"/>
        <w:ind w:firstLine="420"/>
        <w:rPr>
          <w:rFonts w:ascii="Times New Roman"/>
        </w:rPr>
      </w:pPr>
      <w:r>
        <w:rPr>
          <w:rFonts w:ascii="Times New Roman"/>
        </w:rPr>
        <w:t>a）地质条件相似性：包括圈闭类型、储层物性、盖层性质、断裂发育等指标；</w:t>
      </w:r>
    </w:p>
    <w:p>
      <w:pPr>
        <w:pStyle w:val="230"/>
        <w:ind w:firstLine="420"/>
        <w:rPr>
          <w:rFonts w:ascii="Times New Roman"/>
        </w:rPr>
      </w:pPr>
      <w:r>
        <w:rPr>
          <w:rFonts w:ascii="Times New Roman"/>
        </w:rPr>
        <w:t>b）设施建设相似性：包括老井状态、套管规格、井筒完整性、基础设施等指标；</w:t>
      </w:r>
    </w:p>
    <w:p>
      <w:pPr>
        <w:pStyle w:val="230"/>
        <w:ind w:firstLine="420"/>
        <w:rPr>
          <w:rFonts w:ascii="Times New Roman"/>
        </w:rPr>
      </w:pPr>
      <w:r>
        <w:rPr>
          <w:rFonts w:ascii="Times New Roman"/>
        </w:rPr>
        <w:t>c）工艺技术相似性：包括碳源距离、海水水深、灾害易发性、限制区域等指标。</w:t>
      </w:r>
    </w:p>
    <w:p>
      <w:pPr>
        <w:pStyle w:val="105"/>
        <w:spacing w:before="156" w:after="156"/>
        <w:rPr>
          <w:rFonts w:hint="eastAsia"/>
          <w:lang w:val="en-US" w:eastAsia="zh-CN"/>
        </w:rPr>
      </w:pPr>
      <w:r>
        <w:rPr>
          <w:rFonts w:hint="eastAsia"/>
          <w:lang w:val="en-US" w:eastAsia="zh-CN"/>
        </w:rPr>
        <w:t>专家打分法</w:t>
      </w:r>
    </w:p>
    <w:p>
      <w:pPr>
        <w:pStyle w:val="230"/>
        <w:ind w:firstLine="420"/>
        <w:rPr>
          <w:rFonts w:ascii="Times New Roman"/>
        </w:rPr>
      </w:pPr>
      <w:r>
        <w:rPr>
          <w:rFonts w:ascii="Times New Roman"/>
        </w:rPr>
        <w:t>专家打分法是通过向多位专家进行问卷调查将定性指标定量化的过程，综合评判各专家对评价指标的经验性打分，得出最终评价结果。该方法具有简洁便利、直观性强、计算方法简单等优点。选择专家群体时，需考虑涉及CCUS专业领域的人才并选取合理数量的具有专业水平专家，以保证结果的准确性。</w:t>
      </w:r>
    </w:p>
    <w:p>
      <w:pPr>
        <w:pStyle w:val="230"/>
        <w:ind w:firstLine="420"/>
        <w:rPr>
          <w:rFonts w:ascii="Times New Roman"/>
        </w:rPr>
      </w:pPr>
      <w:r>
        <w:rPr>
          <w:rFonts w:ascii="Times New Roman"/>
        </w:rPr>
        <w:t>结合层次分析法，对指标分</w:t>
      </w:r>
      <w:r>
        <w:rPr>
          <w:rFonts w:hint="eastAsia" w:ascii="Times New Roman"/>
        </w:rPr>
        <w:t>级</w:t>
      </w:r>
      <w:r>
        <w:rPr>
          <w:rFonts w:ascii="Times New Roman"/>
        </w:rPr>
        <w:t>赋值，具体步骤如下：</w:t>
      </w:r>
    </w:p>
    <w:p>
      <w:pPr>
        <w:pStyle w:val="230"/>
        <w:ind w:firstLine="420"/>
        <w:rPr>
          <w:rFonts w:ascii="Times New Roman"/>
        </w:rPr>
      </w:pPr>
      <w:r>
        <w:rPr>
          <w:rFonts w:ascii="Times New Roman"/>
        </w:rPr>
        <w:t>a）一级指标权重赋值：通过问卷调查、研讨会等方式，组织专家基于经验认识对一级指标影响场地适宜性重要程度进行打分，确定圈闭条件、储层条件、盖层条件等的评价权重，权重之和为1，权重公式见公式（1）：</w:t>
      </w:r>
    </w:p>
    <w:p>
      <w:pPr>
        <w:pStyle w:val="230"/>
        <w:keepNext w:val="0"/>
        <w:keepLines w:val="0"/>
        <w:pageBreakBefore w:val="0"/>
        <w:widowControl/>
        <w:tabs>
          <w:tab w:val="decimal" w:pos="6720"/>
          <w:tab w:val="center" w:leader="dot" w:pos="13440"/>
        </w:tabs>
        <w:kinsoku/>
        <w:wordWrap/>
        <w:overflowPunct/>
        <w:topLinePunct w:val="0"/>
        <w:autoSpaceDE w:val="0"/>
        <w:autoSpaceDN w:val="0"/>
        <w:bidi w:val="0"/>
        <w:adjustRightInd/>
        <w:snapToGrid/>
        <w:ind w:firstLine="420"/>
        <w:jc w:val="right"/>
        <w:textAlignment w:val="auto"/>
        <w:rPr>
          <w:rFonts w:hint="eastAsia" w:hAnsi="Cambria Math" w:eastAsia="宋体"/>
          <w:i w:val="0"/>
          <w:lang w:val="en-US" w:eastAsia="zh-CN"/>
        </w:rPr>
      </w:pPr>
      <m:oMath>
        <m:eqArr>
          <m:eqArrPr>
            <m:maxDist m:val="1"/>
            <m:ctrlPr>
              <w:rPr>
                <w:rFonts w:ascii="Cambria Math" w:hAnsi="Cambria Math"/>
              </w:rPr>
            </m:ctrlPr>
          </m:eqArrPr>
          <m:e>
            <m:sSup>
              <m:sSupPr>
                <m:ctrlPr>
                  <w:rPr>
                    <w:rFonts w:ascii="Cambria Math" w:hAnsi="Cambria Math"/>
                  </w:rPr>
                </m:ctrlPr>
              </m:sSupPr>
              <m:e>
                <m:r>
                  <m:rPr/>
                  <w:rPr>
                    <w:rFonts w:ascii="Cambria Math" w:hAnsi="Cambria Math"/>
                  </w:rPr>
                  <m:t>W</m:t>
                </m:r>
                <m:ctrlPr>
                  <w:rPr>
                    <w:rFonts w:ascii="Cambria Math" w:hAnsi="Cambria Math"/>
                  </w:rPr>
                </m:ctrlPr>
              </m:e>
              <m:sup>
                <m:r>
                  <m:rPr>
                    <m:sty m:val="p"/>
                  </m:rPr>
                  <w:rPr>
                    <w:rFonts w:ascii="Cambria Math" w:hAnsi="Cambria Math"/>
                  </w:rPr>
                  <m:t>1</m:t>
                </m:r>
                <m:ctrlPr>
                  <w:rPr>
                    <w:rFonts w:ascii="Cambria Math" w:hAnsi="Cambria Math"/>
                  </w:rPr>
                </m:ctrlPr>
              </m:sup>
            </m:sSup>
            <m:r>
              <m:rPr>
                <m:sty m:val="p"/>
              </m:rPr>
              <w:rPr>
                <w:rFonts w:ascii="Cambria Math" w:hAnsi="Cambria Math"/>
              </w:rPr>
              <m:t>=</m:t>
            </m:r>
            <m:d>
              <m:dPr>
                <m:ctrlPr>
                  <w:rPr>
                    <w:rFonts w:ascii="Cambria Math" w:hAnsi="Cambria Math"/>
                  </w:rPr>
                </m:ctrlPr>
              </m:dPr>
              <m:e>
                <m:sSub>
                  <m:sSubPr>
                    <m:ctrlPr>
                      <w:rPr>
                        <w:rFonts w:ascii="Cambria Math" w:hAnsi="Cambria Math"/>
                      </w:rPr>
                    </m:ctrlPr>
                  </m:sSubPr>
                  <m:e>
                    <m:r>
                      <m:rPr/>
                      <w:rPr>
                        <w:rFonts w:ascii="Cambria Math" w:hAnsi="Cambria Math"/>
                      </w:rPr>
                      <m:t>w</m:t>
                    </m:r>
                    <m:ctrlPr>
                      <w:rPr>
                        <w:rFonts w:ascii="Cambria Math" w:hAnsi="Cambria Math"/>
                      </w:rPr>
                    </m:ctrlPr>
                  </m:e>
                  <m:sub>
                    <m:r>
                      <m:rPr>
                        <m:sty m:val="p"/>
                      </m:rPr>
                      <w:rPr>
                        <w:rFonts w:ascii="Cambria Math" w:hAnsi="Cambria Math"/>
                      </w:rPr>
                      <m:t>1</m:t>
                    </m:r>
                    <m:ctrlPr>
                      <w:rPr>
                        <w:rFonts w:ascii="Cambria Math" w:hAnsi="Cambria Math"/>
                      </w:rPr>
                    </m:ctrlPr>
                  </m:sub>
                </m:sSub>
                <m:r>
                  <m:rPr>
                    <m:sty m:val="p"/>
                  </m:rPr>
                  <w:rPr>
                    <w:rFonts w:ascii="Cambria Math" w:hAnsi="Cambria Math"/>
                  </w:rPr>
                  <m:t>,</m:t>
                </m:r>
                <m:sSub>
                  <m:sSubPr>
                    <m:ctrlPr>
                      <w:rPr>
                        <w:rFonts w:ascii="Cambria Math" w:hAnsi="Cambria Math"/>
                      </w:rPr>
                    </m:ctrlPr>
                  </m:sSubPr>
                  <m:e>
                    <m:r>
                      <m:rPr/>
                      <w:rPr>
                        <w:rFonts w:ascii="Cambria Math" w:hAnsi="Cambria Math"/>
                      </w:rPr>
                      <m:t>w</m:t>
                    </m:r>
                    <m:ctrlPr>
                      <w:rPr>
                        <w:rFonts w:ascii="Cambria Math" w:hAnsi="Cambria Math"/>
                      </w:rPr>
                    </m:ctrlPr>
                  </m:e>
                  <m:sub>
                    <m:r>
                      <m:rPr>
                        <m:sty m:val="p"/>
                      </m:rPr>
                      <w:rPr>
                        <w:rFonts w:ascii="Cambria Math" w:hAnsi="Cambria Math"/>
                      </w:rPr>
                      <m:t>2</m:t>
                    </m:r>
                    <m:ctrlPr>
                      <w:rPr>
                        <w:rFonts w:ascii="Cambria Math" w:hAnsi="Cambria Math"/>
                      </w:rPr>
                    </m:ctrlPr>
                  </m:sub>
                </m:sSub>
                <m:r>
                  <m:rPr>
                    <m:sty m:val="p"/>
                  </m:rPr>
                  <w:rPr>
                    <w:rFonts w:ascii="Cambria Math" w:hAnsi="Cambria Math"/>
                  </w:rPr>
                  <m:t>,</m:t>
                </m:r>
                <m:sSub>
                  <m:sSubPr>
                    <m:ctrlPr>
                      <w:rPr>
                        <w:rFonts w:ascii="Cambria Math" w:hAnsi="Cambria Math"/>
                      </w:rPr>
                    </m:ctrlPr>
                  </m:sSubPr>
                  <m:e>
                    <m:r>
                      <m:rPr/>
                      <w:rPr>
                        <w:rFonts w:ascii="Cambria Math" w:hAnsi="Cambria Math"/>
                      </w:rPr>
                      <m:t>w</m:t>
                    </m:r>
                    <m:ctrlPr>
                      <w:rPr>
                        <w:rFonts w:ascii="Cambria Math" w:hAnsi="Cambria Math"/>
                      </w:rPr>
                    </m:ctrlPr>
                  </m:e>
                  <m:sub>
                    <m:r>
                      <m:rPr>
                        <m:sty m:val="p"/>
                      </m:rPr>
                      <w:rPr>
                        <w:rFonts w:ascii="Cambria Math" w:hAnsi="Cambria Math"/>
                      </w:rPr>
                      <m:t>3</m:t>
                    </m:r>
                    <m:ctrlPr>
                      <w:rPr>
                        <w:rFonts w:ascii="Cambria Math" w:hAnsi="Cambria Math"/>
                      </w:rPr>
                    </m:ctrlPr>
                  </m:sub>
                </m:sSub>
                <m:r>
                  <m:rPr>
                    <m:sty m:val="p"/>
                  </m:rPr>
                  <w:rPr>
                    <w:rFonts w:ascii="Cambria Math" w:hAnsi="Cambria Math"/>
                  </w:rPr>
                  <m:t>,···,</m:t>
                </m:r>
                <m:sSub>
                  <m:sSubPr>
                    <m:ctrlPr>
                      <w:rPr>
                        <w:rFonts w:ascii="Cambria Math" w:hAnsi="Cambria Math"/>
                      </w:rPr>
                    </m:ctrlPr>
                  </m:sSubPr>
                  <m:e>
                    <m:r>
                      <m:rPr/>
                      <w:rPr>
                        <w:rFonts w:ascii="Cambria Math" w:hAnsi="Cambria Math"/>
                      </w:rPr>
                      <m:t>w</m:t>
                    </m:r>
                    <m:ctrlPr>
                      <w:rPr>
                        <w:rFonts w:ascii="Cambria Math" w:hAnsi="Cambria Math"/>
                      </w:rPr>
                    </m:ctrlPr>
                  </m:e>
                  <m:sub>
                    <m:r>
                      <m:rPr/>
                      <w:rPr>
                        <w:rFonts w:ascii="Cambria Math" w:hAnsi="Cambria Math"/>
                      </w:rPr>
                      <m:t>i</m:t>
                    </m:r>
                    <m:ctrlPr>
                      <w:rPr>
                        <w:rFonts w:ascii="Cambria Math" w:hAnsi="Cambria Math"/>
                      </w:rPr>
                    </m:ctrlPr>
                  </m:sub>
                </m:sSub>
                <m:ctrlPr>
                  <w:rPr>
                    <w:rFonts w:ascii="Cambria Math" w:hAnsi="Cambria Math"/>
                  </w:rPr>
                </m:ctrlPr>
              </m:e>
            </m:d>
            <m:ctrlPr>
              <w:rPr>
                <w:rFonts w:ascii="Cambria Math" w:hAnsi="Cambria Math"/>
              </w:rPr>
            </m:ctrlPr>
          </m:e>
        </m:eqArr>
      </m:oMath>
      <w:r>
        <w:rPr>
          <w:rFonts w:hint="eastAsia" w:hAnsi="Cambria Math"/>
          <w:i w:val="0"/>
          <w:lang w:val="en-US" w:eastAsia="zh-CN"/>
        </w:rPr>
        <w:tab/>
      </w:r>
      <w:r>
        <w:rPr>
          <w:rFonts w:hint="default" w:ascii="Times New Roman" w:hAnsi="Times New Roman" w:cs="Times New Roman"/>
          <w:i w:val="0"/>
          <w:lang w:eastAsia="zh-CN"/>
        </w:rPr>
        <w:t>（</w:t>
      </w:r>
      <w:r>
        <w:rPr>
          <w:rFonts w:hint="default" w:ascii="Times New Roman" w:hAnsi="Times New Roman" w:cs="Times New Roman"/>
          <w:i w:val="0"/>
          <w:lang w:val="en-US" w:eastAsia="zh-CN"/>
        </w:rPr>
        <w:t>1</w:t>
      </w:r>
      <w:r>
        <w:rPr>
          <w:rFonts w:hint="default" w:ascii="Times New Roman" w:hAnsi="Times New Roman" w:cs="Times New Roman"/>
          <w:i w:val="0"/>
          <w:lang w:eastAsia="zh-CN"/>
        </w:rPr>
        <w:t>）</w:t>
      </w:r>
    </w:p>
    <w:p>
      <w:pPr>
        <w:pStyle w:val="230"/>
        <w:ind w:firstLine="420"/>
        <w:rPr>
          <w:rFonts w:ascii="Times New Roman"/>
        </w:rPr>
      </w:pPr>
      <w:r>
        <w:rPr>
          <w:rFonts w:ascii="Times New Roman"/>
        </w:rPr>
        <w:t>式中：</w:t>
      </w:r>
    </w:p>
    <w:p>
      <w:pPr>
        <w:pStyle w:val="230"/>
        <w:ind w:firstLine="420"/>
        <w:rPr>
          <w:rFonts w:ascii="Times New Roman"/>
        </w:rPr>
      </w:pPr>
      <m:oMath>
        <m:sSup>
          <m:sSupPr>
            <m:ctrlPr>
              <w:rPr>
                <w:rFonts w:ascii="Cambria Math" w:hAnsi="Cambria Math"/>
              </w:rPr>
            </m:ctrlPr>
          </m:sSupPr>
          <m:e>
            <m:r>
              <m:rPr/>
              <w:rPr>
                <w:rFonts w:ascii="Cambria Math" w:hAnsi="Cambria Math"/>
              </w:rPr>
              <m:t>W</m:t>
            </m:r>
            <m:ctrlPr>
              <w:rPr>
                <w:rFonts w:ascii="Cambria Math" w:hAnsi="Cambria Math"/>
              </w:rPr>
            </m:ctrlPr>
          </m:e>
          <m:sup>
            <m:r>
              <m:rPr>
                <m:sty m:val="p"/>
              </m:rPr>
              <w:rPr>
                <w:rFonts w:ascii="Cambria Math" w:hAnsi="Cambria Math"/>
              </w:rPr>
              <m:t>1</m:t>
            </m:r>
            <m:ctrlPr>
              <w:rPr>
                <w:rFonts w:ascii="Cambria Math" w:hAnsi="Cambria Math"/>
              </w:rPr>
            </m:ctrlPr>
          </m:sup>
        </m:sSup>
      </m:oMath>
      <w:r>
        <w:rPr>
          <w:rFonts w:ascii="Times New Roman"/>
        </w:rPr>
        <w:t>——一级指标评价向量；</w:t>
      </w:r>
    </w:p>
    <w:p>
      <w:pPr>
        <w:pStyle w:val="230"/>
        <w:ind w:firstLine="420"/>
        <w:rPr>
          <w:rFonts w:ascii="Times New Roman"/>
        </w:rPr>
      </w:pPr>
      <m:oMath>
        <m:sSub>
          <m:sSubPr>
            <m:ctrlPr>
              <w:rPr>
                <w:rFonts w:ascii="Cambria Math" w:hAnsi="Cambria Math"/>
              </w:rPr>
            </m:ctrlPr>
          </m:sSubPr>
          <m:e>
            <m:r>
              <m:rPr/>
              <w:rPr>
                <w:rFonts w:ascii="Cambria Math" w:hAnsi="Cambria Math"/>
              </w:rPr>
              <m:t>w</m:t>
            </m:r>
            <m:ctrlPr>
              <w:rPr>
                <w:rFonts w:ascii="Cambria Math" w:hAnsi="Cambria Math"/>
              </w:rPr>
            </m:ctrlPr>
          </m:e>
          <m:sub>
            <m:r>
              <m:rPr/>
              <w:rPr>
                <w:rFonts w:ascii="Cambria Math" w:hAnsi="Cambria Math"/>
              </w:rPr>
              <m:t>i</m:t>
            </m:r>
            <m:ctrlPr>
              <w:rPr>
                <w:rFonts w:ascii="Cambria Math" w:hAnsi="Cambria Math"/>
              </w:rPr>
            </m:ctrlPr>
          </m:sub>
        </m:sSub>
      </m:oMath>
      <w:r>
        <w:rPr>
          <w:rFonts w:ascii="Times New Roman"/>
        </w:rPr>
        <w:t>——第</w:t>
      </w:r>
      <m:oMath>
        <m:r>
          <m:rPr/>
          <w:rPr>
            <w:rFonts w:ascii="Cambria Math" w:hAnsi="Cambria Math"/>
          </w:rPr>
          <m:t>i</m:t>
        </m:r>
      </m:oMath>
      <w:r>
        <w:rPr>
          <w:rFonts w:ascii="Times New Roman"/>
        </w:rPr>
        <w:t>个一级指标的权重。</w:t>
      </w:r>
    </w:p>
    <w:p>
      <w:pPr>
        <w:pStyle w:val="230"/>
        <w:ind w:firstLine="420"/>
        <w:rPr>
          <w:rFonts w:ascii="Times New Roman"/>
        </w:rPr>
      </w:pPr>
      <w:r>
        <w:rPr>
          <w:rFonts w:ascii="Times New Roman"/>
        </w:rPr>
        <w:t>b）二级指标权重赋值：判断二级指标对上层一级指标重要程度，打分并确定圈闭类型、圈闭面积、高点埋深等二级指标权重，权重之和为1，权重见公式（2）：</w:t>
      </w:r>
    </w:p>
    <w:p>
      <w:pPr>
        <w:pStyle w:val="230"/>
        <w:keepNext w:val="0"/>
        <w:keepLines w:val="0"/>
        <w:pageBreakBefore w:val="0"/>
        <w:widowControl/>
        <w:tabs>
          <w:tab w:val="decimal" w:pos="6720"/>
        </w:tabs>
        <w:kinsoku/>
        <w:wordWrap/>
        <w:overflowPunct/>
        <w:topLinePunct w:val="0"/>
        <w:autoSpaceDE w:val="0"/>
        <w:autoSpaceDN w:val="0"/>
        <w:bidi w:val="0"/>
        <w:adjustRightInd/>
        <w:snapToGrid/>
        <w:ind w:firstLine="420"/>
        <w:jc w:val="right"/>
        <w:textAlignment w:val="auto"/>
        <w:rPr>
          <w:rFonts w:hint="eastAsia" w:ascii="Times New Roman" w:eastAsia="宋体"/>
          <w:lang w:eastAsia="zh-CN"/>
        </w:rPr>
      </w:pPr>
      <m:oMath>
        <m:eqArr>
          <m:eqArrPr>
            <m:maxDist m:val="1"/>
            <m:ctrlPr>
              <w:rPr>
                <w:rFonts w:ascii="Cambria Math" w:hAnsi="Cambria Math"/>
              </w:rPr>
            </m:ctrlPr>
          </m:eqArrPr>
          <m:e>
            <m:sSubSup>
              <m:sSubSupPr>
                <m:ctrlPr>
                  <w:rPr>
                    <w:rFonts w:ascii="Cambria Math" w:hAnsi="Cambria Math"/>
                  </w:rPr>
                </m:ctrlPr>
              </m:sSubSupPr>
              <m:e>
                <m:r>
                  <m:rPr/>
                  <w:rPr>
                    <w:rFonts w:ascii="Cambria Math" w:hAnsi="Cambria Math"/>
                  </w:rPr>
                  <m:t>W</m:t>
                </m:r>
                <m:ctrlPr>
                  <w:rPr>
                    <w:rFonts w:ascii="Cambria Math" w:hAnsi="Cambria Math"/>
                  </w:rPr>
                </m:ctrlPr>
              </m:e>
              <m:sub>
                <m:r>
                  <m:rPr/>
                  <w:rPr>
                    <w:rFonts w:ascii="Cambria Math" w:hAnsi="Cambria Math"/>
                  </w:rPr>
                  <m:t>i</m:t>
                </m:r>
                <m:ctrlPr>
                  <w:rPr>
                    <w:rFonts w:ascii="Cambria Math" w:hAnsi="Cambria Math"/>
                  </w:rPr>
                </m:ctrlPr>
              </m:sub>
              <m:sup>
                <m:r>
                  <m:rPr>
                    <m:sty m:val="p"/>
                  </m:rPr>
                  <w:rPr>
                    <w:rFonts w:ascii="Cambria Math" w:hAnsi="Cambria Math"/>
                  </w:rPr>
                  <m:t>2</m:t>
                </m:r>
                <m:ctrlPr>
                  <w:rPr>
                    <w:rFonts w:ascii="Cambria Math" w:hAnsi="Cambria Math"/>
                  </w:rPr>
                </m:ctrlPr>
              </m:sup>
            </m:sSubSup>
            <m:r>
              <m:rPr>
                <m:sty m:val="p"/>
              </m:rPr>
              <w:rPr>
                <w:rFonts w:ascii="Cambria Math" w:hAnsi="Cambria Math"/>
              </w:rPr>
              <m:t>=</m:t>
            </m:r>
            <m:d>
              <m:dPr>
                <m:ctrlPr>
                  <w:rPr>
                    <w:rFonts w:ascii="Cambria Math" w:hAnsi="Cambria Math"/>
                  </w:rPr>
                </m:ctrlPr>
              </m:dPr>
              <m:e>
                <m:sSup>
                  <m:sSupPr>
                    <m:ctrlPr>
                      <w:rPr>
                        <w:rFonts w:ascii="Cambria Math" w:hAnsi="Cambria Math"/>
                      </w:rPr>
                    </m:ctrlPr>
                  </m:sSupPr>
                  <m:e>
                    <m:sSub>
                      <m:sSubPr>
                        <m:ctrlPr>
                          <w:rPr>
                            <w:rFonts w:ascii="Cambria Math" w:hAnsi="Cambria Math"/>
                          </w:rPr>
                        </m:ctrlPr>
                      </m:sSubPr>
                      <m:e>
                        <m:r>
                          <m:rPr/>
                          <w:rPr>
                            <w:rFonts w:ascii="Cambria Math" w:hAnsi="Cambria Math"/>
                          </w:rPr>
                          <m:t>w</m:t>
                        </m:r>
                        <m:ctrlPr>
                          <w:rPr>
                            <w:rFonts w:ascii="Cambria Math" w:hAnsi="Cambria Math"/>
                          </w:rPr>
                        </m:ctrlPr>
                      </m:e>
                      <m:sub>
                        <m:r>
                          <m:rPr>
                            <m:sty m:val="p"/>
                          </m:rPr>
                          <w:rPr>
                            <w:rFonts w:ascii="Cambria Math" w:hAnsi="Cambria Math"/>
                          </w:rPr>
                          <m:t>1</m:t>
                        </m:r>
                        <m:ctrlPr>
                          <w:rPr>
                            <w:rFonts w:ascii="Cambria Math" w:hAnsi="Cambria Math"/>
                          </w:rPr>
                        </m:ctrlPr>
                      </m:sub>
                    </m:sSub>
                    <m:ctrlPr>
                      <w:rPr>
                        <w:rFonts w:ascii="Cambria Math" w:hAnsi="Cambria Math"/>
                      </w:rPr>
                    </m:ctrlPr>
                  </m:e>
                  <m:sup>
                    <m:r>
                      <m:rPr>
                        <m:sty m:val="p"/>
                      </m:rPr>
                      <w:rPr>
                        <w:rFonts w:ascii="Cambria Math" w:hAnsi="Cambria Math"/>
                      </w:rPr>
                      <m:t>2</m:t>
                    </m:r>
                    <m:ctrlPr>
                      <w:rPr>
                        <w:rFonts w:ascii="Cambria Math" w:hAnsi="Cambria Math"/>
                      </w:rPr>
                    </m:ctrlP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m:rPr/>
                          <w:rPr>
                            <w:rFonts w:ascii="Cambria Math" w:hAnsi="Cambria Math"/>
                          </w:rPr>
                          <m:t>w</m:t>
                        </m:r>
                        <m:ctrlPr>
                          <w:rPr>
                            <w:rFonts w:ascii="Cambria Math" w:hAnsi="Cambria Math"/>
                          </w:rPr>
                        </m:ctrlPr>
                      </m:e>
                      <m:sub>
                        <m:r>
                          <m:rPr>
                            <m:sty m:val="p"/>
                          </m:rPr>
                          <w:rPr>
                            <w:rFonts w:ascii="Cambria Math" w:hAnsi="Cambria Math"/>
                          </w:rPr>
                          <m:t>2</m:t>
                        </m:r>
                        <m:ctrlPr>
                          <w:rPr>
                            <w:rFonts w:ascii="Cambria Math" w:hAnsi="Cambria Math"/>
                          </w:rPr>
                        </m:ctrlPr>
                      </m:sub>
                    </m:sSub>
                    <m:ctrlPr>
                      <w:rPr>
                        <w:rFonts w:ascii="Cambria Math" w:hAnsi="Cambria Math"/>
                      </w:rPr>
                    </m:ctrlPr>
                  </m:e>
                  <m:sup>
                    <m:r>
                      <m:rPr>
                        <m:sty m:val="p"/>
                      </m:rPr>
                      <w:rPr>
                        <w:rFonts w:ascii="Cambria Math" w:hAnsi="Cambria Math"/>
                      </w:rPr>
                      <m:t>2</m:t>
                    </m:r>
                    <m:ctrlPr>
                      <w:rPr>
                        <w:rFonts w:ascii="Cambria Math" w:hAnsi="Cambria Math"/>
                      </w:rPr>
                    </m:ctrlP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m:rPr/>
                          <w:rPr>
                            <w:rFonts w:ascii="Cambria Math" w:hAnsi="Cambria Math"/>
                          </w:rPr>
                          <m:t>w</m:t>
                        </m:r>
                        <m:ctrlPr>
                          <w:rPr>
                            <w:rFonts w:ascii="Cambria Math" w:hAnsi="Cambria Math"/>
                          </w:rPr>
                        </m:ctrlPr>
                      </m:e>
                      <m:sub>
                        <m:r>
                          <m:rPr>
                            <m:sty m:val="p"/>
                          </m:rPr>
                          <w:rPr>
                            <w:rFonts w:ascii="Cambria Math" w:hAnsi="Cambria Math"/>
                          </w:rPr>
                          <m:t>3</m:t>
                        </m:r>
                        <m:ctrlPr>
                          <w:rPr>
                            <w:rFonts w:ascii="Cambria Math" w:hAnsi="Cambria Math"/>
                          </w:rPr>
                        </m:ctrlPr>
                      </m:sub>
                    </m:sSub>
                    <m:ctrlPr>
                      <w:rPr>
                        <w:rFonts w:ascii="Cambria Math" w:hAnsi="Cambria Math"/>
                      </w:rPr>
                    </m:ctrlPr>
                  </m:e>
                  <m:sup>
                    <m:r>
                      <m:rPr>
                        <m:sty m:val="p"/>
                      </m:rPr>
                      <w:rPr>
                        <w:rFonts w:ascii="Cambria Math" w:hAnsi="Cambria Math"/>
                      </w:rPr>
                      <m:t>2</m:t>
                    </m:r>
                    <m:ctrlPr>
                      <w:rPr>
                        <w:rFonts w:ascii="Cambria Math" w:hAnsi="Cambria Math"/>
                      </w:rPr>
                    </m:ctrlP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m:rPr/>
                          <w:rPr>
                            <w:rFonts w:ascii="Cambria Math" w:hAnsi="Cambria Math"/>
                          </w:rPr>
                          <m:t>w</m:t>
                        </m:r>
                        <m:ctrlPr>
                          <w:rPr>
                            <w:rFonts w:ascii="Cambria Math" w:hAnsi="Cambria Math"/>
                          </w:rPr>
                        </m:ctrlPr>
                      </m:e>
                      <m:sub>
                        <m:r>
                          <m:rPr/>
                          <w:rPr>
                            <w:rFonts w:ascii="Cambria Math" w:hAnsi="Cambria Math"/>
                          </w:rPr>
                          <m:t>j</m:t>
                        </m:r>
                        <m:ctrlPr>
                          <w:rPr>
                            <w:rFonts w:ascii="Cambria Math" w:hAnsi="Cambria Math"/>
                          </w:rPr>
                        </m:ctrlPr>
                      </m:sub>
                    </m:sSub>
                    <m:ctrlPr>
                      <w:rPr>
                        <w:rFonts w:ascii="Cambria Math" w:hAnsi="Cambria Math"/>
                      </w:rPr>
                    </m:ctrlPr>
                  </m:e>
                  <m:sup>
                    <m:r>
                      <m:rPr>
                        <m:sty m:val="p"/>
                      </m:rPr>
                      <w:rPr>
                        <w:rFonts w:ascii="Cambria Math" w:hAnsi="Cambria Math"/>
                      </w:rPr>
                      <m:t>2</m:t>
                    </m:r>
                    <m:ctrlPr>
                      <w:rPr>
                        <w:rFonts w:ascii="Cambria Math" w:hAnsi="Cambria Math"/>
                      </w:rPr>
                    </m:ctrlPr>
                  </m:sup>
                </m:sSup>
                <m:ctrlPr>
                  <w:rPr>
                    <w:rFonts w:ascii="Cambria Math" w:hAnsi="Cambria Math"/>
                  </w:rPr>
                </m:ctrlPr>
              </m:e>
            </m:d>
            <m:ctrlPr>
              <w:rPr>
                <w:rFonts w:ascii="Cambria Math" w:hAnsi="Cambria Math"/>
              </w:rPr>
            </m:ctrlPr>
          </m:e>
        </m:eqArr>
      </m:oMath>
      <w:r>
        <w:rPr>
          <w:rFonts w:hint="eastAsia" w:hAnsi="Cambria Math"/>
          <w:i w:val="0"/>
          <w:lang w:val="en-US" w:eastAsia="zh-CN"/>
        </w:rPr>
        <w:tab/>
      </w:r>
      <w:r>
        <w:rPr>
          <w:rFonts w:hint="default" w:ascii="Times New Roman" w:hAnsi="Times New Roman" w:cs="Times New Roman"/>
          <w:i w:val="0"/>
          <w:lang w:val="en-US" w:eastAsia="zh-CN"/>
        </w:rPr>
        <w:t>（2）</w:t>
      </w:r>
    </w:p>
    <w:p>
      <w:pPr>
        <w:pStyle w:val="230"/>
        <w:ind w:firstLine="420"/>
        <w:rPr>
          <w:rFonts w:ascii="Times New Roman"/>
        </w:rPr>
      </w:pPr>
      <w:r>
        <w:rPr>
          <w:rFonts w:ascii="Times New Roman"/>
        </w:rPr>
        <w:t>式中：</w:t>
      </w:r>
    </w:p>
    <w:p>
      <w:pPr>
        <w:pStyle w:val="230"/>
        <w:ind w:firstLine="420"/>
        <w:rPr>
          <w:rFonts w:ascii="Times New Roman"/>
        </w:rPr>
      </w:pPr>
      <m:oMath>
        <m:sSubSup>
          <m:sSubSupPr>
            <m:ctrlPr>
              <w:rPr>
                <w:rFonts w:ascii="Cambria Math" w:hAnsi="Cambria Math"/>
              </w:rPr>
            </m:ctrlPr>
          </m:sSubSupPr>
          <m:e>
            <m:r>
              <m:rPr/>
              <w:rPr>
                <w:rFonts w:ascii="Cambria Math" w:hAnsi="Cambria Math"/>
              </w:rPr>
              <m:t>W</m:t>
            </m:r>
            <m:ctrlPr>
              <w:rPr>
                <w:rFonts w:ascii="Cambria Math" w:hAnsi="Cambria Math"/>
              </w:rPr>
            </m:ctrlPr>
          </m:e>
          <m:sub>
            <m:r>
              <m:rPr/>
              <w:rPr>
                <w:rFonts w:ascii="Cambria Math" w:hAnsi="Cambria Math"/>
              </w:rPr>
              <m:t>i</m:t>
            </m:r>
            <m:ctrlPr>
              <w:rPr>
                <w:rFonts w:ascii="Cambria Math" w:hAnsi="Cambria Math"/>
              </w:rPr>
            </m:ctrlPr>
          </m:sub>
          <m:sup>
            <m:r>
              <m:rPr>
                <m:sty m:val="p"/>
              </m:rPr>
              <w:rPr>
                <w:rFonts w:ascii="Cambria Math" w:hAnsi="Cambria Math"/>
              </w:rPr>
              <m:t>2</m:t>
            </m:r>
            <m:ctrlPr>
              <w:rPr>
                <w:rFonts w:ascii="Cambria Math" w:hAnsi="Cambria Math"/>
              </w:rPr>
            </m:ctrlPr>
          </m:sup>
        </m:sSubSup>
      </m:oMath>
      <w:r>
        <w:rPr>
          <w:rFonts w:ascii="Times New Roman"/>
        </w:rPr>
        <w:t>——第</w:t>
      </w:r>
      <m:oMath>
        <m:r>
          <m:rPr/>
          <w:rPr>
            <w:rFonts w:ascii="Cambria Math" w:hAnsi="Cambria Math"/>
          </w:rPr>
          <m:t>i</m:t>
        </m:r>
      </m:oMath>
      <w:r>
        <w:rPr>
          <w:rFonts w:ascii="Times New Roman"/>
        </w:rPr>
        <w:t>个一级指标下二级指标评价向量；</w:t>
      </w:r>
    </w:p>
    <w:p>
      <w:pPr>
        <w:pStyle w:val="230"/>
        <w:ind w:firstLine="420"/>
        <w:rPr>
          <w:rFonts w:ascii="Times New Roman"/>
        </w:rPr>
      </w:pPr>
      <m:oMath>
        <m:sSup>
          <m:sSupPr>
            <m:ctrlPr>
              <w:rPr>
                <w:rFonts w:ascii="Cambria Math" w:hAnsi="Cambria Math"/>
              </w:rPr>
            </m:ctrlPr>
          </m:sSupPr>
          <m:e>
            <m:sSub>
              <m:sSubPr>
                <m:ctrlPr>
                  <w:rPr>
                    <w:rFonts w:ascii="Cambria Math" w:hAnsi="Cambria Math"/>
                  </w:rPr>
                </m:ctrlPr>
              </m:sSubPr>
              <m:e>
                <m:r>
                  <m:rPr/>
                  <w:rPr>
                    <w:rFonts w:ascii="Cambria Math" w:hAnsi="Cambria Math"/>
                  </w:rPr>
                  <m:t>w</m:t>
                </m:r>
                <m:ctrlPr>
                  <w:rPr>
                    <w:rFonts w:ascii="Cambria Math" w:hAnsi="Cambria Math"/>
                  </w:rPr>
                </m:ctrlPr>
              </m:e>
              <m:sub>
                <m:r>
                  <m:rPr/>
                  <w:rPr>
                    <w:rFonts w:ascii="Cambria Math" w:hAnsi="Cambria Math"/>
                  </w:rPr>
                  <m:t>j</m:t>
                </m:r>
                <m:ctrlPr>
                  <w:rPr>
                    <w:rFonts w:ascii="Cambria Math" w:hAnsi="Cambria Math"/>
                  </w:rPr>
                </m:ctrlPr>
              </m:sub>
            </m:sSub>
            <m:ctrlPr>
              <w:rPr>
                <w:rFonts w:ascii="Cambria Math" w:hAnsi="Cambria Math"/>
              </w:rPr>
            </m:ctrlPr>
          </m:e>
          <m:sup>
            <m:r>
              <m:rPr>
                <m:sty m:val="p"/>
              </m:rPr>
              <w:rPr>
                <w:rFonts w:ascii="Cambria Math" w:hAnsi="Cambria Math"/>
              </w:rPr>
              <m:t>2</m:t>
            </m:r>
            <m:ctrlPr>
              <w:rPr>
                <w:rFonts w:ascii="Cambria Math" w:hAnsi="Cambria Math"/>
              </w:rPr>
            </m:ctrlPr>
          </m:sup>
        </m:sSup>
      </m:oMath>
      <w:r>
        <w:rPr>
          <w:rFonts w:ascii="Times New Roman"/>
        </w:rPr>
        <w:t>——第</w:t>
      </w:r>
      <m:oMath>
        <m:r>
          <m:rPr/>
          <w:rPr>
            <w:rFonts w:ascii="Cambria Math" w:hAnsi="Cambria Math"/>
          </w:rPr>
          <m:t>j</m:t>
        </m:r>
      </m:oMath>
      <w:r>
        <w:rPr>
          <w:rFonts w:ascii="Times New Roman"/>
        </w:rPr>
        <w:t>个二级评价指标的权重。</w:t>
      </w:r>
    </w:p>
    <w:p>
      <w:pPr>
        <w:pStyle w:val="230"/>
        <w:ind w:firstLine="420"/>
        <w:rPr>
          <w:rFonts w:ascii="Times New Roman"/>
        </w:rPr>
      </w:pPr>
      <w:r>
        <w:rPr>
          <w:rFonts w:ascii="Times New Roman"/>
        </w:rPr>
        <w:t>c）计算二级指标实际权重：将各项二级指标权重与上层一级指标权重相乘，求得各二级指标实际权重，权重之和为1，权重见公式（3）：</w:t>
      </w:r>
    </w:p>
    <w:p>
      <w:pPr>
        <w:pStyle w:val="230"/>
        <w:keepNext w:val="0"/>
        <w:keepLines w:val="0"/>
        <w:pageBreakBefore w:val="0"/>
        <w:widowControl/>
        <w:tabs>
          <w:tab w:val="decimal" w:pos="6720"/>
        </w:tabs>
        <w:kinsoku/>
        <w:wordWrap/>
        <w:overflowPunct/>
        <w:topLinePunct w:val="0"/>
        <w:autoSpaceDE w:val="0"/>
        <w:autoSpaceDN w:val="0"/>
        <w:bidi w:val="0"/>
        <w:adjustRightInd/>
        <w:snapToGrid/>
        <w:ind w:firstLine="420"/>
        <w:jc w:val="right"/>
        <w:textAlignment w:val="auto"/>
        <w:rPr>
          <w:rFonts w:hint="eastAsia" w:ascii="Times New Roman" w:eastAsia="宋体"/>
          <w:lang w:val="en-US" w:eastAsia="zh-CN"/>
        </w:rPr>
      </w:pPr>
      <m:oMath>
        <m:eqArr>
          <m:eqArrPr>
            <m:maxDist m:val="1"/>
            <m:ctrlPr>
              <w:rPr>
                <w:rFonts w:ascii="Cambria Math" w:hAnsi="Cambria Math"/>
              </w:rPr>
            </m:ctrlPr>
          </m:eqArrPr>
          <m:e>
            <m:sSubSup>
              <m:sSubSupPr>
                <m:ctrlPr>
                  <w:rPr>
                    <w:rFonts w:ascii="Cambria Math" w:hAnsi="Cambria Math"/>
                  </w:rPr>
                </m:ctrlPr>
              </m:sSubSupPr>
              <m:e>
                <m:r>
                  <m:rPr/>
                  <w:rPr>
                    <w:rFonts w:ascii="Cambria Math" w:hAnsi="Cambria Math"/>
                  </w:rPr>
                  <m:t>W</m:t>
                </m:r>
                <m:ctrlPr>
                  <w:rPr>
                    <w:rFonts w:ascii="Cambria Math" w:hAnsi="Cambria Math"/>
                  </w:rPr>
                </m:ctrlPr>
              </m:e>
              <m:sub>
                <m:r>
                  <m:rPr/>
                  <w:rPr>
                    <w:rFonts w:ascii="Cambria Math" w:hAnsi="Cambria Math"/>
                  </w:rPr>
                  <m:t>i</m:t>
                </m:r>
                <m:ctrlPr>
                  <w:rPr>
                    <w:rFonts w:ascii="Cambria Math" w:hAnsi="Cambria Math"/>
                  </w:rPr>
                </m:ctrlPr>
              </m:sub>
              <m:sup>
                <m:sSup>
                  <m:sSupPr>
                    <m:ctrlPr>
                      <w:rPr>
                        <w:rFonts w:ascii="Cambria Math" w:hAnsi="Cambria Math"/>
                      </w:rPr>
                    </m:ctrlPr>
                  </m:sSupPr>
                  <m:e>
                    <m:r>
                      <m:rPr>
                        <m:sty m:val="p"/>
                      </m:rPr>
                      <w:rPr>
                        <w:rFonts w:ascii="Cambria Math" w:hAnsi="Cambria Math"/>
                      </w:rPr>
                      <m:t>2</m:t>
                    </m:r>
                    <m:ctrlPr>
                      <w:rPr>
                        <w:rFonts w:ascii="Cambria Math" w:hAnsi="Cambria Math"/>
                      </w:rPr>
                    </m:ctrlPr>
                  </m:e>
                  <m:sup>
                    <m:r>
                      <m:rPr>
                        <m:sty m:val="p"/>
                      </m:rPr>
                      <w:rPr>
                        <w:rFonts w:ascii="Cambria Math" w:hAnsi="Cambria Math"/>
                      </w:rPr>
                      <m:t>'</m:t>
                    </m:r>
                    <m:ctrlPr>
                      <w:rPr>
                        <w:rFonts w:ascii="Cambria Math" w:hAnsi="Cambria Math"/>
                      </w:rPr>
                    </m:ctrlPr>
                  </m:sup>
                </m:sSup>
                <m:ctrlPr>
                  <w:rPr>
                    <w:rFonts w:ascii="Cambria Math" w:hAnsi="Cambria Math"/>
                  </w:rPr>
                </m:ctrlPr>
              </m:sup>
            </m:sSubSup>
            <m:r>
              <m:rPr>
                <m:sty m:val="p"/>
              </m:rPr>
              <w:rPr>
                <w:rFonts w:ascii="Cambria Math" w:hAnsi="Cambria Math"/>
              </w:rPr>
              <m:t>=</m:t>
            </m:r>
            <m:d>
              <m:dPr>
                <m:ctrlPr>
                  <w:rPr>
                    <w:rFonts w:ascii="Cambria Math" w:hAnsi="Cambria Math"/>
                  </w:rPr>
                </m:ctrlPr>
              </m:dPr>
              <m:e>
                <m:sSup>
                  <m:sSupPr>
                    <m:ctrlPr>
                      <w:rPr>
                        <w:rFonts w:ascii="Cambria Math" w:hAnsi="Cambria Math"/>
                      </w:rPr>
                    </m:ctrlPr>
                  </m:sSupPr>
                  <m:e>
                    <m:sSub>
                      <m:sSubPr>
                        <m:ctrlPr>
                          <w:rPr>
                            <w:rFonts w:ascii="Cambria Math" w:hAnsi="Cambria Math"/>
                          </w:rPr>
                        </m:ctrlPr>
                      </m:sSubPr>
                      <m:e>
                        <m:r>
                          <m:rPr/>
                          <w:rPr>
                            <w:rFonts w:ascii="Cambria Math" w:hAnsi="Cambria Math"/>
                          </w:rPr>
                          <m:t>w</m:t>
                        </m:r>
                        <m:ctrlPr>
                          <w:rPr>
                            <w:rFonts w:ascii="Cambria Math" w:hAnsi="Cambria Math"/>
                          </w:rPr>
                        </m:ctrlPr>
                      </m:e>
                      <m:sub>
                        <m:r>
                          <m:rPr>
                            <m:sty m:val="p"/>
                          </m:rPr>
                          <w:rPr>
                            <w:rFonts w:ascii="Cambria Math" w:hAnsi="Cambria Math"/>
                          </w:rPr>
                          <m:t>1</m:t>
                        </m:r>
                        <m:ctrlPr>
                          <w:rPr>
                            <w:rFonts w:ascii="Cambria Math" w:hAnsi="Cambria Math"/>
                          </w:rPr>
                        </m:ctrlPr>
                      </m:sub>
                    </m:sSub>
                    <m:ctrlPr>
                      <w:rPr>
                        <w:rFonts w:ascii="Cambria Math" w:hAnsi="Cambria Math"/>
                      </w:rPr>
                    </m:ctrlPr>
                  </m:e>
                  <m:sup>
                    <m:sSup>
                      <m:sSupPr>
                        <m:ctrlPr>
                          <w:rPr>
                            <w:rFonts w:ascii="Cambria Math" w:hAnsi="Cambria Math"/>
                          </w:rPr>
                        </m:ctrlPr>
                      </m:sSupPr>
                      <m:e>
                        <m:r>
                          <m:rPr>
                            <m:sty m:val="p"/>
                          </m:rPr>
                          <w:rPr>
                            <w:rFonts w:ascii="Cambria Math" w:hAnsi="Cambria Math"/>
                          </w:rPr>
                          <m:t>2</m:t>
                        </m:r>
                        <m:ctrlPr>
                          <w:rPr>
                            <w:rFonts w:ascii="Cambria Math" w:hAnsi="Cambria Math"/>
                          </w:rPr>
                        </m:ctrlPr>
                      </m:e>
                      <m:sup>
                        <m:r>
                          <m:rPr>
                            <m:sty m:val="p"/>
                          </m:rPr>
                          <w:rPr>
                            <w:rFonts w:ascii="Cambria Math" w:hAnsi="Cambria Math"/>
                          </w:rPr>
                          <m:t>'</m:t>
                        </m:r>
                        <m:ctrlPr>
                          <w:rPr>
                            <w:rFonts w:ascii="Cambria Math" w:hAnsi="Cambria Math"/>
                          </w:rPr>
                        </m:ctrlPr>
                      </m:sup>
                    </m:sSup>
                    <m:ctrlPr>
                      <w:rPr>
                        <w:rFonts w:ascii="Cambria Math" w:hAnsi="Cambria Math"/>
                      </w:rPr>
                    </m:ctrlP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m:rPr/>
                          <w:rPr>
                            <w:rFonts w:ascii="Cambria Math" w:hAnsi="Cambria Math"/>
                          </w:rPr>
                          <m:t>w</m:t>
                        </m:r>
                        <m:ctrlPr>
                          <w:rPr>
                            <w:rFonts w:ascii="Cambria Math" w:hAnsi="Cambria Math"/>
                          </w:rPr>
                        </m:ctrlPr>
                      </m:e>
                      <m:sub>
                        <m:r>
                          <m:rPr>
                            <m:sty m:val="p"/>
                          </m:rPr>
                          <w:rPr>
                            <w:rFonts w:ascii="Cambria Math" w:hAnsi="Cambria Math"/>
                          </w:rPr>
                          <m:t>2</m:t>
                        </m:r>
                        <m:ctrlPr>
                          <w:rPr>
                            <w:rFonts w:ascii="Cambria Math" w:hAnsi="Cambria Math"/>
                          </w:rPr>
                        </m:ctrlPr>
                      </m:sub>
                    </m:sSub>
                    <m:ctrlPr>
                      <w:rPr>
                        <w:rFonts w:ascii="Cambria Math" w:hAnsi="Cambria Math"/>
                      </w:rPr>
                    </m:ctrlPr>
                  </m:e>
                  <m:sup>
                    <m:sSup>
                      <m:sSupPr>
                        <m:ctrlPr>
                          <w:rPr>
                            <w:rFonts w:ascii="Cambria Math" w:hAnsi="Cambria Math"/>
                          </w:rPr>
                        </m:ctrlPr>
                      </m:sSupPr>
                      <m:e>
                        <m:r>
                          <m:rPr>
                            <m:sty m:val="p"/>
                          </m:rPr>
                          <w:rPr>
                            <w:rFonts w:ascii="Cambria Math" w:hAnsi="Cambria Math"/>
                          </w:rPr>
                          <m:t>2</m:t>
                        </m:r>
                        <m:ctrlPr>
                          <w:rPr>
                            <w:rFonts w:ascii="Cambria Math" w:hAnsi="Cambria Math"/>
                          </w:rPr>
                        </m:ctrlPr>
                      </m:e>
                      <m:sup>
                        <m:r>
                          <m:rPr>
                            <m:sty m:val="p"/>
                          </m:rPr>
                          <w:rPr>
                            <w:rFonts w:ascii="Cambria Math" w:hAnsi="Cambria Math"/>
                          </w:rPr>
                          <m:t>'</m:t>
                        </m:r>
                        <m:ctrlPr>
                          <w:rPr>
                            <w:rFonts w:ascii="Cambria Math" w:hAnsi="Cambria Math"/>
                          </w:rPr>
                        </m:ctrlPr>
                      </m:sup>
                    </m:sSup>
                    <m:ctrlPr>
                      <w:rPr>
                        <w:rFonts w:ascii="Cambria Math" w:hAnsi="Cambria Math"/>
                      </w:rPr>
                    </m:ctrlP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m:rPr/>
                          <w:rPr>
                            <w:rFonts w:ascii="Cambria Math" w:hAnsi="Cambria Math"/>
                          </w:rPr>
                          <m:t>w</m:t>
                        </m:r>
                        <m:ctrlPr>
                          <w:rPr>
                            <w:rFonts w:ascii="Cambria Math" w:hAnsi="Cambria Math"/>
                          </w:rPr>
                        </m:ctrlPr>
                      </m:e>
                      <m:sub>
                        <m:r>
                          <m:rPr>
                            <m:sty m:val="p"/>
                          </m:rPr>
                          <w:rPr>
                            <w:rFonts w:ascii="Cambria Math" w:hAnsi="Cambria Math"/>
                          </w:rPr>
                          <m:t>3</m:t>
                        </m:r>
                        <m:ctrlPr>
                          <w:rPr>
                            <w:rFonts w:ascii="Cambria Math" w:hAnsi="Cambria Math"/>
                          </w:rPr>
                        </m:ctrlPr>
                      </m:sub>
                    </m:sSub>
                    <m:ctrlPr>
                      <w:rPr>
                        <w:rFonts w:ascii="Cambria Math" w:hAnsi="Cambria Math"/>
                      </w:rPr>
                    </m:ctrlPr>
                  </m:e>
                  <m:sup>
                    <m:sSup>
                      <m:sSupPr>
                        <m:ctrlPr>
                          <w:rPr>
                            <w:rFonts w:ascii="Cambria Math" w:hAnsi="Cambria Math"/>
                          </w:rPr>
                        </m:ctrlPr>
                      </m:sSupPr>
                      <m:e>
                        <m:r>
                          <m:rPr>
                            <m:sty m:val="p"/>
                          </m:rPr>
                          <w:rPr>
                            <w:rFonts w:ascii="Cambria Math" w:hAnsi="Cambria Math"/>
                          </w:rPr>
                          <m:t>2</m:t>
                        </m:r>
                        <m:ctrlPr>
                          <w:rPr>
                            <w:rFonts w:ascii="Cambria Math" w:hAnsi="Cambria Math"/>
                          </w:rPr>
                        </m:ctrlPr>
                      </m:e>
                      <m:sup>
                        <m:r>
                          <m:rPr>
                            <m:sty m:val="p"/>
                          </m:rPr>
                          <w:rPr>
                            <w:rFonts w:ascii="Cambria Math" w:hAnsi="Cambria Math"/>
                          </w:rPr>
                          <m:t>'</m:t>
                        </m:r>
                        <m:ctrlPr>
                          <w:rPr>
                            <w:rFonts w:ascii="Cambria Math" w:hAnsi="Cambria Math"/>
                          </w:rPr>
                        </m:ctrlPr>
                      </m:sup>
                    </m:sSup>
                    <m:ctrlPr>
                      <w:rPr>
                        <w:rFonts w:ascii="Cambria Math" w:hAnsi="Cambria Math"/>
                      </w:rPr>
                    </m:ctrlPr>
                  </m:sup>
                </m:sSup>
                <m:r>
                  <m:rPr>
                    <m:sty m:val="p"/>
                  </m:rPr>
                  <w:rPr>
                    <w:rFonts w:ascii="Cambria Math" w:hAnsi="Cambria Math"/>
                  </w:rPr>
                  <m:t>,···,</m:t>
                </m:r>
                <m:sSup>
                  <m:sSupPr>
                    <m:ctrlPr>
                      <w:rPr>
                        <w:rFonts w:ascii="Cambria Math" w:hAnsi="Cambria Math"/>
                      </w:rPr>
                    </m:ctrlPr>
                  </m:sSupPr>
                  <m:e>
                    <m:sSub>
                      <m:sSubPr>
                        <m:ctrlPr>
                          <w:rPr>
                            <w:rFonts w:ascii="Cambria Math" w:hAnsi="Cambria Math"/>
                          </w:rPr>
                        </m:ctrlPr>
                      </m:sSubPr>
                      <m:e>
                        <m:r>
                          <m:rPr/>
                          <w:rPr>
                            <w:rFonts w:ascii="Cambria Math" w:hAnsi="Cambria Math"/>
                          </w:rPr>
                          <m:t>w</m:t>
                        </m:r>
                        <m:ctrlPr>
                          <w:rPr>
                            <w:rFonts w:ascii="Cambria Math" w:hAnsi="Cambria Math"/>
                          </w:rPr>
                        </m:ctrlPr>
                      </m:e>
                      <m:sub>
                        <m:r>
                          <m:rPr/>
                          <w:rPr>
                            <w:rFonts w:ascii="Cambria Math" w:hAnsi="Cambria Math"/>
                          </w:rPr>
                          <m:t>j</m:t>
                        </m:r>
                        <m:ctrlPr>
                          <w:rPr>
                            <w:rFonts w:ascii="Cambria Math" w:hAnsi="Cambria Math"/>
                          </w:rPr>
                        </m:ctrlPr>
                      </m:sub>
                    </m:sSub>
                    <m:ctrlPr>
                      <w:rPr>
                        <w:rFonts w:ascii="Cambria Math" w:hAnsi="Cambria Math"/>
                      </w:rPr>
                    </m:ctrlPr>
                  </m:e>
                  <m:sup>
                    <m:sSup>
                      <m:sSupPr>
                        <m:ctrlPr>
                          <w:rPr>
                            <w:rFonts w:ascii="Cambria Math" w:hAnsi="Cambria Math"/>
                          </w:rPr>
                        </m:ctrlPr>
                      </m:sSupPr>
                      <m:e>
                        <m:r>
                          <m:rPr>
                            <m:sty m:val="p"/>
                          </m:rPr>
                          <w:rPr>
                            <w:rFonts w:ascii="Cambria Math" w:hAnsi="Cambria Math"/>
                          </w:rPr>
                          <m:t>2</m:t>
                        </m:r>
                        <m:ctrlPr>
                          <w:rPr>
                            <w:rFonts w:ascii="Cambria Math" w:hAnsi="Cambria Math"/>
                          </w:rPr>
                        </m:ctrlPr>
                      </m:e>
                      <m:sup>
                        <m:r>
                          <m:rPr>
                            <m:sty m:val="p"/>
                          </m:rPr>
                          <w:rPr>
                            <w:rFonts w:ascii="Cambria Math" w:hAnsi="Cambria Math"/>
                          </w:rPr>
                          <m:t>'</m:t>
                        </m:r>
                        <m:ctrlPr>
                          <w:rPr>
                            <w:rFonts w:ascii="Cambria Math" w:hAnsi="Cambria Math"/>
                          </w:rPr>
                        </m:ctrlPr>
                      </m:sup>
                    </m:sSup>
                    <m:ctrlPr>
                      <w:rPr>
                        <w:rFonts w:ascii="Cambria Math" w:hAnsi="Cambria Math"/>
                      </w:rPr>
                    </m:ctrlPr>
                  </m:sup>
                </m:sSup>
                <m:ctrlPr>
                  <w:rPr>
                    <w:rFonts w:ascii="Cambria Math" w:hAnsi="Cambria Math"/>
                  </w:rPr>
                </m:ctrlPr>
              </m:e>
            </m:d>
            <m:ctrlPr>
              <w:rPr>
                <w:rFonts w:ascii="Cambria Math" w:hAnsi="Cambria Math"/>
              </w:rPr>
            </m:ctrlPr>
          </m:e>
        </m:eqArr>
      </m:oMath>
      <w:r>
        <w:rPr>
          <w:rFonts w:hint="eastAsia" w:hAnsi="Cambria Math"/>
          <w:i w:val="0"/>
          <w:lang w:val="en-US" w:eastAsia="zh-CN"/>
        </w:rPr>
        <w:tab/>
      </w:r>
      <w:r>
        <w:rPr>
          <w:rFonts w:hint="eastAsia" w:ascii="Times New Roman" w:hAnsi="Times New Roman" w:cs="Times New Roman"/>
          <w:i w:val="0"/>
          <w:lang w:val="en-US" w:eastAsia="zh-CN"/>
        </w:rPr>
        <w:t>（3）</w:t>
      </w:r>
    </w:p>
    <w:p>
      <w:pPr>
        <w:pStyle w:val="230"/>
        <w:ind w:firstLine="420"/>
        <w:rPr>
          <w:rFonts w:ascii="Times New Roman"/>
        </w:rPr>
      </w:pPr>
      <w:r>
        <w:rPr>
          <w:rFonts w:ascii="Times New Roman"/>
        </w:rPr>
        <w:t>式中：</w:t>
      </w:r>
    </w:p>
    <w:p>
      <w:pPr>
        <w:pStyle w:val="230"/>
        <w:ind w:firstLine="420"/>
        <w:rPr>
          <w:rFonts w:ascii="Times New Roman"/>
        </w:rPr>
      </w:pPr>
      <m:oMath>
        <m:sSubSup>
          <m:sSubSupPr>
            <m:ctrlPr>
              <w:rPr>
                <w:rFonts w:ascii="Cambria Math" w:hAnsi="Cambria Math"/>
              </w:rPr>
            </m:ctrlPr>
          </m:sSubSupPr>
          <m:e>
            <m:r>
              <m:rPr/>
              <w:rPr>
                <w:rFonts w:ascii="Cambria Math" w:hAnsi="Cambria Math"/>
              </w:rPr>
              <m:t>W</m:t>
            </m:r>
            <m:ctrlPr>
              <w:rPr>
                <w:rFonts w:ascii="Cambria Math" w:hAnsi="Cambria Math"/>
              </w:rPr>
            </m:ctrlPr>
          </m:e>
          <m:sub>
            <m:r>
              <m:rPr/>
              <w:rPr>
                <w:rFonts w:ascii="Cambria Math" w:hAnsi="Cambria Math"/>
              </w:rPr>
              <m:t>i</m:t>
            </m:r>
            <m:ctrlPr>
              <w:rPr>
                <w:rFonts w:ascii="Cambria Math" w:hAnsi="Cambria Math"/>
              </w:rPr>
            </m:ctrlPr>
          </m:sub>
          <m:sup>
            <m:sSup>
              <m:sSupPr>
                <m:ctrlPr>
                  <w:rPr>
                    <w:rFonts w:ascii="Cambria Math" w:hAnsi="Cambria Math"/>
                  </w:rPr>
                </m:ctrlPr>
              </m:sSupPr>
              <m:e>
                <m:r>
                  <m:rPr>
                    <m:sty m:val="p"/>
                  </m:rPr>
                  <w:rPr>
                    <w:rFonts w:ascii="Cambria Math" w:hAnsi="Cambria Math"/>
                  </w:rPr>
                  <m:t>2</m:t>
                </m:r>
                <m:ctrlPr>
                  <w:rPr>
                    <w:rFonts w:ascii="Cambria Math" w:hAnsi="Cambria Math"/>
                  </w:rPr>
                </m:ctrlPr>
              </m:e>
              <m:sup>
                <m:r>
                  <m:rPr>
                    <m:sty m:val="p"/>
                  </m:rPr>
                  <w:rPr>
                    <w:rFonts w:ascii="Cambria Math" w:hAnsi="Cambria Math"/>
                  </w:rPr>
                  <m:t>'</m:t>
                </m:r>
                <m:ctrlPr>
                  <w:rPr>
                    <w:rFonts w:ascii="Cambria Math" w:hAnsi="Cambria Math"/>
                  </w:rPr>
                </m:ctrlPr>
              </m:sup>
            </m:sSup>
            <m:ctrlPr>
              <w:rPr>
                <w:rFonts w:ascii="Cambria Math" w:hAnsi="Cambria Math"/>
              </w:rPr>
            </m:ctrlPr>
          </m:sup>
        </m:sSubSup>
      </m:oMath>
      <w:r>
        <w:rPr>
          <w:rFonts w:ascii="Times New Roman"/>
        </w:rPr>
        <w:t>——第</w:t>
      </w:r>
      <m:oMath>
        <m:r>
          <m:rPr/>
          <w:rPr>
            <w:rFonts w:ascii="Cambria Math" w:hAnsi="Cambria Math"/>
          </w:rPr>
          <m:t>i</m:t>
        </m:r>
      </m:oMath>
      <w:r>
        <w:rPr>
          <w:rFonts w:ascii="Times New Roman"/>
        </w:rPr>
        <w:t>个一级指标下二级指标评价向量；</w:t>
      </w:r>
    </w:p>
    <w:p>
      <w:pPr>
        <w:pStyle w:val="230"/>
        <w:ind w:firstLine="420"/>
        <w:rPr>
          <w:rFonts w:ascii="Times New Roman"/>
        </w:rPr>
      </w:pPr>
      <m:oMath>
        <m:sSup>
          <m:sSupPr>
            <m:ctrlPr>
              <w:rPr>
                <w:rFonts w:ascii="Cambria Math" w:hAnsi="Cambria Math"/>
              </w:rPr>
            </m:ctrlPr>
          </m:sSupPr>
          <m:e>
            <m:sSub>
              <m:sSubPr>
                <m:ctrlPr>
                  <w:rPr>
                    <w:rFonts w:ascii="Cambria Math" w:hAnsi="Cambria Math"/>
                  </w:rPr>
                </m:ctrlPr>
              </m:sSubPr>
              <m:e>
                <m:r>
                  <m:rPr/>
                  <w:rPr>
                    <w:rFonts w:ascii="Cambria Math" w:hAnsi="Cambria Math"/>
                  </w:rPr>
                  <m:t>w</m:t>
                </m:r>
                <m:ctrlPr>
                  <w:rPr>
                    <w:rFonts w:ascii="Cambria Math" w:hAnsi="Cambria Math"/>
                  </w:rPr>
                </m:ctrlPr>
              </m:e>
              <m:sub>
                <m:r>
                  <m:rPr/>
                  <w:rPr>
                    <w:rFonts w:ascii="Cambria Math" w:hAnsi="Cambria Math"/>
                  </w:rPr>
                  <m:t>j</m:t>
                </m:r>
                <m:ctrlPr>
                  <w:rPr>
                    <w:rFonts w:ascii="Cambria Math" w:hAnsi="Cambria Math"/>
                  </w:rPr>
                </m:ctrlPr>
              </m:sub>
            </m:sSub>
            <m:ctrlPr>
              <w:rPr>
                <w:rFonts w:ascii="Cambria Math" w:hAnsi="Cambria Math"/>
              </w:rPr>
            </m:ctrlPr>
          </m:e>
          <m:sup>
            <m:sSup>
              <m:sSupPr>
                <m:ctrlPr>
                  <w:rPr>
                    <w:rFonts w:ascii="Cambria Math" w:hAnsi="Cambria Math"/>
                  </w:rPr>
                </m:ctrlPr>
              </m:sSupPr>
              <m:e>
                <m:r>
                  <m:rPr>
                    <m:sty m:val="p"/>
                  </m:rPr>
                  <w:rPr>
                    <w:rFonts w:ascii="Cambria Math" w:hAnsi="Cambria Math"/>
                  </w:rPr>
                  <m:t>2</m:t>
                </m:r>
                <m:ctrlPr>
                  <w:rPr>
                    <w:rFonts w:ascii="Cambria Math" w:hAnsi="Cambria Math"/>
                  </w:rPr>
                </m:ctrlPr>
              </m:e>
              <m:sup>
                <m:r>
                  <m:rPr>
                    <m:sty m:val="p"/>
                  </m:rPr>
                  <w:rPr>
                    <w:rFonts w:ascii="Cambria Math" w:hAnsi="Cambria Math"/>
                  </w:rPr>
                  <m:t>'</m:t>
                </m:r>
                <m:ctrlPr>
                  <w:rPr>
                    <w:rFonts w:ascii="Cambria Math" w:hAnsi="Cambria Math"/>
                  </w:rPr>
                </m:ctrlPr>
              </m:sup>
            </m:sSup>
            <m:ctrlPr>
              <w:rPr>
                <w:rFonts w:ascii="Cambria Math" w:hAnsi="Cambria Math"/>
              </w:rPr>
            </m:ctrlPr>
          </m:sup>
        </m:sSup>
      </m:oMath>
      <w:r>
        <w:rPr>
          <w:rFonts w:ascii="Times New Roman"/>
        </w:rPr>
        <w:t>——第</w:t>
      </w:r>
      <m:oMath>
        <m:r>
          <m:rPr/>
          <w:rPr>
            <w:rFonts w:ascii="Cambria Math" w:hAnsi="Cambria Math"/>
          </w:rPr>
          <m:t>j</m:t>
        </m:r>
      </m:oMath>
      <w:r>
        <w:rPr>
          <w:rFonts w:ascii="Times New Roman"/>
        </w:rPr>
        <w:t>个二级评价指标的实际权重。</w:t>
      </w:r>
    </w:p>
    <w:p>
      <w:pPr>
        <w:pStyle w:val="230"/>
        <w:ind w:firstLine="420"/>
        <w:rPr>
          <w:rFonts w:ascii="Times New Roman"/>
        </w:rPr>
      </w:pPr>
      <w:r>
        <w:rPr>
          <w:rFonts w:ascii="Times New Roman"/>
        </w:rPr>
        <w:t>d）综合评价得分：对所有指标的权重（每个指标因子对应的最终权重由前面多级权重逐级相乘得到）和得分进行逐层计算再累加即为评价场地的综合评价得分，可按（1，0.5，0）或（0.9，0.7，0.5，0.3，0.2，0.1）赋值打分。计算见公式（4）：</w:t>
      </w:r>
    </w:p>
    <w:p>
      <w:pPr>
        <w:pStyle w:val="230"/>
        <w:keepNext w:val="0"/>
        <w:keepLines w:val="0"/>
        <w:pageBreakBefore w:val="0"/>
        <w:widowControl/>
        <w:tabs>
          <w:tab w:val="decimal" w:pos="6720"/>
        </w:tabs>
        <w:kinsoku/>
        <w:wordWrap/>
        <w:overflowPunct/>
        <w:topLinePunct w:val="0"/>
        <w:autoSpaceDE w:val="0"/>
        <w:autoSpaceDN w:val="0"/>
        <w:bidi w:val="0"/>
        <w:adjustRightInd/>
        <w:snapToGrid/>
        <w:ind w:firstLine="420"/>
        <w:jc w:val="right"/>
        <w:textAlignment w:val="auto"/>
        <w:rPr>
          <w:rFonts w:hint="eastAsia" w:ascii="Times New Roman" w:eastAsia="宋体"/>
          <w:lang w:val="en-US" w:eastAsia="zh-CN"/>
        </w:rPr>
      </w:pPr>
      <m:oMath>
        <m:eqArr>
          <m:eqArrPr>
            <m:maxDist m:val="1"/>
            <m:ctrlPr>
              <w:rPr>
                <w:rFonts w:ascii="Cambria Math" w:hAnsi="Cambria Math"/>
              </w:rPr>
            </m:ctrlPr>
          </m:eqArrPr>
          <m:e>
            <m:r>
              <m:rPr/>
              <w:rPr>
                <w:rFonts w:ascii="Cambria Math" w:hAnsi="Cambria Math"/>
              </w:rPr>
              <m:t>P</m:t>
            </m:r>
            <m:r>
              <m:rPr>
                <m:sty m:val="p"/>
              </m:rPr>
              <w:rPr>
                <w:rFonts w:ascii="Cambria Math" w:hAnsi="Cambria Math"/>
              </w:rPr>
              <m:t>=</m:t>
            </m:r>
            <m:nary>
              <m:naryPr>
                <m:chr m:val="∑"/>
                <m:limLoc m:val="undOvr"/>
                <m:ctrlPr>
                  <w:rPr>
                    <w:rFonts w:ascii="Cambria Math" w:hAnsi="Cambria Math"/>
                  </w:rPr>
                </m:ctrlPr>
              </m:naryPr>
              <m:sub>
                <m:r>
                  <m:rPr/>
                  <w:rPr>
                    <w:rFonts w:ascii="Cambria Math" w:hAnsi="Cambria Math"/>
                  </w:rPr>
                  <m:t>j</m:t>
                </m:r>
                <m:r>
                  <m:rPr>
                    <m:sty m:val="p"/>
                  </m:rPr>
                  <w:rPr>
                    <w:rFonts w:ascii="Cambria Math" w:hAnsi="Cambria Math"/>
                  </w:rPr>
                  <m:t>=1</m:t>
                </m:r>
                <m:ctrlPr>
                  <w:rPr>
                    <w:rFonts w:ascii="Cambria Math" w:hAnsi="Cambria Math"/>
                  </w:rPr>
                </m:ctrlPr>
              </m:sub>
              <m:sup>
                <m:r>
                  <m:rPr/>
                  <w:rPr>
                    <w:rFonts w:ascii="Cambria Math" w:hAnsi="Cambria Math"/>
                  </w:rPr>
                  <m:t>n</m:t>
                </m:r>
                <m:ctrlPr>
                  <w:rPr>
                    <w:rFonts w:ascii="Cambria Math" w:hAnsi="Cambria Math"/>
                  </w:rPr>
                </m:ctrlPr>
              </m:sup>
              <m:e>
                <m:sSub>
                  <m:sSubPr>
                    <m:ctrlPr>
                      <w:rPr>
                        <w:rFonts w:ascii="Cambria Math" w:hAnsi="Cambria Math"/>
                      </w:rPr>
                    </m:ctrlPr>
                  </m:sSubPr>
                  <m:e>
                    <m:r>
                      <m:rPr/>
                      <w:rPr>
                        <w:rFonts w:ascii="Cambria Math" w:hAnsi="Cambria Math"/>
                      </w:rPr>
                      <m:t>p</m:t>
                    </m:r>
                    <m:ctrlPr>
                      <w:rPr>
                        <w:rFonts w:ascii="Cambria Math" w:hAnsi="Cambria Math"/>
                      </w:rPr>
                    </m:ctrlPr>
                  </m:e>
                  <m:sub>
                    <m:r>
                      <m:rPr/>
                      <w:rPr>
                        <w:rFonts w:ascii="Cambria Math" w:hAnsi="Cambria Math"/>
                      </w:rPr>
                      <m:t>j</m:t>
                    </m:r>
                    <m:ctrlPr>
                      <w:rPr>
                        <w:rFonts w:ascii="Cambria Math" w:hAnsi="Cambria Math"/>
                      </w:rPr>
                    </m:ctrlPr>
                  </m:sub>
                </m:sSub>
                <m:sSup>
                  <m:sSupPr>
                    <m:ctrlPr>
                      <w:rPr>
                        <w:rFonts w:ascii="Cambria Math" w:hAnsi="Cambria Math"/>
                      </w:rPr>
                    </m:ctrlPr>
                  </m:sSupPr>
                  <m:e>
                    <m:sSub>
                      <m:sSubPr>
                        <m:ctrlPr>
                          <w:rPr>
                            <w:rFonts w:ascii="Cambria Math" w:hAnsi="Cambria Math"/>
                          </w:rPr>
                        </m:ctrlPr>
                      </m:sSubPr>
                      <m:e>
                        <m:r>
                          <m:rPr/>
                          <w:rPr>
                            <w:rFonts w:ascii="Cambria Math" w:hAnsi="Cambria Math"/>
                          </w:rPr>
                          <m:t>w</m:t>
                        </m:r>
                        <m:ctrlPr>
                          <w:rPr>
                            <w:rFonts w:ascii="Cambria Math" w:hAnsi="Cambria Math"/>
                          </w:rPr>
                        </m:ctrlPr>
                      </m:e>
                      <m:sub>
                        <m:r>
                          <m:rPr/>
                          <w:rPr>
                            <w:rFonts w:ascii="Cambria Math" w:hAnsi="Cambria Math"/>
                          </w:rPr>
                          <m:t>j</m:t>
                        </m:r>
                        <m:ctrlPr>
                          <w:rPr>
                            <w:rFonts w:ascii="Cambria Math" w:hAnsi="Cambria Math"/>
                          </w:rPr>
                        </m:ctrlPr>
                      </m:sub>
                    </m:sSub>
                    <m:ctrlPr>
                      <w:rPr>
                        <w:rFonts w:ascii="Cambria Math" w:hAnsi="Cambria Math"/>
                      </w:rPr>
                    </m:ctrlPr>
                  </m:e>
                  <m:sup>
                    <m:sSup>
                      <m:sSupPr>
                        <m:ctrlPr>
                          <w:rPr>
                            <w:rFonts w:ascii="Cambria Math" w:hAnsi="Cambria Math"/>
                          </w:rPr>
                        </m:ctrlPr>
                      </m:sSupPr>
                      <m:e>
                        <m:r>
                          <m:rPr>
                            <m:sty m:val="p"/>
                          </m:rPr>
                          <w:rPr>
                            <w:rFonts w:ascii="Cambria Math" w:hAnsi="Cambria Math"/>
                          </w:rPr>
                          <m:t>2</m:t>
                        </m:r>
                        <m:ctrlPr>
                          <w:rPr>
                            <w:rFonts w:ascii="Cambria Math" w:hAnsi="Cambria Math"/>
                          </w:rPr>
                        </m:ctrlPr>
                      </m:e>
                      <m:sup>
                        <m:r>
                          <m:rPr>
                            <m:sty m:val="p"/>
                          </m:rPr>
                          <w:rPr>
                            <w:rFonts w:ascii="Cambria Math" w:hAnsi="Cambria Math"/>
                          </w:rPr>
                          <m:t>'</m:t>
                        </m:r>
                        <m:ctrlPr>
                          <w:rPr>
                            <w:rFonts w:ascii="Cambria Math" w:hAnsi="Cambria Math"/>
                          </w:rPr>
                        </m:ctrlPr>
                      </m:sup>
                    </m:sSup>
                    <m:ctrlPr>
                      <w:rPr>
                        <w:rFonts w:ascii="Cambria Math" w:hAnsi="Cambria Math"/>
                      </w:rPr>
                    </m:ctrlPr>
                  </m:sup>
                </m:sSup>
                <m:ctrlPr>
                  <w:rPr>
                    <w:rFonts w:ascii="Cambria Math" w:hAnsi="Cambria Math"/>
                  </w:rPr>
                </m:ctrlPr>
              </m:e>
            </m:nary>
            <m:ctrlPr>
              <w:rPr>
                <w:rFonts w:ascii="Cambria Math" w:hAnsi="Cambria Math"/>
              </w:rPr>
            </m:ctrlPr>
          </m:e>
        </m:eqArr>
      </m:oMath>
      <w:r>
        <w:rPr>
          <w:rFonts w:hint="eastAsia" w:hAnsi="Cambria Math"/>
          <w:i w:val="0"/>
          <w:lang w:val="en-US" w:eastAsia="zh-CN"/>
        </w:rPr>
        <w:tab/>
      </w:r>
      <w:r>
        <w:rPr>
          <w:rFonts w:hint="default" w:ascii="Times New Roman" w:hAnsi="Times New Roman" w:cs="Times New Roman"/>
          <w:i w:val="0"/>
          <w:lang w:val="en-US" w:eastAsia="zh-CN"/>
        </w:rPr>
        <w:t>（4）</w:t>
      </w:r>
    </w:p>
    <w:p>
      <w:pPr>
        <w:pStyle w:val="230"/>
        <w:ind w:firstLine="420"/>
        <w:rPr>
          <w:rFonts w:ascii="Times New Roman"/>
        </w:rPr>
      </w:pPr>
      <w:r>
        <w:rPr>
          <w:rFonts w:ascii="Times New Roman"/>
        </w:rPr>
        <w:t>式中：</w:t>
      </w:r>
    </w:p>
    <w:p>
      <w:pPr>
        <w:pStyle w:val="230"/>
        <w:ind w:firstLine="420"/>
        <w:rPr>
          <w:rFonts w:ascii="Times New Roman"/>
        </w:rPr>
      </w:pPr>
      <m:oMath>
        <m:r>
          <m:rPr/>
          <w:rPr>
            <w:rFonts w:ascii="Cambria Math" w:hAnsi="Cambria Math"/>
          </w:rPr>
          <m:t>P</m:t>
        </m:r>
      </m:oMath>
      <w:r>
        <w:rPr>
          <w:rFonts w:ascii="Times New Roman"/>
        </w:rPr>
        <w:t>——场地总得分；</w:t>
      </w:r>
    </w:p>
    <w:p>
      <w:pPr>
        <w:pStyle w:val="230"/>
        <w:ind w:firstLine="420"/>
        <w:rPr>
          <w:rFonts w:ascii="Times New Roman"/>
        </w:rPr>
      </w:pPr>
      <m:oMath>
        <m:sSub>
          <m:sSubPr>
            <m:ctrlPr>
              <w:rPr>
                <w:rFonts w:ascii="Cambria Math" w:hAnsi="Cambria Math"/>
              </w:rPr>
            </m:ctrlPr>
          </m:sSubPr>
          <m:e>
            <m:r>
              <m:rPr/>
              <w:rPr>
                <w:rFonts w:ascii="Cambria Math" w:hAnsi="Cambria Math"/>
              </w:rPr>
              <m:t>p</m:t>
            </m:r>
            <m:ctrlPr>
              <w:rPr>
                <w:rFonts w:ascii="Cambria Math" w:hAnsi="Cambria Math"/>
              </w:rPr>
            </m:ctrlPr>
          </m:e>
          <m:sub>
            <m:r>
              <m:rPr/>
              <w:rPr>
                <w:rFonts w:ascii="Cambria Math" w:hAnsi="Cambria Math"/>
              </w:rPr>
              <m:t>j</m:t>
            </m:r>
            <m:ctrlPr>
              <w:rPr>
                <w:rFonts w:ascii="Cambria Math" w:hAnsi="Cambria Math"/>
              </w:rPr>
            </m:ctrlPr>
          </m:sub>
        </m:sSub>
      </m:oMath>
      <w:r>
        <w:rPr>
          <w:rFonts w:ascii="Times New Roman"/>
        </w:rPr>
        <w:t>——第</w:t>
      </w:r>
      <m:oMath>
        <m:r>
          <m:rPr/>
          <w:rPr>
            <w:rFonts w:ascii="Cambria Math" w:hAnsi="Cambria Math"/>
          </w:rPr>
          <m:t>j</m:t>
        </m:r>
      </m:oMath>
      <w:r>
        <w:rPr>
          <w:rFonts w:ascii="Times New Roman"/>
        </w:rPr>
        <w:t>个二级评价指标的评价得分。</w:t>
      </w:r>
    </w:p>
    <w:p>
      <w:pPr>
        <w:pStyle w:val="230"/>
        <w:ind w:firstLine="420"/>
        <w:rPr>
          <w:rFonts w:ascii="Times New Roman"/>
        </w:rPr>
      </w:pPr>
      <w:r>
        <w:rPr>
          <w:rFonts w:ascii="Times New Roman"/>
        </w:rPr>
        <w:t>e）确定评语集：获得综合评价得分后，对封存场地适宜性进行等级分级。常采用三等级（好、一般、差）和五等级法（好、较好、一般、较差、差）划分适宜性评价等级结果。</w:t>
      </w:r>
    </w:p>
    <w:p>
      <w:pPr>
        <w:pStyle w:val="105"/>
        <w:spacing w:before="156" w:after="156"/>
        <w:rPr>
          <w:rFonts w:hint="eastAsia"/>
          <w:lang w:val="en-US" w:eastAsia="zh-CN"/>
        </w:rPr>
      </w:pPr>
      <w:r>
        <w:rPr>
          <w:rFonts w:hint="eastAsia"/>
          <w:lang w:val="en-US" w:eastAsia="zh-CN"/>
        </w:rPr>
        <w:t>模糊综合评价法</w:t>
      </w:r>
    </w:p>
    <w:p>
      <w:pPr>
        <w:spacing w:line="240" w:lineRule="auto"/>
        <w:ind w:firstLine="420"/>
        <w:rPr>
          <w:rFonts w:ascii="Times New Roman" w:hAnsi="Times New Roman" w:cs="Times New Roman"/>
          <w:color w:val="auto"/>
          <w:kern w:val="0"/>
          <w:szCs w:val="20"/>
        </w:rPr>
      </w:pPr>
      <w:r>
        <w:rPr>
          <w:rFonts w:ascii="Times New Roman" w:hAnsi="Times New Roman" w:cs="Times New Roman"/>
          <w:color w:val="auto"/>
          <w:kern w:val="0"/>
          <w:szCs w:val="20"/>
        </w:rPr>
        <w:t>模糊综合评价法是一种基于模糊数学，应用模糊数学隶属度理论将定性评价转化为定量评价的综合评价方法，即对受多种因素制约的对象事物进行总体评价。通过模糊综合评判得到的结果为向量形式的综合评判集，即评语集在其论域上的子集，包含丰富的信息量。这一方法具有结果清晰，系统性强的特点，能有效解决指标判断的模糊性和不确定性问题，适合各种非确定性问题的解决。</w:t>
      </w:r>
    </w:p>
    <w:p>
      <w:pPr>
        <w:spacing w:line="240" w:lineRule="auto"/>
        <w:ind w:firstLine="420"/>
        <w:rPr>
          <w:rFonts w:ascii="Times New Roman" w:hAnsi="Times New Roman" w:cs="Times New Roman"/>
          <w:color w:val="auto"/>
          <w:kern w:val="0"/>
          <w:szCs w:val="20"/>
        </w:rPr>
      </w:pPr>
      <w:r>
        <w:rPr>
          <w:rFonts w:ascii="Times New Roman" w:hAnsi="Times New Roman" w:cs="Times New Roman"/>
          <w:color w:val="auto"/>
          <w:kern w:val="0"/>
          <w:szCs w:val="20"/>
        </w:rPr>
        <w:t>模糊综合评价法的一般步骤包括:</w:t>
      </w:r>
    </w:p>
    <w:p>
      <w:pPr>
        <w:spacing w:line="240" w:lineRule="auto"/>
        <w:ind w:firstLine="420"/>
        <w:rPr>
          <w:rFonts w:ascii="Times New Roman" w:hAnsi="Times New Roman" w:cs="Times New Roman"/>
          <w:color w:val="auto"/>
          <w:kern w:val="0"/>
          <w:szCs w:val="20"/>
        </w:rPr>
      </w:pPr>
      <w:r>
        <w:rPr>
          <w:rFonts w:ascii="Times New Roman" w:hAnsi="Times New Roman" w:cs="Times New Roman"/>
          <w:color w:val="auto"/>
          <w:kern w:val="0"/>
          <w:szCs w:val="20"/>
        </w:rPr>
        <w:t>a）确定评判对象：目标场地CO</w:t>
      </w:r>
      <w:r>
        <w:rPr>
          <w:rFonts w:ascii="Times New Roman" w:hAnsi="Times New Roman" w:cs="Times New Roman"/>
          <w:color w:val="auto"/>
          <w:kern w:val="0"/>
          <w:szCs w:val="20"/>
          <w:vertAlign w:val="subscript"/>
        </w:rPr>
        <w:t>2</w:t>
      </w:r>
      <w:r>
        <w:rPr>
          <w:rFonts w:ascii="Times New Roman" w:hAnsi="Times New Roman" w:cs="Times New Roman"/>
          <w:color w:val="auto"/>
          <w:kern w:val="0"/>
          <w:szCs w:val="20"/>
        </w:rPr>
        <w:t>地质储存适宜性。</w:t>
      </w:r>
    </w:p>
    <w:p>
      <w:pPr>
        <w:spacing w:line="240" w:lineRule="auto"/>
        <w:ind w:firstLine="420"/>
        <w:rPr>
          <w:rFonts w:ascii="Times New Roman" w:hAnsi="Times New Roman" w:cs="Times New Roman"/>
          <w:color w:val="auto"/>
          <w:kern w:val="0"/>
          <w:szCs w:val="20"/>
        </w:rPr>
      </w:pPr>
      <w:r>
        <w:rPr>
          <w:rFonts w:ascii="Times New Roman" w:hAnsi="Times New Roman" w:cs="Times New Roman"/>
          <w:color w:val="auto"/>
          <w:kern w:val="0"/>
          <w:szCs w:val="20"/>
        </w:rPr>
        <w:t>b）确定因子集：</w:t>
      </w:r>
    </w:p>
    <w:p>
      <w:pPr>
        <w:keepNext w:val="0"/>
        <w:keepLines w:val="0"/>
        <w:pageBreakBefore w:val="0"/>
        <w:widowControl w:val="0"/>
        <w:tabs>
          <w:tab w:val="decimal" w:pos="6720"/>
        </w:tabs>
        <w:kinsoku/>
        <w:wordWrap/>
        <w:overflowPunct/>
        <w:topLinePunct w:val="0"/>
        <w:autoSpaceDE/>
        <w:autoSpaceDN/>
        <w:bidi w:val="0"/>
        <w:adjustRightInd w:val="0"/>
        <w:snapToGrid/>
        <w:spacing w:line="240" w:lineRule="auto"/>
        <w:ind w:firstLine="420"/>
        <w:jc w:val="right"/>
        <w:textAlignment w:val="auto"/>
        <w:rPr>
          <w:rFonts w:hint="eastAsia" w:ascii="Times New Roman" w:hAnsi="Times New Roman" w:eastAsia="宋体" w:cs="Times New Roman"/>
          <w:color w:val="auto"/>
          <w:kern w:val="0"/>
          <w:szCs w:val="20"/>
          <w:lang w:eastAsia="zh-CN"/>
        </w:rPr>
      </w:pPr>
      <m:oMath>
        <m:eqArr>
          <m:eqArrPr>
            <m:maxDist m:val="1"/>
            <m:ctrlPr>
              <w:rPr>
                <w:rFonts w:ascii="Cambria Math" w:hAnsi="Cambria Math" w:cs="Times New Roman"/>
                <w:color w:val="auto"/>
                <w:kern w:val="0"/>
                <w:szCs w:val="20"/>
              </w:rPr>
            </m:ctrlPr>
          </m:eqArrPr>
          <m:e>
            <m:r>
              <m:rPr/>
              <w:rPr>
                <w:rFonts w:ascii="Cambria Math" w:hAnsi="Cambria Math" w:cs="Times New Roman"/>
                <w:color w:val="auto"/>
                <w:kern w:val="0"/>
                <w:szCs w:val="20"/>
              </w:rPr>
              <m:t>F</m:t>
            </m:r>
            <m:r>
              <m:rPr>
                <m:sty m:val="p"/>
              </m:rPr>
              <w:rPr>
                <w:rFonts w:ascii="Cambria Math" w:hAnsi="Cambria Math" w:cs="Times New Roman"/>
                <w:color w:val="auto"/>
                <w:kern w:val="0"/>
                <w:szCs w:val="20"/>
              </w:rPr>
              <m:t>=</m:t>
            </m:r>
            <m:d>
              <m:dPr>
                <m:begChr m:val="{"/>
                <m:endChr m:val="}"/>
                <m:ctrlPr>
                  <w:rPr>
                    <w:rFonts w:ascii="Cambria Math" w:hAnsi="Cambria Math" w:cs="Times New Roman"/>
                    <w:color w:val="auto"/>
                    <w:kern w:val="0"/>
                    <w:szCs w:val="20"/>
                  </w:rPr>
                </m:ctrlPr>
              </m:dPr>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f</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1</m:t>
                    </m:r>
                    <m:ctrlPr>
                      <w:rPr>
                        <w:rFonts w:ascii="Cambria Math" w:hAnsi="Cambria Math" w:cs="Times New Roman"/>
                        <w:color w:val="auto"/>
                        <w:kern w:val="0"/>
                        <w:szCs w:val="20"/>
                      </w:rPr>
                    </m:ctrlPr>
                  </m:sub>
                </m:sSub>
                <m:r>
                  <m:rPr>
                    <m:sty m:val="p"/>
                  </m:rPr>
                  <w:rPr>
                    <w:rFonts w:ascii="Cambria Math" w:hAnsi="Cambria Math" w:cs="Times New Roman"/>
                    <w:color w:val="auto"/>
                    <w:kern w:val="0"/>
                    <w:szCs w:val="20"/>
                  </w:rPr>
                  <m:t xml:space="preserve">, </m:t>
                </m:r>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f</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2</m:t>
                    </m:r>
                    <m:ctrlPr>
                      <w:rPr>
                        <w:rFonts w:ascii="Cambria Math" w:hAnsi="Cambria Math" w:cs="Times New Roman"/>
                        <w:color w:val="auto"/>
                        <w:kern w:val="0"/>
                        <w:szCs w:val="20"/>
                      </w:rPr>
                    </m:ctrlPr>
                  </m:sub>
                </m:sSub>
                <m:r>
                  <m:rPr>
                    <m:sty m:val="p"/>
                  </m:rPr>
                  <w:rPr>
                    <w:rFonts w:ascii="Cambria Math" w:hAnsi="Cambria Math" w:cs="Times New Roman"/>
                    <w:color w:val="auto"/>
                    <w:kern w:val="0"/>
                    <w:szCs w:val="20"/>
                  </w:rPr>
                  <m:t xml:space="preserve">, ···, </m:t>
                </m:r>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f</m:t>
                    </m:r>
                    <m:ctrlPr>
                      <w:rPr>
                        <w:rFonts w:ascii="Cambria Math" w:hAnsi="Cambria Math" w:cs="Times New Roman"/>
                        <w:color w:val="auto"/>
                        <w:kern w:val="0"/>
                        <w:szCs w:val="20"/>
                      </w:rPr>
                    </m:ctrlPr>
                  </m:e>
                  <m:sub>
                    <m:r>
                      <m:rPr/>
                      <w:rPr>
                        <w:rFonts w:ascii="Cambria Math" w:hAnsi="Cambria Math" w:cs="Times New Roman"/>
                        <w:color w:val="auto"/>
                        <w:kern w:val="0"/>
                        <w:szCs w:val="20"/>
                      </w:rPr>
                      <m:t>n</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d>
            <m:ctrlPr>
              <w:rPr>
                <w:rFonts w:ascii="Cambria Math" w:hAnsi="Cambria Math" w:cs="Times New Roman"/>
                <w:color w:val="auto"/>
                <w:kern w:val="0"/>
                <w:szCs w:val="20"/>
              </w:rPr>
            </m:ctrlPr>
          </m:e>
        </m:eqArr>
      </m:oMath>
      <w:r>
        <w:rPr>
          <w:rFonts w:hint="eastAsia" w:hAnsi="Cambria Math" w:cs="Times New Roman"/>
          <w:i w:val="0"/>
          <w:color w:val="auto"/>
          <w:kern w:val="0"/>
          <w:szCs w:val="20"/>
          <w:lang w:val="en-US" w:eastAsia="zh-CN"/>
        </w:rPr>
        <w:tab/>
      </w:r>
      <w:r>
        <w:rPr>
          <w:rFonts w:hint="default" w:ascii="Times New Roman" w:hAnsi="Times New Roman" w:cs="Times New Roman"/>
          <w:i w:val="0"/>
          <w:color w:val="auto"/>
          <w:kern w:val="0"/>
          <w:szCs w:val="20"/>
          <w:lang w:eastAsia="zh-CN"/>
        </w:rPr>
        <w:t>（</w:t>
      </w:r>
      <w:r>
        <w:rPr>
          <w:rFonts w:hint="default" w:ascii="Times New Roman" w:hAnsi="Times New Roman" w:cs="Times New Roman"/>
          <w:i w:val="0"/>
          <w:color w:val="auto"/>
          <w:kern w:val="0"/>
          <w:szCs w:val="20"/>
          <w:lang w:val="en-US" w:eastAsia="zh-CN"/>
        </w:rPr>
        <w:t>5</w:t>
      </w:r>
      <w:r>
        <w:rPr>
          <w:rFonts w:hint="default" w:ascii="Times New Roman" w:hAnsi="Times New Roman" w:cs="Times New Roman"/>
          <w:i w:val="0"/>
          <w:color w:val="auto"/>
          <w:kern w:val="0"/>
          <w:szCs w:val="20"/>
          <w:lang w:eastAsia="zh-CN"/>
        </w:rPr>
        <w:t>）</w:t>
      </w:r>
    </w:p>
    <w:p>
      <w:pPr>
        <w:spacing w:line="240" w:lineRule="auto"/>
        <w:ind w:firstLine="420"/>
        <w:rPr>
          <w:rFonts w:ascii="Times New Roman" w:hAnsi="Times New Roman" w:cs="Times New Roman"/>
          <w:color w:val="auto"/>
          <w:kern w:val="0"/>
          <w:szCs w:val="20"/>
        </w:rPr>
      </w:pPr>
      <w:r>
        <w:rPr>
          <w:rFonts w:ascii="Times New Roman" w:hAnsi="Times New Roman" w:cs="Times New Roman"/>
          <w:color w:val="auto"/>
          <w:kern w:val="0"/>
          <w:szCs w:val="20"/>
        </w:rPr>
        <w:t>式中：</w:t>
      </w:r>
    </w:p>
    <w:p>
      <w:pPr>
        <w:spacing w:line="240" w:lineRule="auto"/>
        <w:ind w:firstLine="420"/>
        <w:rPr>
          <w:rFonts w:ascii="Times New Roman" w:hAnsi="Times New Roman" w:cs="Times New Roman"/>
          <w:color w:val="auto"/>
          <w:kern w:val="0"/>
          <w:szCs w:val="20"/>
        </w:rPr>
      </w:pPr>
      <m:oMath>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f</m:t>
            </m:r>
            <m:ctrlPr>
              <w:rPr>
                <w:rFonts w:ascii="Cambria Math" w:hAnsi="Cambria Math" w:cs="Times New Roman"/>
                <w:color w:val="auto"/>
                <w:kern w:val="0"/>
                <w:szCs w:val="20"/>
              </w:rPr>
            </m:ctrlPr>
          </m:e>
          <m:sub>
            <m:r>
              <m:rPr/>
              <w:rPr>
                <w:rFonts w:ascii="Cambria Math" w:hAnsi="Cambria Math" w:cs="Times New Roman"/>
                <w:color w:val="auto"/>
                <w:kern w:val="0"/>
                <w:szCs w:val="20"/>
              </w:rPr>
              <m:t>n</m:t>
            </m:r>
            <m:ctrlPr>
              <w:rPr>
                <w:rFonts w:ascii="Cambria Math" w:hAnsi="Cambria Math" w:cs="Times New Roman"/>
                <w:color w:val="auto"/>
                <w:kern w:val="0"/>
                <w:szCs w:val="20"/>
              </w:rPr>
            </m:ctrlPr>
          </m:sub>
        </m:sSub>
      </m:oMath>
      <w:r>
        <w:rPr>
          <w:rFonts w:ascii="Times New Roman" w:hAnsi="Times New Roman" w:cs="Times New Roman"/>
          <w:color w:val="auto"/>
          <w:kern w:val="0"/>
          <w:szCs w:val="20"/>
        </w:rPr>
        <w:t>——选取的第</w:t>
      </w:r>
      <m:oMath>
        <m:r>
          <m:rPr/>
          <w:rPr>
            <w:rFonts w:ascii="Cambria Math" w:hAnsi="Cambria Math" w:cs="Times New Roman"/>
            <w:color w:val="auto"/>
            <w:kern w:val="0"/>
            <w:szCs w:val="20"/>
          </w:rPr>
          <m:t>n</m:t>
        </m:r>
      </m:oMath>
      <w:r>
        <w:rPr>
          <w:rFonts w:ascii="Times New Roman" w:hAnsi="Times New Roman" w:cs="Times New Roman"/>
          <w:color w:val="auto"/>
          <w:kern w:val="0"/>
          <w:szCs w:val="20"/>
        </w:rPr>
        <w:t>个评价指标。</w:t>
      </w:r>
    </w:p>
    <w:p>
      <w:pPr>
        <w:spacing w:line="240" w:lineRule="auto"/>
        <w:ind w:firstLine="420"/>
        <w:rPr>
          <w:rFonts w:ascii="Times New Roman" w:hAnsi="Times New Roman" w:cs="Times New Roman"/>
          <w:color w:val="auto"/>
          <w:kern w:val="0"/>
          <w:szCs w:val="20"/>
        </w:rPr>
      </w:pPr>
      <w:r>
        <w:rPr>
          <w:rFonts w:ascii="Times New Roman" w:hAnsi="Times New Roman" w:cs="Times New Roman"/>
          <w:color w:val="auto"/>
          <w:kern w:val="0"/>
          <w:szCs w:val="20"/>
        </w:rPr>
        <w:t>c）确定评语集：即对评价对象所作的评语的集合：</w:t>
      </w:r>
    </w:p>
    <w:p>
      <w:pPr>
        <w:keepNext w:val="0"/>
        <w:keepLines w:val="0"/>
        <w:pageBreakBefore w:val="0"/>
        <w:widowControl w:val="0"/>
        <w:tabs>
          <w:tab w:val="decimal" w:pos="6720"/>
        </w:tabs>
        <w:kinsoku/>
        <w:wordWrap/>
        <w:overflowPunct/>
        <w:topLinePunct w:val="0"/>
        <w:autoSpaceDE/>
        <w:autoSpaceDN/>
        <w:bidi w:val="0"/>
        <w:adjustRightInd w:val="0"/>
        <w:snapToGrid/>
        <w:spacing w:line="240" w:lineRule="auto"/>
        <w:ind w:firstLine="420"/>
        <w:jc w:val="right"/>
        <w:textAlignment w:val="auto"/>
        <w:rPr>
          <w:rFonts w:hint="eastAsia" w:ascii="Times New Roman" w:hAnsi="Times New Roman" w:cs="Times New Roman"/>
          <w:color w:val="auto"/>
          <w:kern w:val="0"/>
          <w:szCs w:val="20"/>
          <w:lang w:val="en-US" w:eastAsia="zh-CN"/>
        </w:rPr>
      </w:pPr>
      <m:oMath>
        <m:eqArr>
          <m:eqArrPr>
            <m:maxDist m:val="1"/>
            <m:ctrlPr>
              <w:rPr>
                <w:rFonts w:ascii="Cambria Math" w:hAnsi="Cambria Math" w:cs="Times New Roman"/>
                <w:color w:val="auto"/>
                <w:kern w:val="0"/>
                <w:szCs w:val="20"/>
              </w:rPr>
            </m:ctrlPr>
          </m:eqArrPr>
          <m:e>
            <m:r>
              <m:rPr>
                <m:sty m:val="p"/>
              </m:rPr>
              <w:rPr>
                <w:rFonts w:ascii="Cambria Math" w:hAnsi="Cambria Math" w:cs="Times New Roman"/>
                <w:color w:val="auto"/>
                <w:kern w:val="0"/>
                <w:szCs w:val="20"/>
              </w:rPr>
              <m:t>V=</m:t>
            </m:r>
            <m:d>
              <m:dPr>
                <m:begChr m:val="{"/>
                <m:endChr m:val="}"/>
                <m:ctrlPr>
                  <w:rPr>
                    <w:rFonts w:ascii="Cambria Math" w:hAnsi="Cambria Math" w:cs="Times New Roman"/>
                    <w:color w:val="auto"/>
                    <w:kern w:val="0"/>
                    <w:szCs w:val="20"/>
                  </w:rPr>
                </m:ctrlPr>
              </m:dPr>
              <m:e>
                <m:sSub>
                  <m:sSubPr>
                    <m:ctrlPr>
                      <w:rPr>
                        <w:rFonts w:ascii="Cambria Math" w:hAnsi="Cambria Math" w:cs="Times New Roman"/>
                        <w:color w:val="auto"/>
                        <w:kern w:val="0"/>
                        <w:szCs w:val="20"/>
                      </w:rPr>
                    </m:ctrlPr>
                  </m:sSubPr>
                  <m:e>
                    <m:r>
                      <m:rPr>
                        <m:sty m:val="p"/>
                      </m:rPr>
                      <w:rPr>
                        <w:rFonts w:ascii="Cambria Math" w:hAnsi="Cambria Math" w:cs="Times New Roman"/>
                        <w:color w:val="auto"/>
                        <w:kern w:val="0"/>
                        <w:szCs w:val="20"/>
                      </w:rPr>
                      <m:t>v</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1</m:t>
                    </m:r>
                    <m:ctrlPr>
                      <w:rPr>
                        <w:rFonts w:ascii="Cambria Math" w:hAnsi="Cambria Math" w:cs="Times New Roman"/>
                        <w:color w:val="auto"/>
                        <w:kern w:val="0"/>
                        <w:szCs w:val="20"/>
                      </w:rPr>
                    </m:ctrlPr>
                  </m:sub>
                </m:sSub>
                <m:r>
                  <m:rPr>
                    <m:sty m:val="p"/>
                  </m:rPr>
                  <w:rPr>
                    <w:rFonts w:ascii="Cambria Math" w:hAnsi="Cambria Math" w:cs="Times New Roman"/>
                    <w:color w:val="auto"/>
                    <w:kern w:val="0"/>
                    <w:szCs w:val="20"/>
                  </w:rPr>
                  <m:t xml:space="preserve">, </m:t>
                </m:r>
                <m:sSub>
                  <m:sSubPr>
                    <m:ctrlPr>
                      <w:rPr>
                        <w:rFonts w:ascii="Cambria Math" w:hAnsi="Cambria Math" w:cs="Times New Roman"/>
                        <w:color w:val="auto"/>
                        <w:kern w:val="0"/>
                        <w:szCs w:val="20"/>
                      </w:rPr>
                    </m:ctrlPr>
                  </m:sSubPr>
                  <m:e>
                    <m:r>
                      <m:rPr>
                        <m:sty m:val="p"/>
                      </m:rPr>
                      <w:rPr>
                        <w:rFonts w:ascii="Cambria Math" w:hAnsi="Cambria Math" w:cs="Times New Roman"/>
                        <w:color w:val="auto"/>
                        <w:kern w:val="0"/>
                        <w:szCs w:val="20"/>
                      </w:rPr>
                      <m:t>v</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2</m:t>
                    </m:r>
                    <m:ctrlPr>
                      <w:rPr>
                        <w:rFonts w:ascii="Cambria Math" w:hAnsi="Cambria Math" w:cs="Times New Roman"/>
                        <w:color w:val="auto"/>
                        <w:kern w:val="0"/>
                        <w:szCs w:val="20"/>
                      </w:rPr>
                    </m:ctrlPr>
                  </m:sub>
                </m:sSub>
                <m:r>
                  <m:rPr>
                    <m:sty m:val="p"/>
                  </m:rPr>
                  <w:rPr>
                    <w:rFonts w:ascii="Cambria Math" w:hAnsi="Cambria Math" w:cs="Times New Roman"/>
                    <w:color w:val="auto"/>
                    <w:kern w:val="0"/>
                    <w:szCs w:val="20"/>
                  </w:rPr>
                  <m:t xml:space="preserve">, ···, </m:t>
                </m:r>
                <m:sSub>
                  <m:sSubPr>
                    <m:ctrlPr>
                      <w:rPr>
                        <w:rFonts w:ascii="Cambria Math" w:hAnsi="Cambria Math" w:cs="Times New Roman"/>
                        <w:color w:val="auto"/>
                        <w:kern w:val="0"/>
                        <w:szCs w:val="20"/>
                      </w:rPr>
                    </m:ctrlPr>
                  </m:sSubPr>
                  <m:e>
                    <m:r>
                      <m:rPr>
                        <m:sty m:val="p"/>
                      </m:rPr>
                      <w:rPr>
                        <w:rFonts w:ascii="Cambria Math" w:hAnsi="Cambria Math" w:cs="Times New Roman"/>
                        <w:color w:val="auto"/>
                        <w:kern w:val="0"/>
                        <w:szCs w:val="20"/>
                      </w:rPr>
                      <m:t>v</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m</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d>
            <m:ctrlPr>
              <w:rPr>
                <w:rFonts w:ascii="Cambria Math" w:hAnsi="Cambria Math" w:cs="Times New Roman"/>
                <w:color w:val="auto"/>
                <w:kern w:val="0"/>
                <w:szCs w:val="20"/>
              </w:rPr>
            </m:ctrlPr>
          </m:e>
        </m:eqArr>
      </m:oMath>
      <w:r>
        <w:rPr>
          <w:rFonts w:hint="eastAsia" w:ascii="Times New Roman" w:hAnsi="Times New Roman" w:cs="Times New Roman"/>
          <w:color w:val="auto"/>
          <w:kern w:val="0"/>
          <w:szCs w:val="20"/>
          <w:lang w:val="en-US" w:eastAsia="zh-CN"/>
        </w:rPr>
        <w:tab/>
      </w:r>
      <w:r>
        <w:rPr>
          <w:rFonts w:hint="eastAsia" w:ascii="Times New Roman" w:hAnsi="Times New Roman" w:cs="Times New Roman"/>
          <w:color w:val="auto"/>
          <w:kern w:val="0"/>
          <w:szCs w:val="20"/>
          <w:lang w:val="en-US" w:eastAsia="zh-CN"/>
        </w:rPr>
        <w:t>（6）</w:t>
      </w:r>
    </w:p>
    <w:p>
      <w:pPr>
        <w:spacing w:line="240" w:lineRule="auto"/>
        <w:ind w:firstLine="420"/>
        <w:rPr>
          <w:rFonts w:ascii="Times New Roman" w:hAnsi="Times New Roman" w:cs="Times New Roman"/>
          <w:color w:val="auto"/>
          <w:kern w:val="0"/>
          <w:szCs w:val="20"/>
        </w:rPr>
      </w:pPr>
      <w:r>
        <w:rPr>
          <w:rFonts w:ascii="Times New Roman" w:hAnsi="Times New Roman" w:cs="Times New Roman"/>
          <w:color w:val="auto"/>
          <w:kern w:val="0"/>
          <w:szCs w:val="20"/>
        </w:rPr>
        <w:t>式中：</w:t>
      </w:r>
    </w:p>
    <w:p>
      <w:pPr>
        <w:spacing w:line="240" w:lineRule="auto"/>
        <w:ind w:firstLine="420"/>
        <w:rPr>
          <w:rFonts w:ascii="Times New Roman" w:hAnsi="Times New Roman" w:cs="Times New Roman"/>
          <w:color w:val="auto"/>
          <w:kern w:val="0"/>
          <w:szCs w:val="20"/>
        </w:rPr>
      </w:pPr>
      <m:oMath>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v</m:t>
            </m:r>
            <m:ctrlPr>
              <w:rPr>
                <w:rFonts w:ascii="Cambria Math" w:hAnsi="Cambria Math" w:cs="Times New Roman"/>
                <w:color w:val="auto"/>
                <w:kern w:val="0"/>
                <w:szCs w:val="20"/>
              </w:rPr>
            </m:ctrlPr>
          </m:e>
          <m:sub>
            <m:r>
              <m:rPr/>
              <w:rPr>
                <w:rFonts w:ascii="Cambria Math" w:hAnsi="Cambria Math" w:cs="Times New Roman"/>
                <w:color w:val="auto"/>
                <w:kern w:val="0"/>
                <w:szCs w:val="20"/>
              </w:rPr>
              <m:t>m</m:t>
            </m:r>
            <m:ctrlPr>
              <w:rPr>
                <w:rFonts w:ascii="Cambria Math" w:hAnsi="Cambria Math" w:cs="Times New Roman"/>
                <w:color w:val="auto"/>
                <w:kern w:val="0"/>
                <w:szCs w:val="20"/>
              </w:rPr>
            </m:ctrlPr>
          </m:sub>
        </m:sSub>
      </m:oMath>
      <w:r>
        <w:rPr>
          <w:rFonts w:ascii="Times New Roman" w:hAnsi="Times New Roman" w:cs="Times New Roman"/>
          <w:color w:val="auto"/>
          <w:kern w:val="0"/>
          <w:szCs w:val="20"/>
        </w:rPr>
        <w:t>——评价级数；</w:t>
      </w:r>
    </w:p>
    <w:p>
      <w:pPr>
        <w:spacing w:line="240" w:lineRule="auto"/>
        <w:ind w:firstLine="420"/>
        <w:rPr>
          <w:rFonts w:ascii="Times New Roman" w:hAnsi="Times New Roman" w:cs="Times New Roman"/>
          <w:color w:val="auto"/>
          <w:kern w:val="0"/>
          <w:szCs w:val="20"/>
        </w:rPr>
      </w:pPr>
      <w:r>
        <w:rPr>
          <w:rFonts w:ascii="Times New Roman" w:hAnsi="Times New Roman" w:cs="Times New Roman"/>
          <w:color w:val="auto"/>
          <w:kern w:val="0"/>
          <w:szCs w:val="20"/>
        </w:rPr>
        <w:t>如采取5等级评语集，</w:t>
      </w:r>
      <m:oMath>
        <m:r>
          <m:rPr/>
          <w:rPr>
            <w:rFonts w:ascii="Cambria Math" w:hAnsi="Cambria Math" w:cs="Times New Roman"/>
            <w:color w:val="auto"/>
            <w:kern w:val="0"/>
            <w:szCs w:val="20"/>
          </w:rPr>
          <m:t>V</m:t>
        </m:r>
        <m:r>
          <m:rPr>
            <m:sty m:val="p"/>
          </m:rPr>
          <w:rPr>
            <w:rFonts w:ascii="Cambria Math" w:hAnsi="Cambria Math" w:cs="Times New Roman"/>
            <w:color w:val="auto"/>
            <w:kern w:val="0"/>
            <w:szCs w:val="20"/>
          </w:rPr>
          <m:t>=</m:t>
        </m:r>
      </m:oMath>
      <w:r>
        <w:rPr>
          <w:rFonts w:ascii="Times New Roman" w:hAnsi="Times New Roman" w:cs="Times New Roman"/>
          <w:color w:val="auto"/>
          <w:kern w:val="0"/>
          <w:szCs w:val="20"/>
        </w:rPr>
        <w:t>{好，较好，中等，较差，差}。</w:t>
      </w:r>
    </w:p>
    <w:p>
      <w:pPr>
        <w:spacing w:line="240" w:lineRule="auto"/>
        <w:ind w:firstLine="420"/>
        <w:rPr>
          <w:rFonts w:ascii="Times New Roman" w:hAnsi="Times New Roman" w:cs="Times New Roman"/>
          <w:color w:val="auto"/>
          <w:kern w:val="0"/>
          <w:szCs w:val="20"/>
        </w:rPr>
      </w:pPr>
      <w:r>
        <w:rPr>
          <w:rFonts w:ascii="Times New Roman" w:hAnsi="Times New Roman" w:cs="Times New Roman"/>
          <w:color w:val="auto"/>
          <w:kern w:val="0"/>
          <w:szCs w:val="20"/>
        </w:rPr>
        <w:t>d）构造模糊关系矩阵：首先需确定各个因子对各个等级的隶属度。</w:t>
      </w:r>
    </w:p>
    <w:p>
      <w:pPr>
        <w:spacing w:line="240" w:lineRule="auto"/>
        <w:ind w:firstLine="420"/>
        <w:rPr>
          <w:rFonts w:ascii="Times New Roman" w:hAnsi="Times New Roman" w:cs="Times New Roman"/>
          <w:color w:val="auto"/>
          <w:kern w:val="0"/>
          <w:szCs w:val="20"/>
        </w:rPr>
      </w:pPr>
      <w:r>
        <w:rPr>
          <w:rFonts w:ascii="Times New Roman" w:hAnsi="Times New Roman" w:cs="Times New Roman"/>
          <w:color w:val="auto"/>
          <w:kern w:val="0"/>
          <w:szCs w:val="20"/>
        </w:rPr>
        <w:t>对于数值越大适宜性等级越高的定量指标，采用升半梯形分布的隶属函数；</w:t>
      </w:r>
    </w:p>
    <w:p>
      <w:pPr>
        <w:spacing w:line="240" w:lineRule="auto"/>
        <w:ind w:firstLine="420"/>
        <w:rPr>
          <w:rFonts w:ascii="Times New Roman" w:hAnsi="Times New Roman" w:cs="Times New Roman"/>
          <w:color w:val="auto"/>
          <w:kern w:val="0"/>
          <w:szCs w:val="20"/>
        </w:rPr>
      </w:pPr>
      <w:r>
        <w:rPr>
          <w:rFonts w:ascii="Times New Roman" w:hAnsi="Times New Roman" w:cs="Times New Roman"/>
          <w:color w:val="auto"/>
          <w:kern w:val="0"/>
          <w:szCs w:val="20"/>
        </w:rPr>
        <w:t>对于数值越小适宜性等级越高的定量指标，采用降半梯形分布的隶属函数；</w:t>
      </w:r>
    </w:p>
    <w:p>
      <w:pPr>
        <w:spacing w:line="240" w:lineRule="auto"/>
        <w:ind w:firstLine="420"/>
        <w:rPr>
          <w:rFonts w:ascii="Times New Roman" w:hAnsi="Times New Roman" w:cs="Times New Roman"/>
          <w:color w:val="auto"/>
          <w:kern w:val="0"/>
          <w:szCs w:val="20"/>
        </w:rPr>
      </w:pPr>
      <w:r>
        <w:rPr>
          <w:rFonts w:ascii="Times New Roman" w:hAnsi="Times New Roman" w:cs="Times New Roman"/>
          <w:color w:val="auto"/>
          <w:kern w:val="0"/>
          <w:szCs w:val="20"/>
        </w:rPr>
        <w:t>对于定性指标则采用正态型分布的隶属函数。</w:t>
      </w:r>
    </w:p>
    <w:p>
      <w:pPr>
        <w:spacing w:line="240" w:lineRule="auto"/>
        <w:ind w:firstLine="420"/>
        <w:rPr>
          <w:rFonts w:ascii="Times New Roman" w:hAnsi="Times New Roman" w:cs="Times New Roman"/>
          <w:color w:val="auto"/>
          <w:kern w:val="0"/>
          <w:szCs w:val="20"/>
        </w:rPr>
      </w:pPr>
      <w:r>
        <w:rPr>
          <w:rFonts w:ascii="Times New Roman" w:hAnsi="Times New Roman" w:cs="Times New Roman"/>
          <w:color w:val="auto"/>
          <w:kern w:val="0"/>
          <w:szCs w:val="20"/>
        </w:rPr>
        <w:t>根据选取的隶属函数有效刻画隶属度的分布，进而建立评价指标</w:t>
      </w:r>
      <m:oMath>
        <m:r>
          <m:rPr/>
          <w:rPr>
            <w:rFonts w:ascii="Cambria Math" w:hAnsi="Cambria Math" w:cs="Times New Roman"/>
            <w:color w:val="auto"/>
            <w:kern w:val="0"/>
            <w:szCs w:val="20"/>
          </w:rPr>
          <m:t>F</m:t>
        </m:r>
      </m:oMath>
      <w:r>
        <w:rPr>
          <w:rFonts w:ascii="Times New Roman" w:hAnsi="Times New Roman" w:cs="Times New Roman"/>
          <w:color w:val="auto"/>
          <w:kern w:val="0"/>
          <w:szCs w:val="20"/>
        </w:rPr>
        <w:t>与评价等级</w:t>
      </w:r>
      <m:oMath>
        <m:r>
          <m:rPr/>
          <w:rPr>
            <w:rFonts w:ascii="Cambria Math" w:hAnsi="Cambria Math" w:cs="Times New Roman"/>
            <w:color w:val="auto"/>
            <w:kern w:val="0"/>
            <w:szCs w:val="20"/>
          </w:rPr>
          <m:t>V</m:t>
        </m:r>
      </m:oMath>
      <w:r>
        <w:rPr>
          <w:rFonts w:ascii="Times New Roman" w:hAnsi="Times New Roman" w:cs="Times New Roman"/>
          <w:color w:val="auto"/>
          <w:kern w:val="0"/>
          <w:szCs w:val="20"/>
        </w:rPr>
        <w:t>间的模糊关系矩阵</w:t>
      </w:r>
      <m:oMath>
        <m:r>
          <m:rPr/>
          <w:rPr>
            <w:rFonts w:ascii="Cambria Math" w:hAnsi="Cambria Math" w:cs="Times New Roman"/>
            <w:color w:val="auto"/>
            <w:kern w:val="0"/>
            <w:szCs w:val="20"/>
          </w:rPr>
          <m:t>R</m:t>
        </m:r>
        <m:r>
          <m:rPr>
            <m:sty m:val="p"/>
          </m:rPr>
          <w:rPr>
            <w:rFonts w:ascii="Cambria Math" w:hAnsi="Cambria Math" w:cs="Times New Roman"/>
            <w:color w:val="auto"/>
            <w:kern w:val="0"/>
            <w:szCs w:val="20"/>
          </w:rPr>
          <m:t>=</m:t>
        </m:r>
        <m:sSub>
          <m:sSubPr>
            <m:ctrlPr>
              <w:rPr>
                <w:rFonts w:ascii="Cambria Math" w:hAnsi="Cambria Math" w:cs="Times New Roman"/>
                <w:color w:val="auto"/>
                <w:kern w:val="0"/>
                <w:szCs w:val="20"/>
              </w:rPr>
            </m:ctrlPr>
          </m:sSubPr>
          <m:e>
            <m:r>
              <m:rPr>
                <m:sty m:val="p"/>
              </m:rPr>
              <w:rPr>
                <w:rFonts w:ascii="Cambria Math" w:hAnsi="Cambria Math" w:cs="Times New Roman"/>
                <w:color w:val="auto"/>
                <w:kern w:val="0"/>
                <w:szCs w:val="20"/>
              </w:rPr>
              <m:t>{</m:t>
            </m:r>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r</m:t>
                </m:r>
                <m:ctrlPr>
                  <w:rPr>
                    <w:rFonts w:ascii="Cambria Math" w:hAnsi="Cambria Math" w:cs="Times New Roman"/>
                    <w:color w:val="auto"/>
                    <w:kern w:val="0"/>
                    <w:szCs w:val="20"/>
                  </w:rPr>
                </m:ctrlPr>
              </m:e>
              <m:sub>
                <m:r>
                  <m:rPr/>
                  <w:rPr>
                    <w:rFonts w:ascii="Cambria Math" w:hAnsi="Cambria Math" w:cs="Times New Roman"/>
                    <w:color w:val="auto"/>
                    <w:kern w:val="0"/>
                    <w:szCs w:val="20"/>
                  </w:rPr>
                  <m:t>ij</m:t>
                </m:r>
                <m:ctrlPr>
                  <w:rPr>
                    <w:rFonts w:ascii="Cambria Math" w:hAnsi="Cambria Math" w:cs="Times New Roman"/>
                    <w:color w:val="auto"/>
                    <w:kern w:val="0"/>
                    <w:szCs w:val="20"/>
                  </w:rPr>
                </m:ctrlPr>
              </m:sub>
            </m:sSub>
            <m:r>
              <m:rPr>
                <m:sty m:val="p"/>
              </m:rPr>
              <w:rPr>
                <w:rFonts w:ascii="Cambria Math" w:hAnsi="Cambria Math" w:cs="Times New Roman"/>
                <w:color w:val="auto"/>
                <w:kern w:val="0"/>
                <w:szCs w:val="20"/>
              </w:rPr>
              <m:t>}</m:t>
            </m:r>
            <m:ctrlPr>
              <w:rPr>
                <w:rFonts w:ascii="Cambria Math" w:hAnsi="Cambria Math" w:cs="Times New Roman"/>
                <w:color w:val="auto"/>
                <w:kern w:val="0"/>
                <w:szCs w:val="20"/>
              </w:rPr>
            </m:ctrlPr>
          </m:e>
          <m:sub>
            <m:r>
              <m:rPr/>
              <w:rPr>
                <w:rFonts w:ascii="Cambria Math" w:hAnsi="Cambria Math" w:cs="Times New Roman"/>
                <w:color w:val="auto"/>
                <w:kern w:val="0"/>
                <w:szCs w:val="20"/>
              </w:rPr>
              <m:t>n</m:t>
            </m:r>
            <m:r>
              <m:rPr>
                <m:sty m:val="p"/>
              </m:rPr>
              <w:rPr>
                <w:rFonts w:ascii="Cambria Math" w:hAnsi="Cambria Math" w:cs="Times New Roman"/>
                <w:color w:val="auto"/>
                <w:kern w:val="0"/>
                <w:szCs w:val="20"/>
              </w:rPr>
              <m:t>×</m:t>
            </m:r>
            <m:r>
              <m:rPr/>
              <w:rPr>
                <w:rFonts w:ascii="Cambria Math" w:hAnsi="Cambria Math" w:cs="Times New Roman"/>
                <w:color w:val="auto"/>
                <w:kern w:val="0"/>
                <w:szCs w:val="20"/>
              </w:rPr>
              <m:t>m</m:t>
            </m:r>
            <m:ctrlPr>
              <w:rPr>
                <w:rFonts w:ascii="Cambria Math" w:hAnsi="Cambria Math" w:cs="Times New Roman"/>
                <w:color w:val="auto"/>
                <w:kern w:val="0"/>
                <w:szCs w:val="20"/>
              </w:rPr>
            </m:ctrlPr>
          </m:sub>
        </m:sSub>
      </m:oMath>
      <w:r>
        <w:rPr>
          <w:rFonts w:ascii="Times New Roman" w:hAnsi="Times New Roman" w:cs="Times New Roman"/>
          <w:color w:val="auto"/>
          <w:kern w:val="0"/>
          <w:szCs w:val="20"/>
        </w:rPr>
        <w:t>：</w:t>
      </w:r>
    </w:p>
    <w:p>
      <w:pPr>
        <w:keepNext w:val="0"/>
        <w:keepLines w:val="0"/>
        <w:pageBreakBefore w:val="0"/>
        <w:widowControl w:val="0"/>
        <w:tabs>
          <w:tab w:val="decimal" w:pos="6720"/>
        </w:tabs>
        <w:kinsoku/>
        <w:wordWrap/>
        <w:overflowPunct/>
        <w:topLinePunct w:val="0"/>
        <w:autoSpaceDE/>
        <w:autoSpaceDN/>
        <w:bidi w:val="0"/>
        <w:adjustRightInd w:val="0"/>
        <w:snapToGrid/>
        <w:spacing w:line="240" w:lineRule="auto"/>
        <w:ind w:firstLine="420"/>
        <w:jc w:val="right"/>
        <w:textAlignment w:val="auto"/>
        <w:rPr>
          <w:rFonts w:hint="eastAsia" w:ascii="Times New Roman" w:hAnsi="Times New Roman" w:eastAsia="宋体" w:cs="Times New Roman"/>
          <w:color w:val="auto"/>
          <w:kern w:val="0"/>
          <w:szCs w:val="20"/>
          <w:lang w:eastAsia="zh-CN"/>
        </w:rPr>
      </w:pPr>
      <m:oMath>
        <m:eqArr>
          <m:eqArrPr>
            <m:maxDist m:val="1"/>
            <m:ctrlPr>
              <w:rPr>
                <w:rFonts w:ascii="Cambria Math" w:hAnsi="Cambria Math" w:cs="Times New Roman"/>
                <w:color w:val="auto"/>
                <w:kern w:val="0"/>
                <w:szCs w:val="20"/>
              </w:rPr>
            </m:ctrlPr>
          </m:eqArrPr>
          <m:e>
            <m:r>
              <m:rPr/>
              <w:rPr>
                <w:rFonts w:ascii="Cambria Math" w:hAnsi="Cambria Math" w:cs="Times New Roman"/>
                <w:color w:val="auto"/>
                <w:kern w:val="0"/>
                <w:szCs w:val="20"/>
              </w:rPr>
              <m:t>R</m:t>
            </m:r>
            <m:r>
              <m:rPr>
                <m:sty m:val="p"/>
              </m:rPr>
              <w:rPr>
                <w:rFonts w:ascii="Cambria Math" w:hAnsi="Cambria Math" w:cs="Times New Roman"/>
                <w:color w:val="auto"/>
                <w:kern w:val="0"/>
                <w:szCs w:val="20"/>
              </w:rPr>
              <m:t>=</m:t>
            </m:r>
            <m:d>
              <m:dPr>
                <m:begChr m:val="["/>
                <m:endChr m:val="]"/>
                <m:ctrlPr>
                  <w:rPr>
                    <w:rFonts w:ascii="Cambria Math" w:hAnsi="Cambria Math" w:cs="Times New Roman"/>
                    <w:color w:val="auto"/>
                    <w:kern w:val="0"/>
                    <w:szCs w:val="20"/>
                  </w:rPr>
                </m:ctrlPr>
              </m:dPr>
              <m:e>
                <m:m>
                  <m:mPr>
                    <m:mcs>
                      <m:mc>
                        <m:mcPr>
                          <m:count m:val="4"/>
                          <m:mcJc m:val="center"/>
                        </m:mcPr>
                      </m:mc>
                    </m:mcs>
                    <m:ctrlPr>
                      <w:rPr>
                        <w:rFonts w:ascii="Cambria Math" w:hAnsi="Cambria Math" w:cs="Times New Roman"/>
                        <w:color w:val="auto"/>
                        <w:kern w:val="0"/>
                        <w:szCs w:val="20"/>
                      </w:rPr>
                    </m:ctrlPr>
                  </m:mPr>
                  <m:mr>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r</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11</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r</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12</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e>
                      <m:r>
                        <m:rPr>
                          <m:sty m:val="p"/>
                        </m:rPr>
                        <w:rPr>
                          <w:rFonts w:ascii="Cambria Math" w:hAnsi="Cambria Math" w:cs="Times New Roman"/>
                          <w:color w:val="auto"/>
                          <w:kern w:val="0"/>
                          <w:szCs w:val="20"/>
                        </w:rPr>
                        <m:t>···</m:t>
                      </m:r>
                      <m:ctrlPr>
                        <w:rPr>
                          <w:rFonts w:ascii="Cambria Math" w:hAnsi="Cambria Math" w:cs="Times New Roman"/>
                          <w:color w:val="auto"/>
                          <w:kern w:val="0"/>
                          <w:szCs w:val="20"/>
                        </w:rPr>
                      </m:ctrlPr>
                    </m:e>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r</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1</m:t>
                          </m:r>
                          <m:r>
                            <m:rPr/>
                            <w:rPr>
                              <w:rFonts w:ascii="Cambria Math" w:hAnsi="Cambria Math" w:cs="Times New Roman"/>
                              <w:color w:val="auto"/>
                              <w:kern w:val="0"/>
                              <w:szCs w:val="20"/>
                            </w:rPr>
                            <m:t>m</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mr>
                  <m:mr>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r</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21</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r</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22</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e>
                      <m:r>
                        <m:rPr>
                          <m:sty m:val="p"/>
                        </m:rPr>
                        <w:rPr>
                          <w:rFonts w:ascii="Cambria Math" w:hAnsi="Cambria Math" w:cs="Times New Roman"/>
                          <w:color w:val="auto"/>
                          <w:kern w:val="0"/>
                          <w:szCs w:val="20"/>
                        </w:rPr>
                        <m:t>···</m:t>
                      </m:r>
                      <m:ctrlPr>
                        <w:rPr>
                          <w:rFonts w:ascii="Cambria Math" w:hAnsi="Cambria Math" w:cs="Times New Roman"/>
                          <w:color w:val="auto"/>
                          <w:kern w:val="0"/>
                          <w:szCs w:val="20"/>
                        </w:rPr>
                      </m:ctrlPr>
                    </m:e>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r</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2</m:t>
                          </m:r>
                          <m:r>
                            <m:rPr/>
                            <w:rPr>
                              <w:rFonts w:ascii="Cambria Math" w:hAnsi="Cambria Math" w:cs="Times New Roman"/>
                              <w:color w:val="auto"/>
                              <w:kern w:val="0"/>
                              <w:szCs w:val="20"/>
                            </w:rPr>
                            <m:t>m</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mr>
                  <m:mr>
                    <m:e>
                      <m:r>
                        <m:rPr>
                          <m:sty m:val="p"/>
                        </m:rPr>
                        <w:rPr>
                          <w:rFonts w:ascii="Cambria Math" w:hAnsi="Cambria Math" w:cs="Times New Roman"/>
                          <w:color w:val="auto"/>
                          <w:kern w:val="0"/>
                          <w:szCs w:val="20"/>
                        </w:rPr>
                        <m:t>···</m:t>
                      </m:r>
                      <m:ctrlPr>
                        <w:rPr>
                          <w:rFonts w:ascii="Cambria Math" w:hAnsi="Cambria Math" w:cs="Times New Roman"/>
                          <w:color w:val="auto"/>
                          <w:kern w:val="0"/>
                          <w:szCs w:val="20"/>
                        </w:rPr>
                      </m:ctrlPr>
                    </m:e>
                    <m:e>
                      <m:r>
                        <m:rPr>
                          <m:sty m:val="p"/>
                        </m:rPr>
                        <w:rPr>
                          <w:rFonts w:ascii="Cambria Math" w:hAnsi="Cambria Math" w:cs="Times New Roman"/>
                          <w:color w:val="auto"/>
                          <w:kern w:val="0"/>
                          <w:szCs w:val="20"/>
                        </w:rPr>
                        <m:t>···</m:t>
                      </m:r>
                      <m:ctrlPr>
                        <w:rPr>
                          <w:rFonts w:ascii="Cambria Math" w:hAnsi="Cambria Math" w:cs="Times New Roman"/>
                          <w:color w:val="auto"/>
                          <w:kern w:val="0"/>
                          <w:szCs w:val="20"/>
                        </w:rPr>
                      </m:ctrlPr>
                    </m:e>
                    <m:e>
                      <m:r>
                        <m:rPr>
                          <m:sty m:val="p"/>
                        </m:rPr>
                        <w:rPr>
                          <w:rFonts w:ascii="Cambria Math" w:hAnsi="Cambria Math" w:cs="Times New Roman"/>
                          <w:color w:val="auto"/>
                          <w:kern w:val="0"/>
                          <w:szCs w:val="20"/>
                        </w:rPr>
                        <m:t>···</m:t>
                      </m:r>
                      <m:ctrlPr>
                        <w:rPr>
                          <w:rFonts w:ascii="Cambria Math" w:hAnsi="Cambria Math" w:cs="Times New Roman"/>
                          <w:color w:val="auto"/>
                          <w:kern w:val="0"/>
                          <w:szCs w:val="20"/>
                        </w:rPr>
                      </m:ctrlPr>
                    </m:e>
                    <m:e>
                      <m:r>
                        <m:rPr>
                          <m:sty m:val="p"/>
                        </m:rPr>
                        <w:rPr>
                          <w:rFonts w:ascii="Cambria Math" w:hAnsi="Cambria Math" w:cs="Times New Roman"/>
                          <w:color w:val="auto"/>
                          <w:kern w:val="0"/>
                          <w:szCs w:val="20"/>
                        </w:rPr>
                        <m:t>···</m:t>
                      </m:r>
                      <m:ctrlPr>
                        <w:rPr>
                          <w:rFonts w:ascii="Cambria Math" w:hAnsi="Cambria Math" w:cs="Times New Roman"/>
                          <w:color w:val="auto"/>
                          <w:kern w:val="0"/>
                          <w:szCs w:val="20"/>
                        </w:rPr>
                      </m:ctrlPr>
                    </m:e>
                  </m:mr>
                  <m:mr>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r</m:t>
                          </m:r>
                          <m:ctrlPr>
                            <w:rPr>
                              <w:rFonts w:ascii="Cambria Math" w:hAnsi="Cambria Math" w:cs="Times New Roman"/>
                              <w:color w:val="auto"/>
                              <w:kern w:val="0"/>
                              <w:szCs w:val="20"/>
                            </w:rPr>
                          </m:ctrlPr>
                        </m:e>
                        <m:sub>
                          <m:r>
                            <m:rPr/>
                            <w:rPr>
                              <w:rFonts w:ascii="Cambria Math" w:hAnsi="Cambria Math" w:cs="Times New Roman"/>
                              <w:color w:val="auto"/>
                              <w:kern w:val="0"/>
                              <w:szCs w:val="20"/>
                            </w:rPr>
                            <m:t>n</m:t>
                          </m:r>
                          <m:r>
                            <m:rPr>
                              <m:sty m:val="p"/>
                            </m:rPr>
                            <w:rPr>
                              <w:rFonts w:ascii="Cambria Math" w:hAnsi="Cambria Math" w:cs="Times New Roman"/>
                              <w:color w:val="auto"/>
                              <w:kern w:val="0"/>
                              <w:szCs w:val="20"/>
                            </w:rPr>
                            <m:t>1</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r</m:t>
                          </m:r>
                          <m:ctrlPr>
                            <w:rPr>
                              <w:rFonts w:ascii="Cambria Math" w:hAnsi="Cambria Math" w:cs="Times New Roman"/>
                              <w:color w:val="auto"/>
                              <w:kern w:val="0"/>
                              <w:szCs w:val="20"/>
                            </w:rPr>
                          </m:ctrlPr>
                        </m:e>
                        <m:sub>
                          <m:r>
                            <m:rPr/>
                            <w:rPr>
                              <w:rFonts w:ascii="Cambria Math" w:hAnsi="Cambria Math" w:cs="Times New Roman"/>
                              <w:color w:val="auto"/>
                              <w:kern w:val="0"/>
                              <w:szCs w:val="20"/>
                            </w:rPr>
                            <m:t>n</m:t>
                          </m:r>
                          <m:r>
                            <m:rPr>
                              <m:sty m:val="p"/>
                            </m:rPr>
                            <w:rPr>
                              <w:rFonts w:ascii="Cambria Math" w:hAnsi="Cambria Math" w:cs="Times New Roman"/>
                              <w:color w:val="auto"/>
                              <w:kern w:val="0"/>
                              <w:szCs w:val="20"/>
                            </w:rPr>
                            <m:t>2</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e>
                      <m:r>
                        <m:rPr>
                          <m:sty m:val="p"/>
                        </m:rPr>
                        <w:rPr>
                          <w:rFonts w:ascii="Cambria Math" w:hAnsi="Cambria Math" w:cs="Times New Roman"/>
                          <w:color w:val="auto"/>
                          <w:kern w:val="0"/>
                          <w:szCs w:val="20"/>
                        </w:rPr>
                        <m:t>···</m:t>
                      </m:r>
                      <m:ctrlPr>
                        <w:rPr>
                          <w:rFonts w:ascii="Cambria Math" w:hAnsi="Cambria Math" w:cs="Times New Roman"/>
                          <w:color w:val="auto"/>
                          <w:kern w:val="0"/>
                          <w:szCs w:val="20"/>
                        </w:rPr>
                      </m:ctrlPr>
                    </m:e>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r</m:t>
                          </m:r>
                          <m:ctrlPr>
                            <w:rPr>
                              <w:rFonts w:ascii="Cambria Math" w:hAnsi="Cambria Math" w:cs="Times New Roman"/>
                              <w:color w:val="auto"/>
                              <w:kern w:val="0"/>
                              <w:szCs w:val="20"/>
                            </w:rPr>
                          </m:ctrlPr>
                        </m:e>
                        <m:sub>
                          <m:r>
                            <m:rPr/>
                            <w:rPr>
                              <w:rFonts w:ascii="Cambria Math" w:hAnsi="Cambria Math" w:cs="Times New Roman"/>
                              <w:color w:val="auto"/>
                              <w:kern w:val="0"/>
                              <w:szCs w:val="20"/>
                            </w:rPr>
                            <m:t>nm</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mr>
                </m:m>
                <m:ctrlPr>
                  <w:rPr>
                    <w:rFonts w:ascii="Cambria Math" w:hAnsi="Cambria Math" w:cs="Times New Roman"/>
                    <w:color w:val="auto"/>
                    <w:kern w:val="0"/>
                    <w:szCs w:val="20"/>
                  </w:rPr>
                </m:ctrlPr>
              </m:e>
            </m:d>
            <m:ctrlPr>
              <w:rPr>
                <w:rFonts w:ascii="Cambria Math" w:hAnsi="Cambria Math" w:cs="Times New Roman"/>
                <w:color w:val="auto"/>
                <w:kern w:val="0"/>
                <w:szCs w:val="20"/>
              </w:rPr>
            </m:ctrlPr>
          </m:e>
        </m:eqArr>
      </m:oMath>
      <w:r>
        <w:rPr>
          <w:rFonts w:hint="eastAsia" w:hAnsi="Cambria Math" w:cs="Times New Roman"/>
          <w:i w:val="0"/>
          <w:color w:val="auto"/>
          <w:kern w:val="0"/>
          <w:szCs w:val="20"/>
          <w:lang w:val="en-US" w:eastAsia="zh-CN"/>
        </w:rPr>
        <w:tab/>
      </w:r>
      <w:r>
        <w:rPr>
          <w:rFonts w:hint="default" w:ascii="Times New Roman" w:hAnsi="Times New Roman" w:cs="Times New Roman"/>
          <w:i w:val="0"/>
          <w:color w:val="auto"/>
          <w:kern w:val="0"/>
          <w:szCs w:val="20"/>
          <w:lang w:eastAsia="zh-CN"/>
        </w:rPr>
        <w:t>（</w:t>
      </w:r>
      <w:r>
        <w:rPr>
          <w:rFonts w:hint="default" w:ascii="Times New Roman" w:hAnsi="Times New Roman" w:cs="Times New Roman"/>
          <w:i w:val="0"/>
          <w:color w:val="auto"/>
          <w:kern w:val="0"/>
          <w:szCs w:val="20"/>
          <w:lang w:val="en-US" w:eastAsia="zh-CN"/>
        </w:rPr>
        <w:t>7</w:t>
      </w:r>
      <w:r>
        <w:rPr>
          <w:rFonts w:hint="default" w:ascii="Times New Roman" w:hAnsi="Times New Roman" w:cs="Times New Roman"/>
          <w:i w:val="0"/>
          <w:color w:val="auto"/>
          <w:kern w:val="0"/>
          <w:szCs w:val="20"/>
          <w:lang w:eastAsia="zh-CN"/>
        </w:rPr>
        <w:t>）</w:t>
      </w:r>
    </w:p>
    <w:p>
      <w:pPr>
        <w:spacing w:line="240" w:lineRule="auto"/>
        <w:ind w:firstLine="420"/>
        <w:rPr>
          <w:rFonts w:ascii="Times New Roman" w:hAnsi="Times New Roman" w:cs="Times New Roman"/>
          <w:color w:val="auto"/>
          <w:kern w:val="0"/>
          <w:szCs w:val="20"/>
        </w:rPr>
      </w:pPr>
      <w:r>
        <w:rPr>
          <w:rFonts w:ascii="Times New Roman" w:hAnsi="Times New Roman" w:cs="Times New Roman"/>
          <w:color w:val="auto"/>
          <w:kern w:val="0"/>
          <w:szCs w:val="20"/>
        </w:rPr>
        <w:t>若评价指标为20个，等级数为5，评判矩阵</w:t>
      </w:r>
      <m:oMath>
        <m:r>
          <m:rPr/>
          <w:rPr>
            <w:rFonts w:ascii="Cambria Math" w:hAnsi="Cambria Math" w:cs="Times New Roman"/>
            <w:color w:val="auto"/>
            <w:kern w:val="0"/>
            <w:szCs w:val="20"/>
          </w:rPr>
          <m:t>R</m:t>
        </m:r>
        <m:r>
          <m:rPr>
            <m:sty m:val="p"/>
          </m:rPr>
          <w:rPr>
            <w:rFonts w:ascii="Cambria Math" w:hAnsi="Cambria Math" w:cs="Times New Roman"/>
            <w:color w:val="auto"/>
            <w:kern w:val="0"/>
            <w:szCs w:val="20"/>
          </w:rPr>
          <m:t>=</m:t>
        </m:r>
        <m:sSub>
          <m:sSubPr>
            <m:ctrlPr>
              <w:rPr>
                <w:rFonts w:ascii="Cambria Math" w:hAnsi="Cambria Math" w:cs="Times New Roman"/>
                <w:color w:val="auto"/>
                <w:kern w:val="0"/>
                <w:szCs w:val="20"/>
              </w:rPr>
            </m:ctrlPr>
          </m:sSubPr>
          <m:e>
            <m:r>
              <m:rPr>
                <m:sty m:val="p"/>
              </m:rPr>
              <w:rPr>
                <w:rFonts w:ascii="Cambria Math" w:hAnsi="Cambria Math" w:cs="Times New Roman"/>
                <w:color w:val="auto"/>
                <w:kern w:val="0"/>
                <w:szCs w:val="20"/>
              </w:rPr>
              <m:t>{</m:t>
            </m:r>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r</m:t>
                </m:r>
                <m:ctrlPr>
                  <w:rPr>
                    <w:rFonts w:ascii="Cambria Math" w:hAnsi="Cambria Math" w:cs="Times New Roman"/>
                    <w:color w:val="auto"/>
                    <w:kern w:val="0"/>
                    <w:szCs w:val="20"/>
                  </w:rPr>
                </m:ctrlPr>
              </m:e>
              <m:sub>
                <m:r>
                  <m:rPr/>
                  <w:rPr>
                    <w:rFonts w:ascii="Cambria Math" w:hAnsi="Cambria Math" w:cs="Times New Roman"/>
                    <w:color w:val="auto"/>
                    <w:kern w:val="0"/>
                    <w:szCs w:val="20"/>
                  </w:rPr>
                  <m:t>ij</m:t>
                </m:r>
                <m:ctrlPr>
                  <w:rPr>
                    <w:rFonts w:ascii="Cambria Math" w:hAnsi="Cambria Math" w:cs="Times New Roman"/>
                    <w:color w:val="auto"/>
                    <w:kern w:val="0"/>
                    <w:szCs w:val="20"/>
                  </w:rPr>
                </m:ctrlPr>
              </m:sub>
            </m:sSub>
            <m:r>
              <m:rPr>
                <m:sty m:val="p"/>
              </m:rPr>
              <w:rPr>
                <w:rFonts w:ascii="Cambria Math" w:hAnsi="Cambria Math" w:cs="Times New Roman"/>
                <w:color w:val="auto"/>
                <w:kern w:val="0"/>
                <w:szCs w:val="20"/>
              </w:rPr>
              <m:t>}</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20×5</m:t>
            </m:r>
            <m:ctrlPr>
              <w:rPr>
                <w:rFonts w:ascii="Cambria Math" w:hAnsi="Cambria Math" w:cs="Times New Roman"/>
                <w:color w:val="auto"/>
                <w:kern w:val="0"/>
                <w:szCs w:val="20"/>
              </w:rPr>
            </m:ctrlPr>
          </m:sub>
        </m:sSub>
      </m:oMath>
      <w:r>
        <w:rPr>
          <w:rFonts w:ascii="Times New Roman" w:hAnsi="Times New Roman" w:cs="Times New Roman"/>
          <w:color w:val="auto"/>
          <w:kern w:val="0"/>
          <w:szCs w:val="20"/>
        </w:rPr>
        <w:t>。</w:t>
      </w:r>
    </w:p>
    <w:p>
      <w:pPr>
        <w:spacing w:line="240" w:lineRule="auto"/>
        <w:ind w:firstLine="420"/>
        <w:rPr>
          <w:rFonts w:ascii="Times New Roman" w:hAnsi="Times New Roman" w:cs="Times New Roman"/>
          <w:color w:val="auto"/>
          <w:kern w:val="0"/>
          <w:szCs w:val="20"/>
        </w:rPr>
      </w:pPr>
      <w:r>
        <w:rPr>
          <w:rFonts w:ascii="Times New Roman" w:hAnsi="Times New Roman" w:cs="Times New Roman"/>
          <w:color w:val="auto"/>
          <w:kern w:val="0"/>
          <w:szCs w:val="20"/>
        </w:rPr>
        <w:t>e）确定权重集：采用专家打分法或层次分析法确定评价指标权重：</w:t>
      </w:r>
    </w:p>
    <w:p>
      <w:pPr>
        <w:keepNext w:val="0"/>
        <w:keepLines w:val="0"/>
        <w:pageBreakBefore w:val="0"/>
        <w:widowControl w:val="0"/>
        <w:tabs>
          <w:tab w:val="decimal" w:pos="6720"/>
        </w:tabs>
        <w:kinsoku/>
        <w:wordWrap/>
        <w:overflowPunct/>
        <w:topLinePunct w:val="0"/>
        <w:autoSpaceDE/>
        <w:autoSpaceDN/>
        <w:bidi w:val="0"/>
        <w:adjustRightInd w:val="0"/>
        <w:snapToGrid/>
        <w:spacing w:line="240" w:lineRule="auto"/>
        <w:ind w:firstLine="0" w:firstLineChars="0"/>
        <w:jc w:val="right"/>
        <w:textAlignment w:val="auto"/>
        <w:rPr>
          <w:rFonts w:hint="eastAsia" w:ascii="Times New Roman" w:hAnsi="Times New Roman" w:eastAsia="宋体" w:cs="Times New Roman"/>
          <w:color w:val="auto"/>
          <w:kern w:val="0"/>
          <w:szCs w:val="20"/>
          <w:lang w:eastAsia="zh-CN"/>
        </w:rPr>
      </w:pPr>
      <m:oMath>
        <m:eqArr>
          <m:eqArrPr>
            <m:maxDist m:val="1"/>
            <m:ctrlPr>
              <w:rPr>
                <w:rFonts w:ascii="Cambria Math" w:hAnsi="Cambria Math" w:cs="Times New Roman"/>
                <w:color w:val="auto"/>
                <w:kern w:val="0"/>
                <w:szCs w:val="20"/>
              </w:rPr>
            </m:ctrlPr>
          </m:eqArrPr>
          <m:e>
            <m:r>
              <m:rPr/>
              <w:rPr>
                <w:rFonts w:ascii="Cambria Math" w:hAnsi="Cambria Math" w:cs="Times New Roman"/>
                <w:color w:val="auto"/>
                <w:kern w:val="0"/>
                <w:szCs w:val="20"/>
              </w:rPr>
              <m:t>W</m:t>
            </m:r>
            <m:r>
              <m:rPr>
                <m:sty m:val="p"/>
              </m:rPr>
              <w:rPr>
                <w:rFonts w:ascii="Cambria Math" w:hAnsi="Cambria Math" w:cs="Times New Roman"/>
                <w:color w:val="auto"/>
                <w:kern w:val="0"/>
                <w:szCs w:val="20"/>
              </w:rPr>
              <m:t>=</m:t>
            </m:r>
            <m:d>
              <m:dPr>
                <m:ctrlPr>
                  <w:rPr>
                    <w:rFonts w:ascii="Cambria Math" w:hAnsi="Cambria Math" w:cs="Times New Roman"/>
                    <w:color w:val="auto"/>
                    <w:kern w:val="0"/>
                    <w:szCs w:val="20"/>
                  </w:rPr>
                </m:ctrlPr>
              </m:dPr>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w</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1</m:t>
                    </m:r>
                    <m:ctrlPr>
                      <w:rPr>
                        <w:rFonts w:ascii="Cambria Math" w:hAnsi="Cambria Math" w:cs="Times New Roman"/>
                        <w:color w:val="auto"/>
                        <w:kern w:val="0"/>
                        <w:szCs w:val="20"/>
                      </w:rPr>
                    </m:ctrlPr>
                  </m:sub>
                </m:sSub>
                <m:r>
                  <m:rPr>
                    <m:sty m:val="p"/>
                  </m:rPr>
                  <w:rPr>
                    <w:rFonts w:ascii="Cambria Math" w:hAnsi="Cambria Math" w:cs="Times New Roman"/>
                    <w:color w:val="auto"/>
                    <w:kern w:val="0"/>
                    <w:szCs w:val="20"/>
                  </w:rPr>
                  <m:t>,</m:t>
                </m:r>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w</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2</m:t>
                    </m:r>
                    <m:ctrlPr>
                      <w:rPr>
                        <w:rFonts w:ascii="Cambria Math" w:hAnsi="Cambria Math" w:cs="Times New Roman"/>
                        <w:color w:val="auto"/>
                        <w:kern w:val="0"/>
                        <w:szCs w:val="20"/>
                      </w:rPr>
                    </m:ctrlPr>
                  </m:sub>
                </m:sSub>
                <m:r>
                  <m:rPr>
                    <m:sty m:val="p"/>
                  </m:rPr>
                  <w:rPr>
                    <w:rFonts w:ascii="Cambria Math" w:hAnsi="Cambria Math" w:cs="Times New Roman"/>
                    <w:color w:val="auto"/>
                    <w:kern w:val="0"/>
                    <w:szCs w:val="20"/>
                  </w:rPr>
                  <m:t>,</m:t>
                </m:r>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w</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3</m:t>
                    </m:r>
                    <m:ctrlPr>
                      <w:rPr>
                        <w:rFonts w:ascii="Cambria Math" w:hAnsi="Cambria Math" w:cs="Times New Roman"/>
                        <w:color w:val="auto"/>
                        <w:kern w:val="0"/>
                        <w:szCs w:val="20"/>
                      </w:rPr>
                    </m:ctrlPr>
                  </m:sub>
                </m:sSub>
                <m:r>
                  <m:rPr>
                    <m:sty m:val="p"/>
                  </m:rPr>
                  <w:rPr>
                    <w:rFonts w:ascii="Cambria Math" w:hAnsi="Cambria Math" w:cs="Times New Roman"/>
                    <w:color w:val="auto"/>
                    <w:kern w:val="0"/>
                    <w:szCs w:val="20"/>
                  </w:rPr>
                  <m:t>,···,</m:t>
                </m:r>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w</m:t>
                    </m:r>
                    <m:ctrlPr>
                      <w:rPr>
                        <w:rFonts w:ascii="Cambria Math" w:hAnsi="Cambria Math" w:cs="Times New Roman"/>
                        <w:color w:val="auto"/>
                        <w:kern w:val="0"/>
                        <w:szCs w:val="20"/>
                      </w:rPr>
                    </m:ctrlPr>
                  </m:e>
                  <m:sub>
                    <m:r>
                      <m:rPr/>
                      <w:rPr>
                        <w:rFonts w:ascii="Cambria Math" w:hAnsi="Cambria Math" w:cs="Times New Roman"/>
                        <w:color w:val="auto"/>
                        <w:kern w:val="0"/>
                        <w:szCs w:val="20"/>
                      </w:rPr>
                      <m:t>n</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d>
            <m:ctrlPr>
              <w:rPr>
                <w:rFonts w:ascii="Cambria Math" w:hAnsi="Cambria Math" w:cs="Times New Roman"/>
                <w:color w:val="auto"/>
                <w:kern w:val="0"/>
                <w:szCs w:val="20"/>
              </w:rPr>
            </m:ctrlPr>
          </m:e>
        </m:eqArr>
      </m:oMath>
      <w:r>
        <w:rPr>
          <w:rFonts w:ascii="Times New Roman" w:hAnsi="Times New Roman" w:cs="Times New Roman"/>
          <w:color w:val="auto"/>
          <w:kern w:val="0"/>
          <w:szCs w:val="20"/>
        </w:rPr>
        <w:t xml:space="preserve"> </w:t>
      </w:r>
      <w:r>
        <w:rPr>
          <w:rFonts w:hint="eastAsia" w:ascii="Times New Roman" w:hAnsi="Times New Roman" w:cs="Times New Roman"/>
          <w:color w:val="auto"/>
          <w:kern w:val="0"/>
          <w:szCs w:val="20"/>
          <w:lang w:val="en-US" w:eastAsia="zh-CN"/>
        </w:rPr>
        <w:tab/>
      </w:r>
      <w:r>
        <w:rPr>
          <w:rFonts w:hint="default" w:ascii="Times New Roman" w:hAnsi="Times New Roman" w:cs="Times New Roman"/>
          <w:color w:val="auto"/>
          <w:kern w:val="0"/>
          <w:szCs w:val="20"/>
          <w:lang w:eastAsia="zh-CN"/>
        </w:rPr>
        <w:t>（</w:t>
      </w:r>
      <w:r>
        <w:rPr>
          <w:rFonts w:hint="default" w:ascii="Times New Roman" w:hAnsi="Times New Roman" w:cs="Times New Roman"/>
          <w:color w:val="auto"/>
          <w:kern w:val="0"/>
          <w:szCs w:val="20"/>
          <w:lang w:val="en-US" w:eastAsia="zh-CN"/>
        </w:rPr>
        <w:t>8</w:t>
      </w:r>
      <w:r>
        <w:rPr>
          <w:rFonts w:hint="default" w:ascii="Times New Roman" w:hAnsi="Times New Roman" w:cs="Times New Roman"/>
          <w:color w:val="auto"/>
          <w:kern w:val="0"/>
          <w:szCs w:val="20"/>
          <w:lang w:eastAsia="zh-CN"/>
        </w:rPr>
        <w:t>）</w:t>
      </w:r>
    </w:p>
    <w:p>
      <w:pPr>
        <w:spacing w:line="240" w:lineRule="auto"/>
        <w:ind w:firstLine="420"/>
        <w:rPr>
          <w:rFonts w:ascii="Times New Roman" w:hAnsi="Times New Roman" w:cs="Times New Roman"/>
          <w:color w:val="auto"/>
          <w:kern w:val="0"/>
          <w:szCs w:val="20"/>
        </w:rPr>
      </w:pPr>
      <w:r>
        <w:rPr>
          <w:rFonts w:ascii="Times New Roman" w:hAnsi="Times New Roman" w:cs="Times New Roman"/>
          <w:color w:val="auto"/>
          <w:kern w:val="0"/>
          <w:szCs w:val="20"/>
        </w:rPr>
        <w:t>式中：</w:t>
      </w:r>
    </w:p>
    <w:p>
      <w:pPr>
        <w:spacing w:line="240" w:lineRule="auto"/>
        <w:ind w:firstLine="420"/>
        <w:rPr>
          <w:rFonts w:ascii="Times New Roman" w:hAnsi="Times New Roman" w:cs="Times New Roman"/>
          <w:color w:val="auto"/>
          <w:kern w:val="0"/>
          <w:szCs w:val="20"/>
        </w:rPr>
      </w:pPr>
      <m:oMath>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w</m:t>
            </m:r>
            <m:ctrlPr>
              <w:rPr>
                <w:rFonts w:ascii="Cambria Math" w:hAnsi="Cambria Math" w:cs="Times New Roman"/>
                <w:color w:val="auto"/>
                <w:kern w:val="0"/>
                <w:szCs w:val="20"/>
              </w:rPr>
            </m:ctrlPr>
          </m:e>
          <m:sub>
            <m:r>
              <m:rPr/>
              <w:rPr>
                <w:rFonts w:ascii="Cambria Math" w:hAnsi="Cambria Math" w:cs="Times New Roman"/>
                <w:color w:val="auto"/>
                <w:kern w:val="0"/>
                <w:szCs w:val="20"/>
              </w:rPr>
              <m:t>n</m:t>
            </m:r>
            <m:ctrlPr>
              <w:rPr>
                <w:rFonts w:ascii="Cambria Math" w:hAnsi="Cambria Math" w:cs="Times New Roman"/>
                <w:color w:val="auto"/>
                <w:kern w:val="0"/>
                <w:szCs w:val="20"/>
              </w:rPr>
            </m:ctrlPr>
          </m:sub>
        </m:sSub>
      </m:oMath>
      <w:r>
        <w:rPr>
          <w:rFonts w:ascii="Times New Roman" w:hAnsi="Times New Roman" w:cs="Times New Roman"/>
          <w:color w:val="auto"/>
          <w:kern w:val="0"/>
          <w:szCs w:val="20"/>
        </w:rPr>
        <w:t>——第</w:t>
      </w:r>
      <m:oMath>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w</m:t>
            </m:r>
            <m:ctrlPr>
              <w:rPr>
                <w:rFonts w:ascii="Cambria Math" w:hAnsi="Cambria Math" w:cs="Times New Roman"/>
                <w:color w:val="auto"/>
                <w:kern w:val="0"/>
                <w:szCs w:val="20"/>
              </w:rPr>
            </m:ctrlPr>
          </m:e>
          <m:sub>
            <m:r>
              <m:rPr/>
              <w:rPr>
                <w:rFonts w:ascii="Cambria Math" w:hAnsi="Cambria Math" w:cs="Times New Roman"/>
                <w:color w:val="auto"/>
                <w:kern w:val="0"/>
                <w:szCs w:val="20"/>
              </w:rPr>
              <m:t>n</m:t>
            </m:r>
            <m:ctrlPr>
              <w:rPr>
                <w:rFonts w:ascii="Cambria Math" w:hAnsi="Cambria Math" w:cs="Times New Roman"/>
                <w:color w:val="auto"/>
                <w:kern w:val="0"/>
                <w:szCs w:val="20"/>
              </w:rPr>
            </m:ctrlPr>
          </m:sub>
        </m:sSub>
      </m:oMath>
      <w:r>
        <w:rPr>
          <w:rFonts w:ascii="Times New Roman" w:hAnsi="Times New Roman" w:cs="Times New Roman"/>
          <w:color w:val="auto"/>
          <w:kern w:val="0"/>
          <w:szCs w:val="20"/>
        </w:rPr>
        <w:t>个评价指标权重。</w:t>
      </w:r>
    </w:p>
    <w:p>
      <w:pPr>
        <w:spacing w:line="240" w:lineRule="auto"/>
        <w:ind w:firstLine="420"/>
        <w:rPr>
          <w:rFonts w:ascii="Times New Roman" w:hAnsi="Times New Roman" w:cs="Times New Roman"/>
          <w:color w:val="auto"/>
          <w:kern w:val="0"/>
          <w:szCs w:val="20"/>
        </w:rPr>
      </w:pPr>
      <w:r>
        <w:rPr>
          <w:rFonts w:ascii="Times New Roman" w:hAnsi="Times New Roman" w:cs="Times New Roman"/>
          <w:color w:val="auto"/>
          <w:kern w:val="0"/>
          <w:szCs w:val="20"/>
        </w:rPr>
        <w:t>f）确定模糊综合评价集：将所有指标的权重</w:t>
      </w:r>
      <m:oMath>
        <m:r>
          <m:rPr/>
          <w:rPr>
            <w:rFonts w:ascii="Cambria Math" w:hAnsi="Cambria Math" w:cs="Times New Roman"/>
            <w:color w:val="auto"/>
            <w:kern w:val="0"/>
            <w:szCs w:val="20"/>
          </w:rPr>
          <m:t>W</m:t>
        </m:r>
      </m:oMath>
      <w:r>
        <w:rPr>
          <w:rFonts w:ascii="Times New Roman" w:hAnsi="Times New Roman" w:cs="Times New Roman"/>
          <w:color w:val="auto"/>
          <w:kern w:val="0"/>
          <w:szCs w:val="20"/>
        </w:rPr>
        <w:t>与模糊矩阵</w:t>
      </w:r>
      <m:oMath>
        <m:r>
          <m:rPr/>
          <w:rPr>
            <w:rFonts w:ascii="Cambria Math" w:hAnsi="Cambria Math" w:cs="Times New Roman"/>
            <w:color w:val="auto"/>
            <w:kern w:val="0"/>
            <w:szCs w:val="20"/>
          </w:rPr>
          <m:t>R</m:t>
        </m:r>
      </m:oMath>
      <w:r>
        <w:rPr>
          <w:rFonts w:ascii="Times New Roman" w:hAnsi="Times New Roman" w:cs="Times New Roman"/>
          <w:color w:val="auto"/>
          <w:kern w:val="0"/>
          <w:szCs w:val="20"/>
        </w:rPr>
        <w:t>复合运算，得到模糊综合评价集B，具体如下：</w:t>
      </w:r>
    </w:p>
    <w:p>
      <w:pPr>
        <w:keepNext w:val="0"/>
        <w:keepLines w:val="0"/>
        <w:pageBreakBefore w:val="0"/>
        <w:widowControl w:val="0"/>
        <w:tabs>
          <w:tab w:val="center" w:leader="middleDot" w:pos="420"/>
          <w:tab w:val="center" w:leader="dot" w:pos="840"/>
          <w:tab w:val="center" w:leader="middleDot" w:pos="1680"/>
          <w:tab w:val="right" w:leader="dot" w:pos="3360"/>
          <w:tab w:val="center" w:leader="dot" w:pos="6720"/>
        </w:tabs>
        <w:kinsoku/>
        <w:wordWrap/>
        <w:overflowPunct/>
        <w:topLinePunct w:val="0"/>
        <w:autoSpaceDE/>
        <w:autoSpaceDN/>
        <w:bidi w:val="0"/>
        <w:adjustRightInd w:val="0"/>
        <w:snapToGrid/>
        <w:spacing w:line="240" w:lineRule="auto"/>
        <w:ind w:firstLine="420"/>
        <w:jc w:val="right"/>
        <w:textAlignment w:val="auto"/>
        <w:rPr>
          <w:rFonts w:hint="default" w:ascii="Times New Roman" w:hAnsi="Times New Roman" w:eastAsia="宋体" w:cs="Times New Roman"/>
          <w:color w:val="auto"/>
          <w:kern w:val="0"/>
          <w:szCs w:val="20"/>
          <w:lang w:val="en-US" w:eastAsia="zh-CN"/>
        </w:rPr>
      </w:pPr>
      <m:oMath>
        <m:eqArr>
          <m:eqArrPr>
            <m:maxDist m:val="1"/>
            <m:ctrlPr>
              <w:rPr>
                <w:rFonts w:ascii="Cambria Math" w:hAnsi="Cambria Math" w:cs="Times New Roman"/>
                <w:color w:val="auto"/>
                <w:kern w:val="0"/>
                <w:szCs w:val="20"/>
              </w:rPr>
            </m:ctrlPr>
          </m:eqArrPr>
          <m:e>
            <m:r>
              <m:rPr/>
              <w:rPr>
                <w:rFonts w:ascii="Cambria Math" w:hAnsi="Cambria Math" w:cs="Times New Roman"/>
                <w:color w:val="auto"/>
                <w:kern w:val="0"/>
                <w:szCs w:val="20"/>
              </w:rPr>
              <m:t>B</m:t>
            </m:r>
            <m:r>
              <m:rPr>
                <m:sty m:val="p"/>
              </m:rPr>
              <w:rPr>
                <w:rFonts w:ascii="Cambria Math" w:hAnsi="Cambria Math" w:cs="Times New Roman"/>
                <w:color w:val="auto"/>
                <w:kern w:val="0"/>
                <w:szCs w:val="20"/>
              </w:rPr>
              <m:t>=</m:t>
            </m:r>
            <m:r>
              <m:rPr/>
              <w:rPr>
                <w:rFonts w:ascii="Cambria Math" w:hAnsi="Cambria Math" w:cs="Times New Roman"/>
                <w:color w:val="auto"/>
                <w:kern w:val="0"/>
                <w:szCs w:val="20"/>
              </w:rPr>
              <m:t>W</m:t>
            </m:r>
            <m:r>
              <m:rPr>
                <m:sty m:val="p"/>
              </m:rPr>
              <w:rPr>
                <w:rFonts w:ascii="Cambria Math" w:hAnsi="Cambria Math" w:cs="Times New Roman"/>
                <w:color w:val="auto"/>
                <w:kern w:val="0"/>
                <w:szCs w:val="20"/>
              </w:rPr>
              <m:t>·</m:t>
            </m:r>
            <m:r>
              <m:rPr/>
              <w:rPr>
                <w:rFonts w:ascii="Cambria Math" w:hAnsi="Cambria Math" w:cs="Times New Roman"/>
                <w:color w:val="auto"/>
                <w:kern w:val="0"/>
                <w:szCs w:val="20"/>
              </w:rPr>
              <m:t>R</m:t>
            </m:r>
            <m:r>
              <m:rPr>
                <m:sty m:val="p"/>
              </m:rPr>
              <w:rPr>
                <w:rFonts w:ascii="Cambria Math" w:hAnsi="Cambria Math" w:cs="Times New Roman"/>
                <w:color w:val="auto"/>
                <w:kern w:val="0"/>
                <w:szCs w:val="20"/>
              </w:rPr>
              <m:t>=</m:t>
            </m:r>
            <m:d>
              <m:dPr>
                <m:ctrlPr>
                  <w:rPr>
                    <w:rFonts w:ascii="Cambria Math" w:hAnsi="Cambria Math" w:cs="Times New Roman"/>
                    <w:color w:val="auto"/>
                    <w:kern w:val="0"/>
                    <w:szCs w:val="20"/>
                  </w:rPr>
                </m:ctrlPr>
              </m:dPr>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w</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1</m:t>
                    </m:r>
                    <m:ctrlPr>
                      <w:rPr>
                        <w:rFonts w:ascii="Cambria Math" w:hAnsi="Cambria Math" w:cs="Times New Roman"/>
                        <w:color w:val="auto"/>
                        <w:kern w:val="0"/>
                        <w:szCs w:val="20"/>
                      </w:rPr>
                    </m:ctrlPr>
                  </m:sub>
                </m:sSub>
                <m:r>
                  <m:rPr>
                    <m:sty m:val="p"/>
                  </m:rPr>
                  <w:rPr>
                    <w:rFonts w:ascii="Cambria Math" w:hAnsi="Cambria Math" w:cs="Times New Roman"/>
                    <w:color w:val="auto"/>
                    <w:kern w:val="0"/>
                    <w:szCs w:val="20"/>
                  </w:rPr>
                  <m:t>,</m:t>
                </m:r>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w</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2</m:t>
                    </m:r>
                    <m:ctrlPr>
                      <w:rPr>
                        <w:rFonts w:ascii="Cambria Math" w:hAnsi="Cambria Math" w:cs="Times New Roman"/>
                        <w:color w:val="auto"/>
                        <w:kern w:val="0"/>
                        <w:szCs w:val="20"/>
                      </w:rPr>
                    </m:ctrlPr>
                  </m:sub>
                </m:sSub>
                <m:r>
                  <m:rPr>
                    <m:sty m:val="p"/>
                  </m:rPr>
                  <w:rPr>
                    <w:rFonts w:ascii="Cambria Math" w:hAnsi="Cambria Math" w:cs="Times New Roman"/>
                    <w:color w:val="auto"/>
                    <w:kern w:val="0"/>
                    <w:szCs w:val="20"/>
                  </w:rPr>
                  <m:t>,</m:t>
                </m:r>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w</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3</m:t>
                    </m:r>
                    <m:ctrlPr>
                      <w:rPr>
                        <w:rFonts w:ascii="Cambria Math" w:hAnsi="Cambria Math" w:cs="Times New Roman"/>
                        <w:color w:val="auto"/>
                        <w:kern w:val="0"/>
                        <w:szCs w:val="20"/>
                      </w:rPr>
                    </m:ctrlPr>
                  </m:sub>
                </m:sSub>
                <m:r>
                  <m:rPr>
                    <m:sty m:val="p"/>
                  </m:rPr>
                  <w:rPr>
                    <w:rFonts w:ascii="Cambria Math" w:hAnsi="Cambria Math" w:cs="Times New Roman"/>
                    <w:color w:val="auto"/>
                    <w:kern w:val="0"/>
                    <w:szCs w:val="20"/>
                  </w:rPr>
                  <m:t>,···,</m:t>
                </m:r>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w</m:t>
                    </m:r>
                    <m:ctrlPr>
                      <w:rPr>
                        <w:rFonts w:ascii="Cambria Math" w:hAnsi="Cambria Math" w:cs="Times New Roman"/>
                        <w:color w:val="auto"/>
                        <w:kern w:val="0"/>
                        <w:szCs w:val="20"/>
                      </w:rPr>
                    </m:ctrlPr>
                  </m:e>
                  <m:sub>
                    <m:r>
                      <m:rPr/>
                      <w:rPr>
                        <w:rFonts w:ascii="Cambria Math" w:hAnsi="Cambria Math" w:cs="Times New Roman"/>
                        <w:color w:val="auto"/>
                        <w:kern w:val="0"/>
                        <w:szCs w:val="20"/>
                      </w:rPr>
                      <m:t>n</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d>
            <m:r>
              <m:rPr>
                <m:sty m:val="p"/>
              </m:rPr>
              <w:rPr>
                <w:rFonts w:ascii="Cambria Math" w:hAnsi="Cambria Math" w:cs="Times New Roman"/>
                <w:color w:val="auto"/>
                <w:kern w:val="0"/>
                <w:szCs w:val="20"/>
              </w:rPr>
              <m:t>·</m:t>
            </m:r>
            <m:d>
              <m:dPr>
                <m:begChr m:val="["/>
                <m:endChr m:val="]"/>
                <m:ctrlPr>
                  <w:rPr>
                    <w:rFonts w:ascii="Cambria Math" w:hAnsi="Cambria Math" w:cs="Times New Roman"/>
                    <w:color w:val="auto"/>
                    <w:kern w:val="0"/>
                    <w:szCs w:val="20"/>
                  </w:rPr>
                </m:ctrlPr>
              </m:dPr>
              <m:e>
                <m:m>
                  <m:mPr>
                    <m:mcs>
                      <m:mc>
                        <m:mcPr>
                          <m:count m:val="4"/>
                          <m:mcJc m:val="center"/>
                        </m:mcPr>
                      </m:mc>
                    </m:mcs>
                    <m:ctrlPr>
                      <w:rPr>
                        <w:rFonts w:ascii="Cambria Math" w:hAnsi="Cambria Math" w:cs="Times New Roman"/>
                        <w:color w:val="auto"/>
                        <w:kern w:val="0"/>
                        <w:szCs w:val="20"/>
                      </w:rPr>
                    </m:ctrlPr>
                  </m:mPr>
                  <m:mr>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r</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11</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r</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12</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e>
                      <m:r>
                        <m:rPr>
                          <m:sty m:val="p"/>
                        </m:rPr>
                        <w:rPr>
                          <w:rFonts w:ascii="Cambria Math" w:hAnsi="Cambria Math" w:cs="Times New Roman"/>
                          <w:color w:val="auto"/>
                          <w:kern w:val="0"/>
                          <w:szCs w:val="20"/>
                        </w:rPr>
                        <m:t>···</m:t>
                      </m:r>
                      <m:ctrlPr>
                        <w:rPr>
                          <w:rFonts w:ascii="Cambria Math" w:hAnsi="Cambria Math" w:cs="Times New Roman"/>
                          <w:color w:val="auto"/>
                          <w:kern w:val="0"/>
                          <w:szCs w:val="20"/>
                        </w:rPr>
                      </m:ctrlPr>
                    </m:e>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r</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1</m:t>
                          </m:r>
                          <m:r>
                            <m:rPr/>
                            <w:rPr>
                              <w:rFonts w:ascii="Cambria Math" w:hAnsi="Cambria Math" w:cs="Times New Roman"/>
                              <w:color w:val="auto"/>
                              <w:kern w:val="0"/>
                              <w:szCs w:val="20"/>
                            </w:rPr>
                            <m:t>m</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mr>
                  <m:mr>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r</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21</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r</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22</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e>
                      <m:r>
                        <m:rPr>
                          <m:sty m:val="p"/>
                        </m:rPr>
                        <w:rPr>
                          <w:rFonts w:ascii="Cambria Math" w:hAnsi="Cambria Math" w:cs="Times New Roman"/>
                          <w:color w:val="auto"/>
                          <w:kern w:val="0"/>
                          <w:szCs w:val="20"/>
                        </w:rPr>
                        <m:t>···</m:t>
                      </m:r>
                      <m:ctrlPr>
                        <w:rPr>
                          <w:rFonts w:ascii="Cambria Math" w:hAnsi="Cambria Math" w:cs="Times New Roman"/>
                          <w:color w:val="auto"/>
                          <w:kern w:val="0"/>
                          <w:szCs w:val="20"/>
                        </w:rPr>
                      </m:ctrlPr>
                    </m:e>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r</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2</m:t>
                          </m:r>
                          <m:r>
                            <m:rPr/>
                            <w:rPr>
                              <w:rFonts w:ascii="Cambria Math" w:hAnsi="Cambria Math" w:cs="Times New Roman"/>
                              <w:color w:val="auto"/>
                              <w:kern w:val="0"/>
                              <w:szCs w:val="20"/>
                            </w:rPr>
                            <m:t>m</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mr>
                  <m:mr>
                    <m:e>
                      <m:r>
                        <m:rPr>
                          <m:sty m:val="p"/>
                        </m:rPr>
                        <w:rPr>
                          <w:rFonts w:ascii="Cambria Math" w:hAnsi="Cambria Math" w:cs="Times New Roman"/>
                          <w:color w:val="auto"/>
                          <w:kern w:val="0"/>
                          <w:szCs w:val="20"/>
                        </w:rPr>
                        <m:t>···</m:t>
                      </m:r>
                      <m:ctrlPr>
                        <w:rPr>
                          <w:rFonts w:ascii="Cambria Math" w:hAnsi="Cambria Math" w:cs="Times New Roman"/>
                          <w:color w:val="auto"/>
                          <w:kern w:val="0"/>
                          <w:szCs w:val="20"/>
                        </w:rPr>
                      </m:ctrlPr>
                    </m:e>
                    <m:e>
                      <m:r>
                        <m:rPr>
                          <m:sty m:val="p"/>
                        </m:rPr>
                        <w:rPr>
                          <w:rFonts w:ascii="Cambria Math" w:hAnsi="Cambria Math" w:cs="Times New Roman"/>
                          <w:color w:val="auto"/>
                          <w:kern w:val="0"/>
                          <w:szCs w:val="20"/>
                        </w:rPr>
                        <m:t>···</m:t>
                      </m:r>
                      <m:ctrlPr>
                        <w:rPr>
                          <w:rFonts w:ascii="Cambria Math" w:hAnsi="Cambria Math" w:cs="Times New Roman"/>
                          <w:color w:val="auto"/>
                          <w:kern w:val="0"/>
                          <w:szCs w:val="20"/>
                        </w:rPr>
                      </m:ctrlPr>
                    </m:e>
                    <m:e>
                      <m:r>
                        <m:rPr>
                          <m:sty m:val="p"/>
                        </m:rPr>
                        <w:rPr>
                          <w:rFonts w:ascii="Cambria Math" w:hAnsi="Cambria Math" w:cs="Times New Roman"/>
                          <w:color w:val="auto"/>
                          <w:kern w:val="0"/>
                          <w:szCs w:val="20"/>
                        </w:rPr>
                        <m:t>···</m:t>
                      </m:r>
                      <m:ctrlPr>
                        <w:rPr>
                          <w:rFonts w:ascii="Cambria Math" w:hAnsi="Cambria Math" w:cs="Times New Roman"/>
                          <w:color w:val="auto"/>
                          <w:kern w:val="0"/>
                          <w:szCs w:val="20"/>
                        </w:rPr>
                      </m:ctrlPr>
                    </m:e>
                    <m:e>
                      <m:r>
                        <m:rPr>
                          <m:sty m:val="p"/>
                        </m:rPr>
                        <w:rPr>
                          <w:rFonts w:ascii="Cambria Math" w:hAnsi="Cambria Math" w:cs="Times New Roman"/>
                          <w:color w:val="auto"/>
                          <w:kern w:val="0"/>
                          <w:szCs w:val="20"/>
                        </w:rPr>
                        <m:t>···</m:t>
                      </m:r>
                      <m:ctrlPr>
                        <w:rPr>
                          <w:rFonts w:ascii="Cambria Math" w:hAnsi="Cambria Math" w:cs="Times New Roman"/>
                          <w:color w:val="auto"/>
                          <w:kern w:val="0"/>
                          <w:szCs w:val="20"/>
                        </w:rPr>
                      </m:ctrlPr>
                    </m:e>
                  </m:mr>
                  <m:mr>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r</m:t>
                          </m:r>
                          <m:ctrlPr>
                            <w:rPr>
                              <w:rFonts w:ascii="Cambria Math" w:hAnsi="Cambria Math" w:cs="Times New Roman"/>
                              <w:color w:val="auto"/>
                              <w:kern w:val="0"/>
                              <w:szCs w:val="20"/>
                            </w:rPr>
                          </m:ctrlPr>
                        </m:e>
                        <m:sub>
                          <m:r>
                            <m:rPr/>
                            <w:rPr>
                              <w:rFonts w:ascii="Cambria Math" w:hAnsi="Cambria Math" w:cs="Times New Roman"/>
                              <w:color w:val="auto"/>
                              <w:kern w:val="0"/>
                              <w:szCs w:val="20"/>
                            </w:rPr>
                            <m:t>n</m:t>
                          </m:r>
                          <m:r>
                            <m:rPr>
                              <m:sty m:val="p"/>
                            </m:rPr>
                            <w:rPr>
                              <w:rFonts w:ascii="Cambria Math" w:hAnsi="Cambria Math" w:cs="Times New Roman"/>
                              <w:color w:val="auto"/>
                              <w:kern w:val="0"/>
                              <w:szCs w:val="20"/>
                            </w:rPr>
                            <m:t>1</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r</m:t>
                          </m:r>
                          <m:ctrlPr>
                            <w:rPr>
                              <w:rFonts w:ascii="Cambria Math" w:hAnsi="Cambria Math" w:cs="Times New Roman"/>
                              <w:color w:val="auto"/>
                              <w:kern w:val="0"/>
                              <w:szCs w:val="20"/>
                            </w:rPr>
                          </m:ctrlPr>
                        </m:e>
                        <m:sub>
                          <m:r>
                            <m:rPr/>
                            <w:rPr>
                              <w:rFonts w:ascii="Cambria Math" w:hAnsi="Cambria Math" w:cs="Times New Roman"/>
                              <w:color w:val="auto"/>
                              <w:kern w:val="0"/>
                              <w:szCs w:val="20"/>
                            </w:rPr>
                            <m:t>n</m:t>
                          </m:r>
                          <m:r>
                            <m:rPr>
                              <m:sty m:val="p"/>
                            </m:rPr>
                            <w:rPr>
                              <w:rFonts w:ascii="Cambria Math" w:hAnsi="Cambria Math" w:cs="Times New Roman"/>
                              <w:color w:val="auto"/>
                              <w:kern w:val="0"/>
                              <w:szCs w:val="20"/>
                            </w:rPr>
                            <m:t>2</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e>
                      <m:r>
                        <m:rPr>
                          <m:sty m:val="p"/>
                        </m:rPr>
                        <w:rPr>
                          <w:rFonts w:ascii="Cambria Math" w:hAnsi="Cambria Math" w:cs="Times New Roman"/>
                          <w:color w:val="auto"/>
                          <w:kern w:val="0"/>
                          <w:szCs w:val="20"/>
                        </w:rPr>
                        <m:t>···</m:t>
                      </m:r>
                      <m:ctrlPr>
                        <w:rPr>
                          <w:rFonts w:ascii="Cambria Math" w:hAnsi="Cambria Math" w:cs="Times New Roman"/>
                          <w:color w:val="auto"/>
                          <w:kern w:val="0"/>
                          <w:szCs w:val="20"/>
                        </w:rPr>
                      </m:ctrlPr>
                    </m:e>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r</m:t>
                          </m:r>
                          <m:ctrlPr>
                            <w:rPr>
                              <w:rFonts w:ascii="Cambria Math" w:hAnsi="Cambria Math" w:cs="Times New Roman"/>
                              <w:color w:val="auto"/>
                              <w:kern w:val="0"/>
                              <w:szCs w:val="20"/>
                            </w:rPr>
                          </m:ctrlPr>
                        </m:e>
                        <m:sub>
                          <m:r>
                            <m:rPr/>
                            <w:rPr>
                              <w:rFonts w:ascii="Cambria Math" w:hAnsi="Cambria Math" w:cs="Times New Roman"/>
                              <w:color w:val="auto"/>
                              <w:kern w:val="0"/>
                              <w:szCs w:val="20"/>
                            </w:rPr>
                            <m:t>nm</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mr>
                </m:m>
                <m:ctrlPr>
                  <w:rPr>
                    <w:rFonts w:ascii="Cambria Math" w:hAnsi="Cambria Math" w:cs="Times New Roman"/>
                    <w:color w:val="auto"/>
                    <w:kern w:val="0"/>
                    <w:szCs w:val="20"/>
                  </w:rPr>
                </m:ctrlPr>
              </m:e>
            </m:d>
            <m:r>
              <m:rPr>
                <m:sty m:val="p"/>
              </m:rPr>
              <w:rPr>
                <w:rFonts w:ascii="Cambria Math" w:hAnsi="Cambria Math" w:cs="Times New Roman"/>
                <w:color w:val="auto"/>
                <w:kern w:val="0"/>
                <w:szCs w:val="20"/>
              </w:rPr>
              <m:t>=</m:t>
            </m:r>
            <m:d>
              <m:dPr>
                <m:ctrlPr>
                  <w:rPr>
                    <w:rFonts w:ascii="Cambria Math" w:hAnsi="Cambria Math" w:cs="Times New Roman"/>
                    <w:color w:val="auto"/>
                    <w:kern w:val="0"/>
                    <w:szCs w:val="20"/>
                  </w:rPr>
                </m:ctrlPr>
              </m:dPr>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b</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1</m:t>
                    </m:r>
                    <m:ctrlPr>
                      <w:rPr>
                        <w:rFonts w:ascii="Cambria Math" w:hAnsi="Cambria Math" w:cs="Times New Roman"/>
                        <w:color w:val="auto"/>
                        <w:kern w:val="0"/>
                        <w:szCs w:val="20"/>
                      </w:rPr>
                    </m:ctrlPr>
                  </m:sub>
                </m:sSub>
                <m:r>
                  <m:rPr>
                    <m:sty m:val="p"/>
                  </m:rPr>
                  <w:rPr>
                    <w:rFonts w:ascii="Cambria Math" w:hAnsi="Cambria Math" w:cs="Times New Roman"/>
                    <w:color w:val="auto"/>
                    <w:kern w:val="0"/>
                    <w:szCs w:val="20"/>
                  </w:rPr>
                  <m:t>,</m:t>
                </m:r>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b</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2</m:t>
                    </m:r>
                    <m:ctrlPr>
                      <w:rPr>
                        <w:rFonts w:ascii="Cambria Math" w:hAnsi="Cambria Math" w:cs="Times New Roman"/>
                        <w:color w:val="auto"/>
                        <w:kern w:val="0"/>
                        <w:szCs w:val="20"/>
                      </w:rPr>
                    </m:ctrlPr>
                  </m:sub>
                </m:sSub>
                <m:r>
                  <m:rPr>
                    <m:sty m:val="p"/>
                  </m:rPr>
                  <w:rPr>
                    <w:rFonts w:ascii="Cambria Math" w:hAnsi="Cambria Math" w:cs="Times New Roman"/>
                    <w:color w:val="auto"/>
                    <w:kern w:val="0"/>
                    <w:szCs w:val="20"/>
                  </w:rPr>
                  <m:t>,</m:t>
                </m:r>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b</m:t>
                    </m:r>
                    <m:ctrlPr>
                      <w:rPr>
                        <w:rFonts w:ascii="Cambria Math" w:hAnsi="Cambria Math" w:cs="Times New Roman"/>
                        <w:color w:val="auto"/>
                        <w:kern w:val="0"/>
                        <w:szCs w:val="20"/>
                      </w:rPr>
                    </m:ctrlPr>
                  </m:e>
                  <m:sub>
                    <m:r>
                      <m:rPr>
                        <m:sty m:val="p"/>
                      </m:rPr>
                      <w:rPr>
                        <w:rFonts w:ascii="Cambria Math" w:hAnsi="Cambria Math" w:cs="Times New Roman"/>
                        <w:color w:val="auto"/>
                        <w:kern w:val="0"/>
                        <w:szCs w:val="20"/>
                      </w:rPr>
                      <m:t>3</m:t>
                    </m:r>
                    <m:ctrlPr>
                      <w:rPr>
                        <w:rFonts w:ascii="Cambria Math" w:hAnsi="Cambria Math" w:cs="Times New Roman"/>
                        <w:color w:val="auto"/>
                        <w:kern w:val="0"/>
                        <w:szCs w:val="20"/>
                      </w:rPr>
                    </m:ctrlPr>
                  </m:sub>
                </m:sSub>
                <m:r>
                  <m:rPr>
                    <m:sty m:val="p"/>
                  </m:rPr>
                  <w:rPr>
                    <w:rFonts w:ascii="Cambria Math" w:hAnsi="Cambria Math" w:cs="Times New Roman"/>
                    <w:color w:val="auto"/>
                    <w:kern w:val="0"/>
                    <w:szCs w:val="20"/>
                  </w:rPr>
                  <m:t>,···,</m:t>
                </m:r>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b</m:t>
                    </m:r>
                    <m:ctrlPr>
                      <w:rPr>
                        <w:rFonts w:ascii="Cambria Math" w:hAnsi="Cambria Math" w:cs="Times New Roman"/>
                        <w:color w:val="auto"/>
                        <w:kern w:val="0"/>
                        <w:szCs w:val="20"/>
                      </w:rPr>
                    </m:ctrlPr>
                  </m:e>
                  <m:sub>
                    <m:r>
                      <m:rPr/>
                      <w:rPr>
                        <w:rFonts w:ascii="Cambria Math" w:hAnsi="Cambria Math" w:cs="Times New Roman"/>
                        <w:color w:val="auto"/>
                        <w:kern w:val="0"/>
                        <w:szCs w:val="20"/>
                      </w:rPr>
                      <m:t>n</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d>
            <m:ctrlPr>
              <w:rPr>
                <w:rFonts w:ascii="Cambria Math" w:hAnsi="Cambria Math" w:cs="Times New Roman"/>
                <w:color w:val="auto"/>
                <w:kern w:val="0"/>
                <w:szCs w:val="20"/>
              </w:rPr>
            </m:ctrlPr>
          </m:e>
        </m:eqArr>
      </m:oMath>
      <w:r>
        <w:rPr>
          <w:rFonts w:hint="eastAsia" w:hAnsi="Cambria Math" w:cs="Times New Roman"/>
          <w:i w:val="0"/>
          <w:color w:val="auto"/>
          <w:kern w:val="0"/>
          <w:szCs w:val="20"/>
          <w:lang w:val="en-US" w:eastAsia="zh-CN"/>
        </w:rPr>
        <w:tab/>
      </w:r>
      <w:r>
        <w:rPr>
          <w:rFonts w:hint="eastAsia" w:hAnsi="Cambria Math" w:cs="Times New Roman"/>
          <w:i w:val="0"/>
          <w:color w:val="auto"/>
          <w:kern w:val="0"/>
          <w:szCs w:val="20"/>
          <w:lang w:val="en-US" w:eastAsia="zh-CN"/>
        </w:rPr>
        <w:tab/>
      </w:r>
      <w:r>
        <w:rPr>
          <w:rFonts w:hint="eastAsia" w:hAnsi="Cambria Math" w:cs="Times New Roman"/>
          <w:i w:val="0"/>
          <w:color w:val="auto"/>
          <w:kern w:val="0"/>
          <w:szCs w:val="20"/>
          <w:lang w:val="en-US" w:eastAsia="zh-CN"/>
        </w:rPr>
        <w:t>（</w:t>
      </w:r>
      <w:r>
        <w:rPr>
          <w:rFonts w:hint="eastAsia" w:ascii="Times New Roman" w:hAnsi="Times New Roman" w:cs="Times New Roman"/>
          <w:color w:val="auto"/>
          <w:kern w:val="0"/>
          <w:szCs w:val="20"/>
          <w:lang w:val="en-US" w:eastAsia="zh-CN"/>
        </w:rPr>
        <w:t>9</w:t>
      </w:r>
      <w:r>
        <w:rPr>
          <w:rFonts w:hint="eastAsia" w:hAnsi="Cambria Math" w:cs="Times New Roman"/>
          <w:i w:val="0"/>
          <w:color w:val="auto"/>
          <w:kern w:val="0"/>
          <w:szCs w:val="20"/>
          <w:lang w:val="en-US" w:eastAsia="zh-CN"/>
        </w:rPr>
        <w:t>）</w:t>
      </w:r>
    </w:p>
    <w:p>
      <w:pPr>
        <w:spacing w:line="240" w:lineRule="auto"/>
        <w:ind w:firstLine="420"/>
        <w:rPr>
          <w:rFonts w:ascii="Times New Roman" w:hAnsi="Times New Roman" w:cs="Times New Roman"/>
          <w:color w:val="auto"/>
          <w:kern w:val="0"/>
          <w:szCs w:val="20"/>
        </w:rPr>
      </w:pPr>
      <w:r>
        <w:rPr>
          <w:rFonts w:ascii="Times New Roman" w:hAnsi="Times New Roman" w:cs="Times New Roman"/>
          <w:color w:val="auto"/>
          <w:kern w:val="0"/>
          <w:szCs w:val="20"/>
        </w:rPr>
        <w:t>式中：</w:t>
      </w:r>
    </w:p>
    <w:p>
      <w:pPr>
        <w:spacing w:line="240" w:lineRule="auto"/>
        <w:ind w:firstLine="420"/>
        <w:rPr>
          <w:rFonts w:ascii="Times New Roman" w:hAnsi="Times New Roman" w:cs="Times New Roman"/>
          <w:color w:val="auto"/>
          <w:kern w:val="0"/>
          <w:szCs w:val="20"/>
        </w:rPr>
      </w:pPr>
      <m:oMath>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b</m:t>
            </m:r>
            <m:ctrlPr>
              <w:rPr>
                <w:rFonts w:ascii="Cambria Math" w:hAnsi="Cambria Math" w:cs="Times New Roman"/>
                <w:color w:val="auto"/>
                <w:kern w:val="0"/>
                <w:szCs w:val="20"/>
              </w:rPr>
            </m:ctrlPr>
          </m:e>
          <m:sub>
            <m:r>
              <m:rPr/>
              <w:rPr>
                <w:rFonts w:ascii="Cambria Math" w:hAnsi="Cambria Math" w:cs="Times New Roman"/>
                <w:color w:val="auto"/>
                <w:kern w:val="0"/>
                <w:szCs w:val="20"/>
              </w:rPr>
              <m:t>n</m:t>
            </m:r>
            <m:ctrlPr>
              <w:rPr>
                <w:rFonts w:ascii="Cambria Math" w:hAnsi="Cambria Math" w:cs="Times New Roman"/>
                <w:color w:val="auto"/>
                <w:kern w:val="0"/>
                <w:szCs w:val="20"/>
              </w:rPr>
            </m:ctrlPr>
          </m:sub>
        </m:sSub>
      </m:oMath>
      <w:r>
        <w:rPr>
          <w:rFonts w:ascii="Times New Roman" w:hAnsi="Times New Roman" w:cs="Times New Roman"/>
          <w:color w:val="auto"/>
          <w:kern w:val="0"/>
          <w:szCs w:val="20"/>
        </w:rPr>
        <w:t>——CO</w:t>
      </w:r>
      <w:r>
        <w:rPr>
          <w:rFonts w:ascii="Times New Roman" w:hAnsi="Times New Roman" w:cs="Times New Roman"/>
          <w:color w:val="auto"/>
          <w:kern w:val="0"/>
          <w:szCs w:val="20"/>
          <w:vertAlign w:val="subscript"/>
        </w:rPr>
        <w:t>2</w:t>
      </w:r>
      <w:r>
        <w:rPr>
          <w:rFonts w:ascii="Times New Roman" w:hAnsi="Times New Roman" w:cs="Times New Roman"/>
          <w:color w:val="auto"/>
          <w:kern w:val="0"/>
          <w:szCs w:val="20"/>
        </w:rPr>
        <w:t>封存适宜性对第</w:t>
      </w:r>
      <m:oMath>
        <m:r>
          <m:rPr/>
          <w:rPr>
            <w:rFonts w:ascii="Cambria Math" w:hAnsi="Cambria Math" w:cs="Times New Roman"/>
            <w:color w:val="auto"/>
            <w:kern w:val="0"/>
            <w:szCs w:val="20"/>
          </w:rPr>
          <m:t>n</m:t>
        </m:r>
      </m:oMath>
      <w:r>
        <w:rPr>
          <w:rFonts w:ascii="Times New Roman" w:hAnsi="Times New Roman" w:cs="Times New Roman"/>
          <w:color w:val="auto"/>
          <w:kern w:val="0"/>
          <w:szCs w:val="20"/>
        </w:rPr>
        <w:t>个评价指标适宜性程度的隶属度。</w:t>
      </w:r>
    </w:p>
    <w:p>
      <w:pPr>
        <w:spacing w:line="240" w:lineRule="auto"/>
        <w:ind w:firstLine="420"/>
        <w:rPr>
          <w:rFonts w:ascii="Times New Roman" w:hAnsi="Times New Roman" w:cs="Times New Roman"/>
          <w:color w:val="auto"/>
          <w:kern w:val="0"/>
          <w:szCs w:val="20"/>
        </w:rPr>
      </w:pPr>
      <w:r>
        <w:rPr>
          <w:rFonts w:ascii="Times New Roman" w:hAnsi="Times New Roman" w:cs="Times New Roman"/>
          <w:color w:val="auto"/>
          <w:kern w:val="0"/>
          <w:szCs w:val="20"/>
        </w:rPr>
        <w:t>g）确定适宜度：利用模糊综合评判向量</w:t>
      </w:r>
      <m:oMath>
        <m:r>
          <m:rPr/>
          <w:rPr>
            <w:rFonts w:ascii="Cambria Math" w:hAnsi="Cambria Math" w:cs="Times New Roman"/>
            <w:color w:val="auto"/>
            <w:kern w:val="0"/>
            <w:szCs w:val="20"/>
          </w:rPr>
          <m:t>B</m:t>
        </m:r>
      </m:oMath>
      <w:r>
        <w:rPr>
          <w:rFonts w:ascii="Times New Roman" w:hAnsi="Times New Roman" w:cs="Times New Roman"/>
          <w:color w:val="auto"/>
          <w:kern w:val="0"/>
          <w:szCs w:val="20"/>
        </w:rPr>
        <w:t>对评语集</w:t>
      </w:r>
      <m:oMath>
        <m:r>
          <m:rPr/>
          <w:rPr>
            <w:rFonts w:ascii="Cambria Math" w:hAnsi="Cambria Math" w:cs="Times New Roman"/>
            <w:color w:val="auto"/>
            <w:kern w:val="0"/>
            <w:szCs w:val="20"/>
          </w:rPr>
          <m:t>V</m:t>
        </m:r>
      </m:oMath>
      <w:r>
        <w:rPr>
          <w:rFonts w:ascii="Times New Roman" w:hAnsi="Times New Roman" w:cs="Times New Roman"/>
          <w:color w:val="auto"/>
          <w:kern w:val="0"/>
          <w:szCs w:val="20"/>
        </w:rPr>
        <w:t>中的元素数量化，如对评语集</w:t>
      </w:r>
      <m:oMath>
        <m:r>
          <m:rPr/>
          <w:rPr>
            <w:rFonts w:ascii="Cambria Math" w:hAnsi="Cambria Math" w:cs="Times New Roman"/>
            <w:color w:val="auto"/>
            <w:kern w:val="0"/>
            <w:szCs w:val="20"/>
          </w:rPr>
          <m:t>V</m:t>
        </m:r>
        <m:r>
          <m:rPr>
            <m:sty m:val="p"/>
          </m:rPr>
          <w:rPr>
            <w:rFonts w:ascii="Cambria Math" w:hAnsi="Cambria Math" w:cs="Times New Roman"/>
            <w:color w:val="auto"/>
            <w:kern w:val="0"/>
            <w:szCs w:val="20"/>
          </w:rPr>
          <m:t>=</m:t>
        </m:r>
      </m:oMath>
      <w:r>
        <w:rPr>
          <w:rFonts w:ascii="Times New Roman" w:hAnsi="Times New Roman" w:cs="Times New Roman"/>
          <w:color w:val="auto"/>
          <w:kern w:val="0"/>
          <w:szCs w:val="20"/>
        </w:rPr>
        <w:t>{好，较好，中等，较差，差}中的元素数量化为</w:t>
      </w:r>
      <m:oMath>
        <m:r>
          <m:rPr/>
          <w:rPr>
            <w:rFonts w:ascii="Cambria Math" w:hAnsi="Cambria Math" w:cs="Times New Roman"/>
            <w:color w:val="auto"/>
            <w:kern w:val="0"/>
            <w:szCs w:val="20"/>
          </w:rPr>
          <m:t>V</m:t>
        </m:r>
        <m:r>
          <m:rPr>
            <m:sty m:val="p"/>
          </m:rPr>
          <w:rPr>
            <w:rFonts w:ascii="Cambria Math" w:hAnsi="Cambria Math" w:cs="Times New Roman"/>
            <w:color w:val="auto"/>
            <w:kern w:val="0"/>
            <w:szCs w:val="20"/>
          </w:rPr>
          <m:t>=</m:t>
        </m:r>
      </m:oMath>
      <w:r>
        <w:rPr>
          <w:rFonts w:ascii="Times New Roman" w:hAnsi="Times New Roman" w:cs="Times New Roman"/>
          <w:color w:val="auto"/>
          <w:kern w:val="0"/>
          <w:szCs w:val="20"/>
        </w:rPr>
        <w:t>{9，7，5，3，1}。</w:t>
      </w:r>
    </w:p>
    <w:p>
      <w:pPr>
        <w:spacing w:line="240" w:lineRule="auto"/>
        <w:ind w:firstLine="420"/>
        <w:rPr>
          <w:rFonts w:ascii="Times New Roman" w:hAnsi="Times New Roman" w:cs="Times New Roman"/>
          <w:color w:val="auto"/>
          <w:kern w:val="0"/>
          <w:szCs w:val="20"/>
        </w:rPr>
      </w:pPr>
      <w:r>
        <w:rPr>
          <w:rFonts w:ascii="Times New Roman" w:hAnsi="Times New Roman" w:cs="Times New Roman"/>
          <w:color w:val="auto"/>
          <w:kern w:val="0"/>
          <w:szCs w:val="20"/>
        </w:rPr>
        <w:t>h）综合评价结果分析：计算CO</w:t>
      </w:r>
      <w:r>
        <w:rPr>
          <w:rFonts w:ascii="Times New Roman" w:hAnsi="Times New Roman" w:cs="Times New Roman"/>
          <w:color w:val="auto"/>
          <w:kern w:val="0"/>
          <w:szCs w:val="20"/>
          <w:vertAlign w:val="subscript"/>
        </w:rPr>
        <w:t>2</w:t>
      </w:r>
      <w:r>
        <w:rPr>
          <w:rFonts w:ascii="Times New Roman" w:hAnsi="Times New Roman" w:cs="Times New Roman"/>
          <w:color w:val="auto"/>
          <w:kern w:val="0"/>
          <w:szCs w:val="20"/>
        </w:rPr>
        <w:t>封存适宜性综合得分，得到最终评价结果：</w:t>
      </w:r>
    </w:p>
    <w:p>
      <w:pPr>
        <w:keepNext w:val="0"/>
        <w:keepLines w:val="0"/>
        <w:pageBreakBefore w:val="0"/>
        <w:widowControl w:val="0"/>
        <w:tabs>
          <w:tab w:val="decimal" w:pos="6720"/>
        </w:tabs>
        <w:kinsoku/>
        <w:wordWrap/>
        <w:overflowPunct/>
        <w:topLinePunct w:val="0"/>
        <w:autoSpaceDE/>
        <w:autoSpaceDN/>
        <w:bidi w:val="0"/>
        <w:adjustRightInd w:val="0"/>
        <w:snapToGrid/>
        <w:spacing w:line="240" w:lineRule="auto"/>
        <w:ind w:firstLine="420"/>
        <w:jc w:val="right"/>
        <w:textAlignment w:val="auto"/>
        <w:rPr>
          <w:rFonts w:hint="eastAsia" w:ascii="Times New Roman" w:hAnsi="Times New Roman" w:eastAsia="宋体" w:cs="Times New Roman"/>
          <w:color w:val="auto"/>
          <w:kern w:val="0"/>
          <w:szCs w:val="20"/>
          <w:lang w:val="en-US" w:eastAsia="zh-CN"/>
        </w:rPr>
      </w:pPr>
      <m:oMath>
        <m:eqArr>
          <m:eqArrPr>
            <m:maxDist m:val="1"/>
            <m:ctrlPr>
              <w:rPr>
                <w:rFonts w:ascii="Cambria Math" w:hAnsi="Cambria Math" w:cs="Times New Roman"/>
                <w:color w:val="auto"/>
                <w:kern w:val="0"/>
                <w:szCs w:val="20"/>
              </w:rPr>
            </m:ctrlPr>
          </m:eqArrPr>
          <m:e>
            <m:r>
              <m:rPr/>
              <w:rPr>
                <w:rFonts w:ascii="Cambria Math" w:hAnsi="Cambria Math" w:cs="Times New Roman"/>
                <w:color w:val="auto"/>
                <w:kern w:val="0"/>
                <w:szCs w:val="20"/>
              </w:rPr>
              <m:t>P</m:t>
            </m:r>
            <m:r>
              <m:rPr>
                <m:sty m:val="p"/>
              </m:rPr>
              <w:rPr>
                <w:rFonts w:ascii="Cambria Math" w:hAnsi="Cambria Math" w:cs="Times New Roman"/>
                <w:color w:val="auto"/>
                <w:kern w:val="0"/>
                <w:szCs w:val="20"/>
              </w:rPr>
              <m:t>=</m:t>
            </m:r>
            <m:nary>
              <m:naryPr>
                <m:chr m:val="∑"/>
                <m:limLoc m:val="undOvr"/>
                <m:ctrlPr>
                  <w:rPr>
                    <w:rFonts w:ascii="Cambria Math" w:hAnsi="Cambria Math" w:cs="Times New Roman"/>
                    <w:color w:val="auto"/>
                    <w:kern w:val="0"/>
                    <w:szCs w:val="20"/>
                  </w:rPr>
                </m:ctrlPr>
              </m:naryPr>
              <m:sub>
                <m:r>
                  <m:rPr/>
                  <w:rPr>
                    <w:rFonts w:ascii="Cambria Math" w:hAnsi="Cambria Math" w:cs="Times New Roman"/>
                    <w:color w:val="auto"/>
                    <w:kern w:val="0"/>
                    <w:szCs w:val="20"/>
                  </w:rPr>
                  <m:t>j</m:t>
                </m:r>
                <m:r>
                  <m:rPr>
                    <m:sty m:val="p"/>
                  </m:rPr>
                  <w:rPr>
                    <w:rFonts w:ascii="Cambria Math" w:hAnsi="Cambria Math" w:cs="Times New Roman"/>
                    <w:color w:val="auto"/>
                    <w:kern w:val="0"/>
                    <w:szCs w:val="20"/>
                  </w:rPr>
                  <m:t>=1</m:t>
                </m:r>
                <m:ctrlPr>
                  <w:rPr>
                    <w:rFonts w:ascii="Cambria Math" w:hAnsi="Cambria Math" w:cs="Times New Roman"/>
                    <w:color w:val="auto"/>
                    <w:kern w:val="0"/>
                    <w:szCs w:val="20"/>
                  </w:rPr>
                </m:ctrlPr>
              </m:sub>
              <m:sup>
                <m:r>
                  <m:rPr/>
                  <w:rPr>
                    <w:rFonts w:ascii="Cambria Math" w:hAnsi="Cambria Math" w:cs="Times New Roman"/>
                    <w:color w:val="auto"/>
                    <w:kern w:val="0"/>
                    <w:szCs w:val="20"/>
                  </w:rPr>
                  <m:t>n</m:t>
                </m:r>
                <m:ctrlPr>
                  <w:rPr>
                    <w:rFonts w:ascii="Cambria Math" w:hAnsi="Cambria Math" w:cs="Times New Roman"/>
                    <w:color w:val="auto"/>
                    <w:kern w:val="0"/>
                    <w:szCs w:val="20"/>
                  </w:rPr>
                </m:ctrlPr>
              </m:sup>
              <m:e>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b</m:t>
                    </m:r>
                    <m:ctrlPr>
                      <w:rPr>
                        <w:rFonts w:ascii="Cambria Math" w:hAnsi="Cambria Math" w:cs="Times New Roman"/>
                        <w:color w:val="auto"/>
                        <w:kern w:val="0"/>
                        <w:szCs w:val="20"/>
                      </w:rPr>
                    </m:ctrlPr>
                  </m:e>
                  <m:sub>
                    <m:r>
                      <m:rPr/>
                      <w:rPr>
                        <w:rFonts w:ascii="Cambria Math" w:hAnsi="Cambria Math" w:cs="Times New Roman"/>
                        <w:color w:val="auto"/>
                        <w:kern w:val="0"/>
                        <w:szCs w:val="20"/>
                      </w:rPr>
                      <m:t>n</m:t>
                    </m:r>
                    <m:ctrlPr>
                      <w:rPr>
                        <w:rFonts w:ascii="Cambria Math" w:hAnsi="Cambria Math" w:cs="Times New Roman"/>
                        <w:color w:val="auto"/>
                        <w:kern w:val="0"/>
                        <w:szCs w:val="20"/>
                      </w:rPr>
                    </m:ctrlPr>
                  </m:sub>
                </m:sSub>
                <m:sSub>
                  <m:sSubPr>
                    <m:ctrlPr>
                      <w:rPr>
                        <w:rFonts w:ascii="Cambria Math" w:hAnsi="Cambria Math" w:cs="Times New Roman"/>
                        <w:color w:val="auto"/>
                        <w:kern w:val="0"/>
                        <w:szCs w:val="20"/>
                      </w:rPr>
                    </m:ctrlPr>
                  </m:sSubPr>
                  <m:e>
                    <m:r>
                      <m:rPr/>
                      <w:rPr>
                        <w:rFonts w:ascii="Cambria Math" w:hAnsi="Cambria Math" w:cs="Times New Roman"/>
                        <w:color w:val="auto"/>
                        <w:kern w:val="0"/>
                        <w:szCs w:val="20"/>
                      </w:rPr>
                      <m:t>p</m:t>
                    </m:r>
                    <m:ctrlPr>
                      <w:rPr>
                        <w:rFonts w:ascii="Cambria Math" w:hAnsi="Cambria Math" w:cs="Times New Roman"/>
                        <w:color w:val="auto"/>
                        <w:kern w:val="0"/>
                        <w:szCs w:val="20"/>
                      </w:rPr>
                    </m:ctrlPr>
                  </m:e>
                  <m:sub>
                    <m:r>
                      <m:rPr/>
                      <w:rPr>
                        <w:rFonts w:ascii="Cambria Math" w:hAnsi="Cambria Math" w:cs="Times New Roman"/>
                        <w:color w:val="auto"/>
                        <w:kern w:val="0"/>
                        <w:szCs w:val="20"/>
                      </w:rPr>
                      <m:t>j</m:t>
                    </m:r>
                    <m:ctrlPr>
                      <w:rPr>
                        <w:rFonts w:ascii="Cambria Math" w:hAnsi="Cambria Math" w:cs="Times New Roman"/>
                        <w:color w:val="auto"/>
                        <w:kern w:val="0"/>
                        <w:szCs w:val="20"/>
                      </w:rPr>
                    </m:ctrlPr>
                  </m:sub>
                </m:sSub>
                <m:ctrlPr>
                  <w:rPr>
                    <w:rFonts w:ascii="Cambria Math" w:hAnsi="Cambria Math" w:cs="Times New Roman"/>
                    <w:color w:val="auto"/>
                    <w:kern w:val="0"/>
                    <w:szCs w:val="20"/>
                  </w:rPr>
                </m:ctrlPr>
              </m:e>
            </m:nary>
            <m:ctrlPr>
              <w:rPr>
                <w:rFonts w:ascii="Cambria Math" w:hAnsi="Cambria Math" w:cs="Times New Roman"/>
                <w:color w:val="auto"/>
                <w:kern w:val="0"/>
                <w:szCs w:val="20"/>
              </w:rPr>
            </m:ctrlPr>
          </m:e>
        </m:eqArr>
      </m:oMath>
      <w:r>
        <w:rPr>
          <w:rFonts w:hint="eastAsia" w:hAnsi="Cambria Math" w:cs="Times New Roman"/>
          <w:i w:val="0"/>
          <w:color w:val="auto"/>
          <w:kern w:val="0"/>
          <w:szCs w:val="20"/>
          <w:lang w:val="en-US" w:eastAsia="zh-CN"/>
        </w:rPr>
        <w:tab/>
      </w:r>
      <w:r>
        <w:rPr>
          <w:rFonts w:hint="default" w:ascii="Times New Roman" w:hAnsi="Times New Roman" w:cs="Times New Roman"/>
          <w:i w:val="0"/>
          <w:color w:val="auto"/>
          <w:kern w:val="0"/>
          <w:szCs w:val="20"/>
          <w:lang w:val="en-US" w:eastAsia="zh-CN"/>
        </w:rPr>
        <w:t>（10）</w:t>
      </w:r>
    </w:p>
    <w:p>
      <w:pPr>
        <w:spacing w:line="240" w:lineRule="auto"/>
        <w:ind w:firstLine="420"/>
        <w:rPr>
          <w:rFonts w:ascii="Times New Roman" w:hAnsi="Times New Roman" w:cs="Times New Roman"/>
          <w:color w:val="auto"/>
          <w:kern w:val="0"/>
          <w:szCs w:val="20"/>
        </w:rPr>
      </w:pPr>
      <w:r>
        <w:rPr>
          <w:rFonts w:ascii="Times New Roman" w:hAnsi="Times New Roman" w:cs="Times New Roman"/>
          <w:color w:val="auto"/>
          <w:kern w:val="0"/>
          <w:szCs w:val="20"/>
        </w:rPr>
        <w:t>式中：</w:t>
      </w:r>
    </w:p>
    <w:p>
      <w:pPr>
        <w:spacing w:line="240" w:lineRule="auto"/>
        <w:ind w:firstLine="420"/>
        <w:rPr>
          <w:rFonts w:ascii="Times New Roman" w:hAnsi="Times New Roman" w:cs="Times New Roman"/>
          <w:color w:val="auto"/>
          <w:kern w:val="0"/>
          <w:szCs w:val="20"/>
        </w:rPr>
      </w:pPr>
      <m:oMath>
        <m:r>
          <m:rPr/>
          <w:rPr>
            <w:rFonts w:ascii="Cambria Math" w:hAnsi="Cambria Math" w:cs="Times New Roman"/>
            <w:color w:val="auto"/>
            <w:kern w:val="0"/>
            <w:szCs w:val="20"/>
          </w:rPr>
          <m:t>P</m:t>
        </m:r>
      </m:oMath>
      <w:r>
        <w:rPr>
          <w:rFonts w:ascii="Times New Roman" w:hAnsi="Times New Roman" w:cs="Times New Roman"/>
          <w:color w:val="auto"/>
          <w:kern w:val="0"/>
          <w:szCs w:val="20"/>
        </w:rPr>
        <w:t>——场地总得分；</w:t>
      </w:r>
    </w:p>
    <w:p>
      <w:pPr>
        <w:pStyle w:val="230"/>
        <w:ind w:firstLine="420"/>
        <w:jc w:val="left"/>
        <w:rPr>
          <w:rFonts w:ascii="Times New Roman"/>
        </w:rPr>
      </w:pPr>
      <m:oMath>
        <m:sSub>
          <m:sSubPr>
            <m:ctrlPr>
              <w:rPr>
                <w:rFonts w:ascii="Cambria Math" w:hAnsi="Cambria Math"/>
              </w:rPr>
            </m:ctrlPr>
          </m:sSubPr>
          <m:e>
            <m:r>
              <m:rPr/>
              <w:rPr>
                <w:rFonts w:ascii="Cambria Math" w:hAnsi="Cambria Math"/>
              </w:rPr>
              <m:t>p</m:t>
            </m:r>
            <m:ctrlPr>
              <w:rPr>
                <w:rFonts w:ascii="Cambria Math" w:hAnsi="Cambria Math"/>
              </w:rPr>
            </m:ctrlPr>
          </m:e>
          <m:sub>
            <m:r>
              <m:rPr/>
              <w:rPr>
                <w:rFonts w:ascii="Cambria Math" w:hAnsi="Cambria Math"/>
              </w:rPr>
              <m:t>j</m:t>
            </m:r>
            <m:ctrlPr>
              <w:rPr>
                <w:rFonts w:ascii="Cambria Math" w:hAnsi="Cambria Math"/>
              </w:rPr>
            </m:ctrlPr>
          </m:sub>
        </m:sSub>
      </m:oMath>
      <w:r>
        <w:rPr>
          <w:rFonts w:ascii="Times New Roman"/>
        </w:rPr>
        <w:t>——第</w:t>
      </w:r>
      <m:oMath>
        <m:r>
          <m:rPr/>
          <w:rPr>
            <w:rFonts w:ascii="Cambria Math" w:hAnsi="Cambria Math"/>
          </w:rPr>
          <m:t>j</m:t>
        </m:r>
      </m:oMath>
      <w:r>
        <w:rPr>
          <w:rFonts w:ascii="Times New Roman"/>
        </w:rPr>
        <w:t>个二级评价指标的评价得分。</w:t>
      </w:r>
    </w:p>
    <w:p>
      <w:pPr>
        <w:pStyle w:val="56"/>
      </w:pPr>
    </w:p>
    <w:p>
      <w:pPr>
        <w:pStyle w:val="162"/>
        <w:numPr>
          <w:ilvl w:val="0"/>
          <w:numId w:val="0"/>
        </w:numPr>
      </w:pPr>
    </w:p>
    <w:p>
      <w:pPr>
        <w:pStyle w:val="162"/>
        <w:numPr>
          <w:ilvl w:val="0"/>
          <w:numId w:val="0"/>
        </w:numPr>
      </w:pPr>
    </w:p>
    <w:p>
      <w:pPr>
        <w:pStyle w:val="162"/>
        <w:numPr>
          <w:ilvl w:val="0"/>
          <w:numId w:val="0"/>
        </w:numPr>
        <w:sectPr>
          <w:pgSz w:w="11906" w:h="16838"/>
          <w:pgMar w:top="567" w:right="1134" w:bottom="1134" w:left="1134" w:header="1418" w:footer="1134" w:gutter="284"/>
          <w:pgNumType w:start="1"/>
          <w:cols w:space="425" w:num="1"/>
          <w:formProt w:val="0"/>
          <w:docGrid w:type="lines" w:linePitch="312" w:charSpace="0"/>
        </w:sectPr>
      </w:pPr>
    </w:p>
    <w:bookmarkEnd w:id="18"/>
    <w:p>
      <w:pPr>
        <w:pStyle w:val="198"/>
      </w:pPr>
      <w:bookmarkStart w:id="43" w:name="BookMark5"/>
    </w:p>
    <w:p>
      <w:pPr>
        <w:pStyle w:val="199"/>
      </w:pPr>
    </w:p>
    <w:p>
      <w:pPr>
        <w:pStyle w:val="76"/>
        <w:spacing w:before="78" w:after="156"/>
      </w:pPr>
      <w:bookmarkStart w:id="44" w:name="_Toc13306"/>
      <w:r>
        <w:br w:type="textWrapping"/>
      </w:r>
      <w:r>
        <w:rPr>
          <w:rFonts w:hint="eastAsia"/>
        </w:rPr>
        <w:t>（</w:t>
      </w:r>
      <w:r>
        <w:rPr>
          <w:rFonts w:hint="eastAsia"/>
          <w:lang w:val="en-US" w:eastAsia="zh-CN"/>
        </w:rPr>
        <w:t>资料</w:t>
      </w:r>
      <w:r>
        <w:rPr>
          <w:rFonts w:hint="eastAsia"/>
        </w:rPr>
        <w:t>性）</w:t>
      </w:r>
      <w:r>
        <w:br w:type="textWrapping"/>
      </w:r>
      <w:r>
        <w:rPr>
          <w:rFonts w:hint="eastAsia"/>
        </w:rPr>
        <w:t>常用海上CO</w:t>
      </w:r>
      <w:r>
        <w:rPr>
          <w:rFonts w:hint="eastAsia"/>
          <w:vertAlign w:val="subscript"/>
        </w:rPr>
        <w:t>2</w:t>
      </w:r>
      <w:r>
        <w:rPr>
          <w:rFonts w:hint="eastAsia"/>
        </w:rPr>
        <w:t>咸水层封存适宜性评价相关数据表</w:t>
      </w:r>
      <w:bookmarkEnd w:id="44"/>
    </w:p>
    <w:p>
      <w:pPr>
        <w:pStyle w:val="56"/>
        <w:rPr>
          <w:rFonts w:hint="default" w:ascii="Times New Roman" w:hAnsi="Times New Roman" w:cs="Times New Roman"/>
        </w:rPr>
      </w:pPr>
      <w:r>
        <w:rPr>
          <w:rFonts w:hint="default" w:ascii="Times New Roman" w:hAnsi="Times New Roman" w:cs="Times New Roman"/>
        </w:rPr>
        <w:t>表 A.1 给出了常用海上 CO</w:t>
      </w:r>
      <w:r>
        <w:rPr>
          <w:rFonts w:hint="default" w:ascii="Times New Roman" w:hAnsi="Times New Roman" w:cs="Times New Roman"/>
          <w:vertAlign w:val="subscript"/>
        </w:rPr>
        <w:t>2</w:t>
      </w:r>
      <w:r>
        <w:rPr>
          <w:rFonts w:hint="default" w:ascii="Times New Roman" w:hAnsi="Times New Roman" w:cs="Times New Roman"/>
        </w:rPr>
        <w:t xml:space="preserve"> 咸水层封存适宜性评价推荐指标和范围。</w:t>
      </w:r>
    </w:p>
    <w:p>
      <w:pPr>
        <w:pStyle w:val="131"/>
        <w:bidi w:val="0"/>
        <w:rPr>
          <w:rFonts w:hint="default"/>
        </w:rPr>
      </w:pPr>
      <w:r>
        <w:rPr>
          <w:rFonts w:hint="eastAsia"/>
          <w:lang w:val="en-US" w:eastAsia="zh-CN"/>
        </w:rPr>
        <w:t>表A.1</w:t>
      </w:r>
      <w:r>
        <w:rPr>
          <w:rFonts w:hint="default"/>
        </w:rPr>
        <w:t>常用海上CO</w:t>
      </w:r>
      <w:r>
        <w:rPr>
          <w:rFonts w:hint="default"/>
          <w:vertAlign w:val="subscript"/>
        </w:rPr>
        <w:t>2</w:t>
      </w:r>
      <w:r>
        <w:rPr>
          <w:rFonts w:hint="default"/>
        </w:rPr>
        <w:t>咸水层封存适宜性评价</w:t>
      </w:r>
      <w:r>
        <w:rPr>
          <w:rFonts w:hint="eastAsia"/>
          <w:lang w:val="en-US" w:eastAsia="zh-CN"/>
        </w:rPr>
        <w:t>相关数据表</w:t>
      </w:r>
      <w:bookmarkStart w:id="49" w:name="_GoBack"/>
      <w:bookmarkEnd w:id="49"/>
    </w:p>
    <w:tbl>
      <w:tblPr>
        <w:tblStyle w:val="26"/>
        <w:tblW w:w="4999" w:type="pct"/>
        <w:tblInd w:w="0" w:type="dxa"/>
        <w:tblLayout w:type="autofit"/>
        <w:tblCellMar>
          <w:top w:w="0" w:type="dxa"/>
          <w:left w:w="108" w:type="dxa"/>
          <w:bottom w:w="0" w:type="dxa"/>
          <w:right w:w="108" w:type="dxa"/>
        </w:tblCellMar>
      </w:tblPr>
      <w:tblGrid>
        <w:gridCol w:w="1215"/>
        <w:gridCol w:w="2293"/>
        <w:gridCol w:w="2017"/>
        <w:gridCol w:w="2017"/>
        <w:gridCol w:w="2026"/>
      </w:tblGrid>
      <w:tr>
        <w:tblPrEx>
          <w:tblCellMar>
            <w:top w:w="0" w:type="dxa"/>
            <w:left w:w="108" w:type="dxa"/>
            <w:bottom w:w="0" w:type="dxa"/>
            <w:right w:w="108" w:type="dxa"/>
          </w:tblCellMar>
        </w:tblPrEx>
        <w:trPr>
          <w:cantSplit/>
          <w:trHeight w:val="283" w:hRule="exact"/>
        </w:trPr>
        <w:tc>
          <w:tcPr>
            <w:tcW w:w="1833" w:type="pct"/>
            <w:gridSpan w:val="2"/>
            <w:vMerge w:val="restart"/>
            <w:tcBorders>
              <w:top w:val="single" w:color="auto" w:sz="4" w:space="0"/>
              <w:left w:val="single" w:color="000000" w:sz="4" w:space="0"/>
              <w:right w:val="single" w:color="000000" w:sz="4" w:space="0"/>
            </w:tcBorders>
            <w:shd w:val="clear" w:color="auto" w:fill="auto"/>
            <w:vAlign w:val="center"/>
          </w:tcPr>
          <w:p>
            <w:pPr>
              <w:spacing w:line="240" w:lineRule="auto"/>
              <w:ind w:firstLine="360"/>
              <w:jc w:val="center"/>
              <w:rPr>
                <w:rFonts w:ascii="宋体" w:hAnsi="宋体" w:cs="宋体"/>
                <w:sz w:val="18"/>
                <w:szCs w:val="18"/>
              </w:rPr>
            </w:pPr>
            <w:r>
              <w:rPr>
                <w:rFonts w:hint="eastAsia" w:ascii="宋体" w:hAnsi="宋体" w:cs="宋体"/>
                <w:sz w:val="18"/>
                <w:szCs w:val="18"/>
              </w:rPr>
              <w:t>评价指标</w:t>
            </w:r>
          </w:p>
        </w:tc>
        <w:tc>
          <w:tcPr>
            <w:tcW w:w="3166" w:type="pct"/>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360"/>
              <w:jc w:val="center"/>
              <w:rPr>
                <w:rFonts w:ascii="宋体" w:hAnsi="宋体" w:cs="宋体"/>
                <w:sz w:val="18"/>
                <w:szCs w:val="18"/>
              </w:rPr>
            </w:pPr>
            <w:r>
              <w:rPr>
                <w:rFonts w:hint="eastAsia" w:ascii="宋体" w:hAnsi="宋体" w:cs="宋体"/>
                <w:sz w:val="18"/>
                <w:szCs w:val="18"/>
              </w:rPr>
              <w:t>适宜性评价</w:t>
            </w:r>
          </w:p>
        </w:tc>
      </w:tr>
      <w:tr>
        <w:tblPrEx>
          <w:tblCellMar>
            <w:top w:w="0" w:type="dxa"/>
            <w:left w:w="108" w:type="dxa"/>
            <w:bottom w:w="0" w:type="dxa"/>
            <w:right w:w="108" w:type="dxa"/>
          </w:tblCellMar>
        </w:tblPrEx>
        <w:trPr>
          <w:cantSplit/>
          <w:trHeight w:val="283" w:hRule="exact"/>
        </w:trPr>
        <w:tc>
          <w:tcPr>
            <w:tcW w:w="1833" w:type="pct"/>
            <w:gridSpan w:val="2"/>
            <w:vMerge w:val="continue"/>
            <w:tcBorders>
              <w:left w:val="single" w:color="000000" w:sz="4" w:space="0"/>
              <w:bottom w:val="single" w:color="000000" w:sz="4" w:space="0"/>
              <w:right w:val="single" w:color="000000" w:sz="4" w:space="0"/>
            </w:tcBorders>
            <w:shd w:val="clear" w:color="auto" w:fill="auto"/>
            <w:vAlign w:val="center"/>
          </w:tcPr>
          <w:p>
            <w:pPr>
              <w:spacing w:line="240" w:lineRule="auto"/>
              <w:ind w:firstLine="360"/>
              <w:jc w:val="center"/>
              <w:rPr>
                <w:rFonts w:ascii="宋体" w:hAnsi="宋体" w:cs="宋体"/>
                <w:sz w:val="18"/>
                <w:szCs w:val="18"/>
              </w:rPr>
            </w:pPr>
            <w:bookmarkStart w:id="45" w:name="终结线"/>
            <w:bookmarkEnd w:id="45"/>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360"/>
              <w:jc w:val="center"/>
              <w:rPr>
                <w:rFonts w:ascii="宋体" w:hAnsi="宋体" w:cs="宋体"/>
                <w:sz w:val="18"/>
                <w:szCs w:val="18"/>
              </w:rPr>
            </w:pPr>
            <w:r>
              <w:rPr>
                <w:rFonts w:hint="eastAsia" w:ascii="宋体" w:hAnsi="宋体" w:cs="宋体"/>
                <w:sz w:val="18"/>
                <w:szCs w:val="18"/>
              </w:rPr>
              <w:t>差</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360"/>
              <w:jc w:val="center"/>
              <w:rPr>
                <w:rFonts w:ascii="宋体" w:hAnsi="宋体" w:cs="宋体"/>
                <w:sz w:val="18"/>
                <w:szCs w:val="18"/>
              </w:rPr>
            </w:pPr>
            <w:r>
              <w:rPr>
                <w:rFonts w:hint="eastAsia" w:ascii="宋体" w:hAnsi="宋体" w:cs="宋体"/>
                <w:sz w:val="18"/>
                <w:szCs w:val="18"/>
              </w:rPr>
              <w:t>中</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360"/>
              <w:jc w:val="center"/>
              <w:rPr>
                <w:rFonts w:ascii="宋体" w:hAnsi="宋体" w:cs="宋体"/>
                <w:sz w:val="18"/>
                <w:szCs w:val="18"/>
              </w:rPr>
            </w:pPr>
            <w:r>
              <w:rPr>
                <w:rFonts w:hint="eastAsia" w:ascii="宋体" w:hAnsi="宋体" w:cs="宋体"/>
                <w:sz w:val="18"/>
                <w:szCs w:val="18"/>
              </w:rPr>
              <w:t>好</w:t>
            </w:r>
          </w:p>
        </w:tc>
      </w:tr>
      <w:tr>
        <w:tblPrEx>
          <w:tblCellMar>
            <w:top w:w="0" w:type="dxa"/>
            <w:left w:w="108" w:type="dxa"/>
            <w:bottom w:w="0" w:type="dxa"/>
            <w:right w:w="108" w:type="dxa"/>
          </w:tblCellMar>
        </w:tblPrEx>
        <w:trPr>
          <w:cantSplit/>
          <w:trHeight w:val="283" w:hRule="exact"/>
        </w:trPr>
        <w:tc>
          <w:tcPr>
            <w:tcW w:w="635"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圈闭条件</w:t>
            </w: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圈闭类型</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sz w:val="18"/>
                <w:szCs w:val="18"/>
                <w:lang w:val="en-US" w:eastAsia="zh-CN"/>
              </w:rPr>
            </w:pPr>
            <w:r>
              <w:rPr>
                <w:rFonts w:hint="eastAsia" w:ascii="宋体" w:hAnsi="宋体" w:cs="宋体"/>
                <w:sz w:val="18"/>
                <w:szCs w:val="18"/>
                <w:lang w:val="en-US" w:eastAsia="zh-CN"/>
              </w:rPr>
              <w:t>其它</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sz w:val="18"/>
                <w:szCs w:val="18"/>
                <w:lang w:val="en-US" w:eastAsia="zh-CN"/>
              </w:rPr>
            </w:pPr>
            <w:r>
              <w:rPr>
                <w:rFonts w:hint="eastAsia" w:ascii="宋体" w:hAnsi="宋体" w:cs="宋体"/>
                <w:sz w:val="18"/>
                <w:szCs w:val="18"/>
                <w:lang w:val="en-US" w:eastAsia="zh-CN"/>
              </w:rPr>
              <w:t>断背斜/断鼻</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sz w:val="18"/>
                <w:szCs w:val="18"/>
                <w:lang w:val="en-US" w:eastAsia="zh-CN"/>
              </w:rPr>
            </w:pPr>
            <w:r>
              <w:rPr>
                <w:rFonts w:hint="eastAsia" w:ascii="宋体" w:hAnsi="宋体" w:cs="宋体"/>
                <w:sz w:val="18"/>
                <w:szCs w:val="18"/>
                <w:lang w:val="en-US" w:eastAsia="zh-CN"/>
              </w:rPr>
              <w:t>背斜</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eastAsia="zh-CN"/>
              </w:rPr>
            </w:pPr>
            <w:r>
              <w:rPr>
                <w:rFonts w:hint="eastAsia" w:ascii="宋体" w:hAnsi="宋体" w:cs="宋体"/>
                <w:sz w:val="18"/>
                <w:szCs w:val="18"/>
              </w:rPr>
              <w:t>圈闭面积</w:t>
            </w:r>
            <w:r>
              <w:rPr>
                <w:rFonts w:hint="eastAsia" w:ascii="宋体" w:hAnsi="宋体" w:cs="宋体"/>
                <w:sz w:val="18"/>
                <w:szCs w:val="18"/>
                <w:lang w:eastAsia="zh-CN"/>
              </w:rPr>
              <w:t>（</w:t>
            </w:r>
            <w:r>
              <w:rPr>
                <w:rFonts w:hint="eastAsia" w:ascii="宋体" w:hAnsi="宋体" w:cs="宋体"/>
                <w:sz w:val="18"/>
                <w:szCs w:val="18"/>
                <w:lang w:val="en-US" w:eastAsia="zh-CN"/>
              </w:rPr>
              <w:t>km</w:t>
            </w:r>
            <w:r>
              <w:rPr>
                <w:rFonts w:hint="eastAsia" w:ascii="宋体" w:hAnsi="宋体" w:cs="宋体"/>
                <w:sz w:val="18"/>
                <w:szCs w:val="18"/>
                <w:vertAlign w:val="superscript"/>
                <w:lang w:val="en-US" w:eastAsia="zh-CN"/>
              </w:rPr>
              <w:t>2</w:t>
            </w:r>
            <w:r>
              <w:rPr>
                <w:rFonts w:hint="eastAsia" w:ascii="宋体" w:hAnsi="宋体" w:cs="宋体"/>
                <w:sz w:val="18"/>
                <w:szCs w:val="18"/>
                <w:lang w:eastAsia="zh-CN"/>
              </w:rPr>
              <w:t>）</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&lt;20</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20-50</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&gt;50</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eastAsia="zh-CN"/>
              </w:rPr>
            </w:pPr>
            <w:r>
              <w:rPr>
                <w:rFonts w:hint="eastAsia" w:ascii="宋体" w:hAnsi="宋体" w:cs="宋体"/>
                <w:sz w:val="18"/>
                <w:szCs w:val="18"/>
              </w:rPr>
              <w:t>高点埋深</w:t>
            </w:r>
            <w:r>
              <w:rPr>
                <w:rFonts w:hint="eastAsia" w:ascii="宋体" w:hAnsi="宋体" w:cs="宋体"/>
                <w:sz w:val="18"/>
                <w:szCs w:val="18"/>
                <w:lang w:eastAsia="zh-CN"/>
              </w:rPr>
              <w:t>（</w:t>
            </w:r>
            <w:r>
              <w:rPr>
                <w:rFonts w:hint="eastAsia" w:ascii="宋体" w:hAnsi="宋体" w:cs="宋体"/>
                <w:sz w:val="18"/>
                <w:szCs w:val="18"/>
                <w:lang w:val="en-US" w:eastAsia="zh-CN"/>
              </w:rPr>
              <w:t>m</w:t>
            </w:r>
            <w:r>
              <w:rPr>
                <w:rFonts w:hint="eastAsia" w:ascii="宋体" w:hAnsi="宋体" w:cs="宋体"/>
                <w:sz w:val="18"/>
                <w:szCs w:val="18"/>
                <w:lang w:eastAsia="zh-CN"/>
              </w:rPr>
              <w:t>）</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其它</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2000-3500</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lang w:val="en-US" w:eastAsia="zh-CN"/>
              </w:rPr>
              <w:t>8</w:t>
            </w:r>
            <w:r>
              <w:rPr>
                <w:rFonts w:hint="eastAsia" w:ascii="宋体" w:hAnsi="宋体" w:cs="宋体"/>
                <w:sz w:val="18"/>
                <w:szCs w:val="18"/>
              </w:rPr>
              <w:t>00-2000</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圈闭形态</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3个及以上高点</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lang w:val="en-US" w:eastAsia="zh-CN"/>
              </w:rPr>
              <w:t>2</w:t>
            </w:r>
            <w:r>
              <w:rPr>
                <w:rFonts w:hint="eastAsia" w:ascii="宋体" w:hAnsi="宋体" w:cs="宋体"/>
                <w:sz w:val="18"/>
                <w:szCs w:val="18"/>
              </w:rPr>
              <w:t>个高点</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1个高点</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圈闭可靠性</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val="en-US" w:eastAsia="zh-CN"/>
              </w:rPr>
            </w:pPr>
            <w:r>
              <w:rPr>
                <w:rFonts w:hint="eastAsia" w:ascii="宋体" w:hAnsi="宋体" w:cs="宋体"/>
                <w:sz w:val="18"/>
                <w:szCs w:val="18"/>
                <w:lang w:val="en-US" w:eastAsia="zh-CN"/>
              </w:rPr>
              <w:t>不可靠</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sz w:val="18"/>
                <w:szCs w:val="18"/>
                <w:lang w:val="en-US" w:eastAsia="zh-CN"/>
              </w:rPr>
            </w:pPr>
            <w:r>
              <w:rPr>
                <w:rFonts w:hint="eastAsia" w:ascii="宋体" w:hAnsi="宋体" w:cs="宋体"/>
                <w:sz w:val="18"/>
                <w:szCs w:val="18"/>
                <w:lang w:val="en-US" w:eastAsia="zh-CN"/>
              </w:rPr>
              <w:t>较可靠</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val="en-US" w:eastAsia="zh-CN"/>
              </w:rPr>
            </w:pPr>
            <w:r>
              <w:rPr>
                <w:rFonts w:hint="eastAsia" w:ascii="宋体" w:hAnsi="宋体" w:cs="宋体"/>
                <w:sz w:val="18"/>
                <w:szCs w:val="18"/>
                <w:lang w:val="en-US" w:eastAsia="zh-CN"/>
              </w:rPr>
              <w:t>可靠</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eastAsia="宋体" w:cs="宋体"/>
                <w:color w:val="auto"/>
                <w:sz w:val="18"/>
                <w:szCs w:val="18"/>
                <w:lang w:eastAsia="zh-CN"/>
              </w:rPr>
            </w:pPr>
            <w:r>
              <w:rPr>
                <w:rFonts w:hint="eastAsia" w:ascii="宋体" w:hAnsi="宋体" w:cs="宋体"/>
                <w:color w:val="auto"/>
                <w:sz w:val="18"/>
                <w:szCs w:val="18"/>
              </w:rPr>
              <w:t>地震历史记录</w:t>
            </w:r>
            <w:r>
              <w:rPr>
                <w:rFonts w:hint="eastAsia" w:ascii="宋体" w:hAnsi="宋体" w:cs="宋体"/>
                <w:color w:val="auto"/>
                <w:sz w:val="18"/>
                <w:szCs w:val="18"/>
                <w:lang w:eastAsia="zh-CN"/>
              </w:rPr>
              <w:t>（</w:t>
            </w:r>
            <w:r>
              <w:rPr>
                <w:rFonts w:hint="eastAsia" w:ascii="宋体" w:hAnsi="宋体" w:cs="宋体"/>
                <w:color w:val="auto"/>
                <w:sz w:val="18"/>
                <w:szCs w:val="18"/>
                <w:lang w:val="en-US" w:eastAsia="zh-CN"/>
              </w:rPr>
              <w:t>Ms</w:t>
            </w:r>
            <w:r>
              <w:rPr>
                <w:rFonts w:hint="eastAsia" w:ascii="宋体" w:hAnsi="宋体" w:cs="宋体"/>
                <w:color w:val="auto"/>
                <w:sz w:val="18"/>
                <w:szCs w:val="18"/>
                <w:lang w:eastAsia="zh-CN"/>
              </w:rPr>
              <w:t>）</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cs="宋体"/>
                <w:color w:val="auto"/>
                <w:sz w:val="18"/>
                <w:szCs w:val="18"/>
                <w:lang w:val="en-US" w:eastAsia="zh-CN"/>
              </w:rPr>
            </w:pPr>
            <w:r>
              <w:rPr>
                <w:rFonts w:hint="eastAsia" w:ascii="宋体" w:hAnsi="宋体" w:cs="宋体"/>
                <w:color w:val="auto"/>
                <w:sz w:val="18"/>
                <w:szCs w:val="18"/>
              </w:rPr>
              <w:t>&lt;9</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ascii="宋体" w:hAnsi="宋体" w:cs="宋体"/>
                <w:color w:val="auto"/>
                <w:sz w:val="18"/>
                <w:szCs w:val="18"/>
              </w:rPr>
            </w:pPr>
            <w:r>
              <w:rPr>
                <w:rFonts w:hint="eastAsia" w:ascii="宋体" w:hAnsi="宋体" w:cs="宋体"/>
                <w:color w:val="auto"/>
                <w:sz w:val="18"/>
                <w:szCs w:val="18"/>
              </w:rPr>
              <w:t>7-9</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default" w:ascii="宋体" w:hAnsi="宋体" w:eastAsia="宋体" w:cs="宋体"/>
                <w:color w:val="auto"/>
                <w:sz w:val="18"/>
                <w:szCs w:val="18"/>
                <w:lang w:val="en-US" w:eastAsia="zh-CN"/>
              </w:rPr>
            </w:pPr>
            <w:r>
              <w:rPr>
                <w:rFonts w:hint="eastAsia" w:ascii="宋体" w:hAnsi="宋体" w:cs="宋体"/>
                <w:color w:val="auto"/>
                <w:sz w:val="18"/>
                <w:szCs w:val="18"/>
                <w:lang w:val="en-US" w:eastAsia="zh-CN"/>
              </w:rPr>
              <w:t>&lt;6</w:t>
            </w:r>
          </w:p>
        </w:tc>
      </w:tr>
      <w:tr>
        <w:tblPrEx>
          <w:tblCellMar>
            <w:top w:w="0" w:type="dxa"/>
            <w:left w:w="108" w:type="dxa"/>
            <w:bottom w:w="0" w:type="dxa"/>
            <w:right w:w="108" w:type="dxa"/>
          </w:tblCellMar>
        </w:tblPrEx>
        <w:trPr>
          <w:cantSplit/>
          <w:trHeight w:val="283" w:hRule="exact"/>
        </w:trPr>
        <w:tc>
          <w:tcPr>
            <w:tcW w:w="635"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储层条件</w:t>
            </w: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sz w:val="18"/>
                <w:szCs w:val="18"/>
              </w:rPr>
            </w:pPr>
            <w:r>
              <w:rPr>
                <w:rFonts w:hint="eastAsia" w:ascii="宋体" w:hAnsi="宋体" w:cs="宋体"/>
                <w:sz w:val="18"/>
                <w:szCs w:val="18"/>
                <w:lang w:val="en-US" w:eastAsia="zh-CN"/>
              </w:rPr>
              <w:t>储层埋深（m）</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cs="宋体"/>
                <w:sz w:val="18"/>
                <w:szCs w:val="18"/>
              </w:rPr>
            </w:pPr>
            <w:r>
              <w:rPr>
                <w:rFonts w:hint="eastAsia" w:ascii="宋体" w:hAnsi="宋体" w:cs="宋体"/>
                <w:sz w:val="18"/>
                <w:szCs w:val="18"/>
              </w:rPr>
              <w:t>800-1000</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cs="宋体"/>
                <w:sz w:val="18"/>
                <w:szCs w:val="18"/>
              </w:rPr>
            </w:pPr>
            <w:r>
              <w:rPr>
                <w:rFonts w:hint="eastAsia" w:ascii="宋体" w:hAnsi="宋体" w:cs="宋体"/>
                <w:sz w:val="18"/>
                <w:szCs w:val="18"/>
              </w:rPr>
              <w:t>1000-1500</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spacing w:line="240" w:lineRule="auto"/>
              <w:ind w:firstLine="0" w:firstLineChars="0"/>
              <w:jc w:val="center"/>
              <w:rPr>
                <w:rFonts w:hint="eastAsia" w:ascii="宋体" w:hAnsi="宋体" w:cs="宋体"/>
                <w:sz w:val="18"/>
                <w:szCs w:val="18"/>
              </w:rPr>
            </w:pPr>
            <w:r>
              <w:rPr>
                <w:rFonts w:hint="eastAsia" w:ascii="宋体" w:hAnsi="宋体" w:cs="宋体"/>
                <w:sz w:val="18"/>
                <w:szCs w:val="18"/>
              </w:rPr>
              <w:t>&gt;1500</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val="en-US" w:eastAsia="zh-CN"/>
              </w:rPr>
            </w:pPr>
            <w:r>
              <w:rPr>
                <w:rFonts w:hint="eastAsia" w:ascii="宋体" w:hAnsi="宋体" w:cs="宋体"/>
                <w:sz w:val="18"/>
                <w:szCs w:val="18"/>
              </w:rPr>
              <w:t>储层厚度</w:t>
            </w:r>
            <w:r>
              <w:rPr>
                <w:rFonts w:hint="eastAsia" w:ascii="宋体" w:hAnsi="宋体" w:cs="宋体"/>
                <w:sz w:val="18"/>
                <w:szCs w:val="18"/>
                <w:lang w:eastAsia="zh-CN"/>
              </w:rPr>
              <w:t>（</w:t>
            </w:r>
            <w:r>
              <w:rPr>
                <w:rFonts w:hint="eastAsia" w:ascii="宋体" w:hAnsi="宋体" w:cs="宋体"/>
                <w:sz w:val="18"/>
                <w:szCs w:val="18"/>
                <w:lang w:val="en-US" w:eastAsia="zh-CN"/>
              </w:rPr>
              <w:t>m</w:t>
            </w:r>
            <w:r>
              <w:rPr>
                <w:rFonts w:hint="eastAsia" w:ascii="宋体" w:hAnsi="宋体" w:cs="宋体"/>
                <w:sz w:val="18"/>
                <w:szCs w:val="18"/>
                <w:lang w:eastAsia="zh-CN"/>
              </w:rPr>
              <w:t>）</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&lt;500</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500-1000</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&gt;1000</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eastAsia="zh-CN"/>
              </w:rPr>
            </w:pPr>
            <w:r>
              <w:rPr>
                <w:rFonts w:hint="eastAsia" w:ascii="宋体" w:hAnsi="宋体" w:cs="宋体"/>
                <w:sz w:val="18"/>
                <w:szCs w:val="18"/>
              </w:rPr>
              <w:t>储层砂地比</w:t>
            </w:r>
            <w:r>
              <w:rPr>
                <w:rFonts w:hint="eastAsia" w:ascii="宋体" w:hAnsi="宋体" w:cs="宋体"/>
                <w:sz w:val="18"/>
                <w:szCs w:val="18"/>
                <w:lang w:eastAsia="zh-CN"/>
              </w:rPr>
              <w:t>（</w:t>
            </w:r>
            <w:r>
              <w:rPr>
                <w:rFonts w:hint="eastAsia" w:ascii="宋体" w:hAnsi="宋体" w:cs="宋体"/>
                <w:sz w:val="18"/>
                <w:szCs w:val="18"/>
                <w:lang w:val="en-US" w:eastAsia="zh-CN"/>
              </w:rPr>
              <w:t>%</w:t>
            </w:r>
            <w:r>
              <w:rPr>
                <w:rFonts w:hint="eastAsia" w:ascii="宋体" w:hAnsi="宋体" w:cs="宋体"/>
                <w:sz w:val="18"/>
                <w:szCs w:val="18"/>
                <w:lang w:eastAsia="zh-CN"/>
              </w:rPr>
              <w:t>）</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&lt;30</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30-50</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&gt;50</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sz w:val="18"/>
                <w:szCs w:val="18"/>
              </w:rPr>
            </w:pPr>
            <w:r>
              <w:rPr>
                <w:rFonts w:hint="eastAsia" w:ascii="宋体" w:hAnsi="宋体" w:cs="宋体"/>
                <w:sz w:val="18"/>
                <w:szCs w:val="18"/>
              </w:rPr>
              <w:t>储层孔隙度</w:t>
            </w:r>
            <w:r>
              <w:rPr>
                <w:rFonts w:hint="eastAsia" w:ascii="宋体" w:hAnsi="宋体" w:cs="宋体"/>
                <w:sz w:val="18"/>
                <w:szCs w:val="18"/>
                <w:lang w:eastAsia="zh-CN"/>
              </w:rPr>
              <w:t>（</w:t>
            </w:r>
            <w:r>
              <w:rPr>
                <w:rFonts w:hint="eastAsia" w:ascii="宋体" w:hAnsi="宋体" w:cs="宋体"/>
                <w:sz w:val="18"/>
                <w:szCs w:val="18"/>
                <w:lang w:val="en-US" w:eastAsia="zh-CN"/>
              </w:rPr>
              <w:t>%</w:t>
            </w:r>
            <w:r>
              <w:rPr>
                <w:rFonts w:hint="eastAsia" w:ascii="宋体" w:hAnsi="宋体" w:cs="宋体"/>
                <w:sz w:val="18"/>
                <w:szCs w:val="18"/>
                <w:lang w:eastAsia="zh-CN"/>
              </w:rPr>
              <w:t>）</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eastAsia="zh-CN"/>
              </w:rPr>
            </w:pPr>
            <w:r>
              <w:rPr>
                <w:rFonts w:hint="eastAsia" w:ascii="宋体" w:hAnsi="宋体" w:cs="宋体"/>
                <w:sz w:val="18"/>
                <w:szCs w:val="18"/>
              </w:rPr>
              <w:t>&lt;1</w:t>
            </w:r>
            <w:r>
              <w:rPr>
                <w:rFonts w:hint="eastAsia" w:ascii="宋体" w:hAnsi="宋体" w:cs="宋体"/>
                <w:sz w:val="18"/>
                <w:szCs w:val="18"/>
                <w:lang w:val="en-US" w:eastAsia="zh-CN"/>
              </w:rPr>
              <w:t>0</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15-20</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&gt;20</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储层渗透率</w:t>
            </w:r>
            <w:r>
              <w:rPr>
                <w:rFonts w:hint="eastAsia" w:ascii="宋体" w:hAnsi="宋体" w:cs="宋体"/>
                <w:sz w:val="18"/>
                <w:szCs w:val="18"/>
                <w:lang w:eastAsia="zh-CN"/>
              </w:rPr>
              <w:t>（</w:t>
            </w:r>
            <w:r>
              <w:rPr>
                <w:rFonts w:hint="eastAsia" w:ascii="宋体" w:hAnsi="宋体" w:cs="宋体"/>
                <w:sz w:val="18"/>
                <w:szCs w:val="18"/>
                <w:lang w:val="en-US" w:eastAsia="zh-CN"/>
              </w:rPr>
              <w:t>mD</w:t>
            </w:r>
            <w:r>
              <w:rPr>
                <w:rFonts w:hint="eastAsia" w:ascii="宋体" w:hAnsi="宋体" w:cs="宋体"/>
                <w:sz w:val="18"/>
                <w:szCs w:val="18"/>
                <w:lang w:eastAsia="zh-CN"/>
              </w:rPr>
              <w:t>）</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&lt;100</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100-500</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&gt;500</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储层压力系数</w:t>
            </w:r>
            <w:r>
              <w:rPr>
                <w:rFonts w:hint="eastAsia" w:ascii="宋体" w:hAnsi="宋体" w:cs="宋体"/>
                <w:sz w:val="18"/>
                <w:szCs w:val="18"/>
                <w:lang w:eastAsia="zh-CN"/>
              </w:rPr>
              <w:t>（</w:t>
            </w:r>
            <w:r>
              <w:rPr>
                <w:rFonts w:hint="eastAsia" w:ascii="宋体" w:hAnsi="宋体" w:cs="宋体"/>
                <w:sz w:val="18"/>
                <w:szCs w:val="18"/>
              </w:rPr>
              <w:t>MPa/100m</w:t>
            </w:r>
            <w:r>
              <w:rPr>
                <w:rFonts w:hint="eastAsia" w:ascii="宋体" w:hAnsi="宋体" w:cs="宋体"/>
                <w:sz w:val="18"/>
                <w:szCs w:val="18"/>
                <w:lang w:eastAsia="zh-CN"/>
              </w:rPr>
              <w:t>）</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&gt;1.1</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1.0-1.1</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&lt;1.0</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地温梯度</w:t>
            </w:r>
            <w:r>
              <w:rPr>
                <w:rFonts w:hint="eastAsia" w:ascii="宋体" w:hAnsi="宋体" w:cs="宋体"/>
                <w:sz w:val="18"/>
                <w:szCs w:val="18"/>
                <w:lang w:eastAsia="zh-CN"/>
              </w:rPr>
              <w:t>（</w:t>
            </w:r>
            <w:r>
              <w:rPr>
                <w:rFonts w:hint="eastAsia" w:ascii="宋体" w:hAnsi="宋体" w:cs="宋体"/>
                <w:sz w:val="18"/>
                <w:szCs w:val="18"/>
              </w:rPr>
              <w:t>℃/km</w:t>
            </w:r>
            <w:r>
              <w:rPr>
                <w:rFonts w:hint="eastAsia" w:ascii="宋体" w:hAnsi="宋体" w:cs="宋体"/>
                <w:sz w:val="18"/>
                <w:szCs w:val="18"/>
                <w:lang w:eastAsia="zh-CN"/>
              </w:rPr>
              <w:t>）</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&gt;30</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20-30</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&lt;20</w:t>
            </w:r>
          </w:p>
        </w:tc>
      </w:tr>
      <w:tr>
        <w:tblPrEx>
          <w:tblCellMar>
            <w:top w:w="0" w:type="dxa"/>
            <w:left w:w="108" w:type="dxa"/>
            <w:bottom w:w="0" w:type="dxa"/>
            <w:right w:w="108" w:type="dxa"/>
          </w:tblCellMar>
        </w:tblPrEx>
        <w:trPr>
          <w:cantSplit/>
          <w:trHeight w:val="283" w:hRule="exact"/>
        </w:trPr>
        <w:tc>
          <w:tcPr>
            <w:tcW w:w="635"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盖层条件</w:t>
            </w: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sz w:val="18"/>
                <w:szCs w:val="18"/>
              </w:rPr>
            </w:pPr>
            <w:r>
              <w:rPr>
                <w:rFonts w:hint="eastAsia" w:ascii="宋体" w:hAnsi="宋体" w:cs="宋体"/>
                <w:sz w:val="18"/>
                <w:szCs w:val="18"/>
              </w:rPr>
              <w:t>盖层岩性</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砂质泥岩</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泥岩</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泥岩</w:t>
            </w:r>
            <w:r>
              <w:rPr>
                <w:rFonts w:hint="eastAsia" w:ascii="宋体" w:hAnsi="宋体" w:cs="宋体"/>
                <w:sz w:val="18"/>
                <w:szCs w:val="18"/>
                <w:lang w:eastAsia="zh-CN"/>
              </w:rPr>
              <w:t>、</w:t>
            </w:r>
            <w:r>
              <w:rPr>
                <w:rFonts w:hint="eastAsia" w:ascii="宋体" w:hAnsi="宋体" w:cs="宋体"/>
                <w:sz w:val="18"/>
                <w:szCs w:val="18"/>
              </w:rPr>
              <w:t>灰岩</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eastAsia="zh-CN"/>
              </w:rPr>
            </w:pPr>
            <w:r>
              <w:rPr>
                <w:rFonts w:hint="eastAsia" w:ascii="宋体" w:hAnsi="宋体" w:cs="宋体"/>
                <w:sz w:val="18"/>
                <w:szCs w:val="18"/>
              </w:rPr>
              <w:t>盖层厚度</w:t>
            </w:r>
            <w:r>
              <w:rPr>
                <w:rFonts w:hint="eastAsia" w:ascii="宋体" w:hAnsi="宋体" w:cs="宋体"/>
                <w:sz w:val="18"/>
                <w:szCs w:val="18"/>
                <w:lang w:eastAsia="zh-CN"/>
              </w:rPr>
              <w:t>（</w:t>
            </w:r>
            <w:r>
              <w:rPr>
                <w:rFonts w:hint="eastAsia" w:ascii="宋体" w:hAnsi="宋体" w:cs="宋体"/>
                <w:sz w:val="18"/>
                <w:szCs w:val="18"/>
                <w:lang w:val="en-US" w:eastAsia="zh-CN"/>
              </w:rPr>
              <w:t>m</w:t>
            </w:r>
            <w:r>
              <w:rPr>
                <w:rFonts w:hint="eastAsia" w:ascii="宋体" w:hAnsi="宋体" w:cs="宋体"/>
                <w:sz w:val="18"/>
                <w:szCs w:val="18"/>
                <w:lang w:eastAsia="zh-CN"/>
              </w:rPr>
              <w:t>）</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&lt;300</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300-700</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&gt;700</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sz w:val="18"/>
                <w:szCs w:val="18"/>
              </w:rPr>
            </w:pPr>
            <w:r>
              <w:rPr>
                <w:rFonts w:hint="eastAsia" w:ascii="宋体" w:hAnsi="宋体" w:cs="宋体"/>
                <w:sz w:val="18"/>
                <w:szCs w:val="18"/>
              </w:rPr>
              <w:t>盖层渗透率（mD）</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sz w:val="18"/>
                <w:szCs w:val="18"/>
              </w:rPr>
            </w:pPr>
            <w:r>
              <w:rPr>
                <w:rFonts w:hint="eastAsia" w:ascii="宋体" w:hAnsi="宋体" w:cs="宋体"/>
                <w:sz w:val="18"/>
                <w:szCs w:val="18"/>
              </w:rPr>
              <w:t>&gt;1</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sz w:val="18"/>
                <w:szCs w:val="18"/>
              </w:rPr>
            </w:pPr>
            <w:r>
              <w:rPr>
                <w:rFonts w:hint="eastAsia" w:ascii="宋体" w:hAnsi="宋体" w:cs="宋体"/>
                <w:sz w:val="18"/>
                <w:szCs w:val="18"/>
              </w:rPr>
              <w:t>0.01-1</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sz w:val="18"/>
                <w:szCs w:val="18"/>
              </w:rPr>
            </w:pPr>
            <w:r>
              <w:rPr>
                <w:rFonts w:hint="eastAsia" w:ascii="宋体" w:hAnsi="宋体" w:cs="宋体"/>
                <w:sz w:val="18"/>
                <w:szCs w:val="18"/>
              </w:rPr>
              <w:t>&lt;0.01</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eastAsia="zh-CN"/>
              </w:rPr>
            </w:pPr>
            <w:r>
              <w:rPr>
                <w:rFonts w:hint="eastAsia" w:ascii="宋体" w:hAnsi="宋体" w:cs="宋体"/>
                <w:sz w:val="18"/>
                <w:szCs w:val="18"/>
              </w:rPr>
              <w:t>盖层泥地比</w:t>
            </w:r>
            <w:r>
              <w:rPr>
                <w:rFonts w:hint="eastAsia" w:ascii="宋体" w:hAnsi="宋体" w:cs="宋体"/>
                <w:sz w:val="18"/>
                <w:szCs w:val="18"/>
                <w:lang w:eastAsia="zh-CN"/>
              </w:rPr>
              <w:t>（</w:t>
            </w:r>
            <w:r>
              <w:rPr>
                <w:rFonts w:hint="eastAsia" w:ascii="宋体" w:hAnsi="宋体" w:cs="宋体"/>
                <w:sz w:val="18"/>
                <w:szCs w:val="18"/>
                <w:lang w:val="en-US" w:eastAsia="zh-CN"/>
              </w:rPr>
              <w:t>%</w:t>
            </w:r>
            <w:r>
              <w:rPr>
                <w:rFonts w:hint="eastAsia" w:ascii="宋体" w:hAnsi="宋体" w:cs="宋体"/>
                <w:sz w:val="18"/>
                <w:szCs w:val="18"/>
                <w:lang w:eastAsia="zh-CN"/>
              </w:rPr>
              <w:t>）</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sz w:val="18"/>
                <w:szCs w:val="18"/>
                <w:lang w:val="en-US" w:eastAsia="zh-CN"/>
              </w:rPr>
            </w:pPr>
            <w:r>
              <w:rPr>
                <w:rFonts w:hint="eastAsia" w:ascii="宋体" w:hAnsi="宋体" w:cs="宋体"/>
                <w:sz w:val="18"/>
                <w:szCs w:val="18"/>
              </w:rPr>
              <w:t>&lt;</w:t>
            </w:r>
            <w:r>
              <w:rPr>
                <w:rFonts w:hint="eastAsia" w:ascii="宋体" w:hAnsi="宋体" w:cs="宋体"/>
                <w:sz w:val="18"/>
                <w:szCs w:val="18"/>
                <w:lang w:val="en-US" w:eastAsia="zh-CN"/>
              </w:rPr>
              <w:t>40</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sz w:val="18"/>
                <w:szCs w:val="18"/>
                <w:lang w:val="en-US" w:eastAsia="zh-CN"/>
              </w:rPr>
            </w:pPr>
            <w:r>
              <w:rPr>
                <w:rFonts w:hint="eastAsia" w:ascii="宋体" w:hAnsi="宋体" w:cs="宋体"/>
                <w:sz w:val="18"/>
                <w:szCs w:val="18"/>
                <w:lang w:val="en-US" w:eastAsia="zh-CN"/>
              </w:rPr>
              <w:t>40</w:t>
            </w:r>
            <w:r>
              <w:rPr>
                <w:rFonts w:hint="eastAsia" w:ascii="宋体" w:hAnsi="宋体" w:cs="宋体"/>
                <w:sz w:val="18"/>
                <w:szCs w:val="18"/>
              </w:rPr>
              <w:t>-</w:t>
            </w:r>
            <w:r>
              <w:rPr>
                <w:rFonts w:hint="eastAsia" w:ascii="宋体" w:hAnsi="宋体" w:cs="宋体"/>
                <w:sz w:val="18"/>
                <w:szCs w:val="18"/>
                <w:lang w:val="en-US" w:eastAsia="zh-CN"/>
              </w:rPr>
              <w:t>70</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sz w:val="18"/>
                <w:szCs w:val="18"/>
                <w:lang w:val="en-US" w:eastAsia="zh-CN"/>
              </w:rPr>
            </w:pPr>
            <w:r>
              <w:rPr>
                <w:rFonts w:hint="eastAsia" w:ascii="宋体" w:hAnsi="宋体" w:cs="宋体"/>
                <w:sz w:val="18"/>
                <w:szCs w:val="18"/>
              </w:rPr>
              <w:t>&gt;</w:t>
            </w:r>
            <w:r>
              <w:rPr>
                <w:rFonts w:hint="eastAsia" w:ascii="宋体" w:hAnsi="宋体" w:cs="宋体"/>
                <w:sz w:val="18"/>
                <w:szCs w:val="18"/>
                <w:lang w:val="en-US" w:eastAsia="zh-CN"/>
              </w:rPr>
              <w:t>70</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纵向分布特征</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薄单层</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薄互层</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多套厚层</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盖层连续性</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sz w:val="18"/>
                <w:szCs w:val="18"/>
                <w:lang w:val="en-US" w:eastAsia="zh-CN"/>
              </w:rPr>
            </w:pPr>
            <w:r>
              <w:rPr>
                <w:rFonts w:hint="eastAsia" w:ascii="宋体" w:hAnsi="宋体" w:cs="宋体"/>
                <w:sz w:val="18"/>
                <w:szCs w:val="18"/>
                <w:lang w:val="en-US" w:eastAsia="zh-CN"/>
              </w:rPr>
              <w:t>分散式</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基本连续</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区域性连续</w:t>
            </w:r>
          </w:p>
        </w:tc>
      </w:tr>
      <w:tr>
        <w:tblPrEx>
          <w:tblCellMar>
            <w:top w:w="0" w:type="dxa"/>
            <w:left w:w="108" w:type="dxa"/>
            <w:bottom w:w="0" w:type="dxa"/>
            <w:right w:w="108" w:type="dxa"/>
          </w:tblCellMar>
        </w:tblPrEx>
        <w:trPr>
          <w:cantSplit/>
          <w:trHeight w:val="283" w:hRule="exact"/>
        </w:trPr>
        <w:tc>
          <w:tcPr>
            <w:tcW w:w="635"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断裂条件</w:t>
            </w: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eastAsia="zh-CN"/>
              </w:rPr>
            </w:pPr>
            <w:r>
              <w:rPr>
                <w:rFonts w:hint="eastAsia" w:ascii="宋体" w:hAnsi="宋体" w:cs="宋体"/>
                <w:sz w:val="18"/>
                <w:szCs w:val="18"/>
              </w:rPr>
              <w:t>断裂数量</w:t>
            </w:r>
            <w:r>
              <w:rPr>
                <w:rFonts w:hint="eastAsia" w:ascii="宋体" w:hAnsi="宋体" w:cs="宋体"/>
                <w:sz w:val="18"/>
                <w:szCs w:val="18"/>
                <w:lang w:eastAsia="zh-CN"/>
              </w:rPr>
              <w:t>（</w:t>
            </w:r>
            <w:r>
              <w:rPr>
                <w:rFonts w:hint="eastAsia" w:ascii="宋体" w:hAnsi="宋体" w:cs="宋体"/>
                <w:sz w:val="18"/>
                <w:szCs w:val="18"/>
                <w:lang w:val="en-US" w:eastAsia="zh-CN"/>
              </w:rPr>
              <w:t>条</w:t>
            </w:r>
            <w:r>
              <w:rPr>
                <w:rFonts w:hint="eastAsia" w:ascii="宋体" w:hAnsi="宋体" w:cs="宋体"/>
                <w:sz w:val="18"/>
                <w:szCs w:val="18"/>
                <w:lang w:eastAsia="zh-CN"/>
              </w:rPr>
              <w:t>）</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&gt;3</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1-3</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lang w:val="en-US" w:eastAsia="zh-CN"/>
              </w:rPr>
              <w:t>0</w:t>
            </w:r>
            <w:r>
              <w:rPr>
                <w:rFonts w:hint="eastAsia" w:ascii="宋体" w:hAnsi="宋体" w:cs="宋体"/>
                <w:sz w:val="18"/>
                <w:szCs w:val="18"/>
              </w:rPr>
              <w:t>或发育边界断裂</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eastAsia="zh-CN"/>
              </w:rPr>
            </w:pPr>
            <w:r>
              <w:rPr>
                <w:rFonts w:hint="eastAsia" w:ascii="宋体" w:hAnsi="宋体" w:cs="宋体"/>
                <w:sz w:val="18"/>
                <w:szCs w:val="18"/>
              </w:rPr>
              <w:t>断穿盖层断裂数</w:t>
            </w:r>
            <w:r>
              <w:rPr>
                <w:rFonts w:hint="eastAsia" w:ascii="宋体" w:hAnsi="宋体" w:cs="宋体"/>
                <w:sz w:val="18"/>
                <w:szCs w:val="18"/>
                <w:lang w:eastAsia="zh-CN"/>
              </w:rPr>
              <w:t>（</w:t>
            </w:r>
            <w:r>
              <w:rPr>
                <w:rFonts w:hint="eastAsia" w:ascii="宋体" w:hAnsi="宋体" w:cs="宋体"/>
                <w:sz w:val="18"/>
                <w:szCs w:val="18"/>
                <w:lang w:val="en-US" w:eastAsia="zh-CN"/>
              </w:rPr>
              <w:t>条</w:t>
            </w:r>
            <w:r>
              <w:rPr>
                <w:rFonts w:hint="eastAsia" w:ascii="宋体" w:hAnsi="宋体" w:cs="宋体"/>
                <w:sz w:val="18"/>
                <w:szCs w:val="18"/>
                <w:lang w:eastAsia="zh-CN"/>
              </w:rPr>
              <w:t>）</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&gt;2</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1-2</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0</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sz w:val="18"/>
                <w:szCs w:val="18"/>
                <w:lang w:val="en-US" w:eastAsia="zh-CN"/>
              </w:rPr>
            </w:pPr>
            <w:r>
              <w:rPr>
                <w:rFonts w:hint="eastAsia" w:ascii="宋体" w:hAnsi="宋体" w:cs="宋体"/>
                <w:sz w:val="18"/>
                <w:szCs w:val="18"/>
                <w:lang w:val="en-US" w:eastAsia="zh-CN"/>
              </w:rPr>
              <w:t>断层封闭性</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eastAsia="zh-CN"/>
              </w:rPr>
            </w:pPr>
            <w:r>
              <w:rPr>
                <w:rFonts w:hint="eastAsia" w:ascii="宋体" w:hAnsi="宋体" w:cs="宋体"/>
                <w:sz w:val="18"/>
                <w:szCs w:val="18"/>
                <w:lang w:val="en-US" w:eastAsia="zh-CN"/>
              </w:rPr>
              <w:t>不封闭</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eastAsia="zh-CN"/>
              </w:rPr>
            </w:pPr>
            <w:r>
              <w:rPr>
                <w:rFonts w:hint="eastAsia" w:ascii="宋体" w:hAnsi="宋体" w:cs="宋体"/>
                <w:sz w:val="18"/>
                <w:szCs w:val="18"/>
                <w:lang w:val="en-US" w:eastAsia="zh-CN"/>
              </w:rPr>
              <w:t>具有一定封闭性</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sz w:val="18"/>
                <w:szCs w:val="18"/>
                <w:lang w:val="en-US" w:eastAsia="zh-CN"/>
              </w:rPr>
            </w:pPr>
            <w:r>
              <w:rPr>
                <w:rFonts w:hint="eastAsia" w:ascii="宋体" w:hAnsi="宋体" w:cs="宋体"/>
                <w:sz w:val="18"/>
                <w:szCs w:val="18"/>
                <w:lang w:val="en-US" w:eastAsia="zh-CN"/>
              </w:rPr>
              <w:t>断层封闭</w:t>
            </w:r>
          </w:p>
        </w:tc>
      </w:tr>
      <w:tr>
        <w:tblPrEx>
          <w:tblCellMar>
            <w:top w:w="0" w:type="dxa"/>
            <w:left w:w="108" w:type="dxa"/>
            <w:bottom w:w="0" w:type="dxa"/>
            <w:right w:w="108" w:type="dxa"/>
          </w:tblCellMar>
        </w:tblPrEx>
        <w:trPr>
          <w:cantSplit/>
          <w:trHeight w:val="283" w:hRule="exact"/>
        </w:trPr>
        <w:tc>
          <w:tcPr>
            <w:tcW w:w="635"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lang w:val="en-US" w:eastAsia="zh-CN"/>
              </w:rPr>
              <w:t>老</w:t>
            </w:r>
            <w:r>
              <w:rPr>
                <w:rFonts w:hint="eastAsia" w:ascii="宋体" w:hAnsi="宋体" w:cs="宋体"/>
                <w:sz w:val="18"/>
                <w:szCs w:val="18"/>
              </w:rPr>
              <w:t>井条件</w:t>
            </w: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eastAsia="zh-CN"/>
              </w:rPr>
            </w:pPr>
            <w:r>
              <w:rPr>
                <w:rFonts w:hint="eastAsia" w:ascii="宋体" w:hAnsi="宋体" w:cs="宋体"/>
                <w:sz w:val="18"/>
                <w:szCs w:val="18"/>
                <w:lang w:val="en-US" w:eastAsia="zh-CN"/>
              </w:rPr>
              <w:t>老井</w:t>
            </w:r>
            <w:r>
              <w:rPr>
                <w:rFonts w:hint="eastAsia" w:ascii="宋体" w:hAnsi="宋体" w:cs="宋体"/>
                <w:sz w:val="18"/>
                <w:szCs w:val="18"/>
              </w:rPr>
              <w:t>数量</w:t>
            </w:r>
            <w:r>
              <w:rPr>
                <w:rFonts w:hint="eastAsia" w:ascii="宋体" w:hAnsi="宋体" w:cs="宋体"/>
                <w:sz w:val="18"/>
                <w:szCs w:val="18"/>
                <w:lang w:eastAsia="zh-CN"/>
              </w:rPr>
              <w:t>（</w:t>
            </w:r>
            <w:r>
              <w:rPr>
                <w:rFonts w:hint="eastAsia" w:ascii="宋体" w:hAnsi="宋体" w:cs="宋体"/>
                <w:sz w:val="18"/>
                <w:szCs w:val="18"/>
                <w:lang w:val="en-US" w:eastAsia="zh-CN"/>
              </w:rPr>
              <w:t>口</w:t>
            </w:r>
            <w:r>
              <w:rPr>
                <w:rFonts w:hint="eastAsia" w:ascii="宋体" w:hAnsi="宋体" w:cs="宋体"/>
                <w:sz w:val="18"/>
                <w:szCs w:val="18"/>
                <w:lang w:eastAsia="zh-CN"/>
              </w:rPr>
              <w:t>）</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sz w:val="18"/>
                <w:szCs w:val="18"/>
                <w:lang w:val="en-US" w:eastAsia="zh-CN"/>
              </w:rPr>
            </w:pPr>
            <w:r>
              <w:rPr>
                <w:rFonts w:hint="eastAsia" w:ascii="宋体" w:hAnsi="宋体" w:cs="宋体"/>
                <w:sz w:val="18"/>
                <w:szCs w:val="18"/>
                <w:lang w:val="en-US" w:eastAsia="zh-CN"/>
              </w:rPr>
              <w:t>&gt;1</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val="en-US" w:eastAsia="zh-CN"/>
              </w:rPr>
            </w:pPr>
            <w:r>
              <w:rPr>
                <w:rFonts w:hint="eastAsia" w:ascii="宋体" w:hAnsi="宋体" w:cs="宋体"/>
                <w:sz w:val="18"/>
                <w:szCs w:val="18"/>
                <w:lang w:val="en-US" w:eastAsia="zh-CN"/>
              </w:rPr>
              <w:t>1</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val="en-US" w:eastAsia="zh-CN"/>
              </w:rPr>
            </w:pPr>
            <w:r>
              <w:rPr>
                <w:rFonts w:hint="eastAsia" w:ascii="宋体" w:hAnsi="宋体" w:cs="宋体"/>
                <w:sz w:val="18"/>
                <w:szCs w:val="18"/>
                <w:lang w:val="en-US" w:eastAsia="zh-CN"/>
              </w:rPr>
              <w:t>无</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lang w:val="en-US" w:eastAsia="zh-CN"/>
              </w:rPr>
              <w:t>老井</w:t>
            </w:r>
            <w:r>
              <w:rPr>
                <w:rFonts w:hint="eastAsia" w:ascii="宋体" w:hAnsi="宋体" w:cs="宋体"/>
                <w:sz w:val="18"/>
                <w:szCs w:val="18"/>
              </w:rPr>
              <w:t>状态</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sz w:val="18"/>
                <w:szCs w:val="18"/>
                <w:lang w:val="en-US" w:eastAsia="zh-CN"/>
              </w:rPr>
            </w:pPr>
            <w:r>
              <w:rPr>
                <w:rFonts w:hint="eastAsia" w:ascii="宋体" w:hAnsi="宋体" w:cs="宋体"/>
                <w:sz w:val="18"/>
                <w:szCs w:val="18"/>
                <w:lang w:val="en-US" w:eastAsia="zh-CN"/>
              </w:rPr>
              <w:t>年代早、弃井</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sz w:val="18"/>
                <w:szCs w:val="18"/>
                <w:lang w:val="en-US" w:eastAsia="zh-CN"/>
              </w:rPr>
            </w:pPr>
            <w:r>
              <w:rPr>
                <w:rFonts w:hint="eastAsia" w:ascii="宋体" w:hAnsi="宋体" w:cs="宋体"/>
                <w:sz w:val="18"/>
                <w:szCs w:val="18"/>
                <w:lang w:val="en-US" w:eastAsia="zh-CN"/>
              </w:rPr>
              <w:t>弃井或在产</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sz w:val="18"/>
                <w:szCs w:val="18"/>
                <w:lang w:val="en-US" w:eastAsia="zh-CN"/>
              </w:rPr>
            </w:pPr>
            <w:r>
              <w:rPr>
                <w:rFonts w:hint="eastAsia" w:ascii="宋体" w:hAnsi="宋体" w:cs="宋体"/>
                <w:sz w:val="18"/>
                <w:szCs w:val="18"/>
                <w:lang w:val="en-US" w:eastAsia="zh-CN"/>
              </w:rPr>
              <w:t>弃井时间短</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套管规格</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sz w:val="18"/>
                <w:szCs w:val="18"/>
                <w:lang w:val="en-US" w:eastAsia="zh-CN"/>
              </w:rPr>
            </w:pPr>
            <w:r>
              <w:rPr>
                <w:rFonts w:hint="eastAsia" w:ascii="宋体" w:hAnsi="宋体" w:cs="宋体"/>
                <w:sz w:val="18"/>
                <w:szCs w:val="18"/>
                <w:lang w:val="en-US" w:eastAsia="zh-CN"/>
              </w:rPr>
              <w:t>易受腐蚀</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sz w:val="18"/>
                <w:szCs w:val="18"/>
                <w:lang w:val="en-US" w:eastAsia="zh-CN"/>
              </w:rPr>
            </w:pPr>
            <w:r>
              <w:rPr>
                <w:rFonts w:hint="eastAsia" w:ascii="宋体" w:hAnsi="宋体" w:cs="宋体"/>
                <w:sz w:val="18"/>
                <w:szCs w:val="18"/>
                <w:lang w:val="en-US" w:eastAsia="zh-CN"/>
              </w:rPr>
              <w:t>具有一定防腐能力</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sz w:val="18"/>
                <w:szCs w:val="18"/>
                <w:lang w:val="en-US" w:eastAsia="zh-CN"/>
              </w:rPr>
            </w:pPr>
            <w:r>
              <w:rPr>
                <w:rFonts w:hint="eastAsia" w:ascii="宋体" w:hAnsi="宋体" w:cs="宋体"/>
                <w:sz w:val="18"/>
                <w:szCs w:val="18"/>
                <w:lang w:val="en-US" w:eastAsia="zh-CN"/>
              </w:rPr>
              <w:t>抗腐能力强</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井筒完整性</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sz w:val="18"/>
                <w:szCs w:val="18"/>
                <w:lang w:val="en-US" w:eastAsia="zh-CN"/>
              </w:rPr>
            </w:pPr>
            <w:r>
              <w:rPr>
                <w:rFonts w:hint="eastAsia" w:ascii="宋体" w:hAnsi="宋体" w:cs="宋体"/>
                <w:sz w:val="18"/>
                <w:szCs w:val="18"/>
                <w:lang w:val="en-US" w:eastAsia="zh-CN"/>
              </w:rPr>
              <w:t>无封堵性</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sz w:val="18"/>
                <w:szCs w:val="18"/>
                <w:lang w:val="en-US" w:eastAsia="zh-CN"/>
              </w:rPr>
            </w:pPr>
            <w:r>
              <w:rPr>
                <w:rFonts w:hint="eastAsia" w:ascii="宋体" w:hAnsi="宋体" w:cs="宋体"/>
                <w:sz w:val="18"/>
                <w:szCs w:val="18"/>
                <w:lang w:val="en-US" w:eastAsia="zh-CN"/>
              </w:rPr>
              <w:t>具有封堵性</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sz w:val="18"/>
                <w:szCs w:val="18"/>
                <w:lang w:val="en-US" w:eastAsia="zh-CN"/>
              </w:rPr>
            </w:pPr>
            <w:r>
              <w:rPr>
                <w:rFonts w:hint="eastAsia" w:ascii="宋体" w:hAnsi="宋体" w:cs="宋体"/>
                <w:sz w:val="18"/>
                <w:szCs w:val="18"/>
                <w:lang w:val="en-US" w:eastAsia="zh-CN"/>
              </w:rPr>
              <w:t>封堵性好</w:t>
            </w:r>
          </w:p>
        </w:tc>
      </w:tr>
      <w:tr>
        <w:tblPrEx>
          <w:tblCellMar>
            <w:top w:w="0" w:type="dxa"/>
            <w:left w:w="108" w:type="dxa"/>
            <w:bottom w:w="0" w:type="dxa"/>
            <w:right w:w="108" w:type="dxa"/>
          </w:tblCellMar>
        </w:tblPrEx>
        <w:trPr>
          <w:cantSplit/>
          <w:trHeight w:val="283" w:hRule="exact"/>
        </w:trPr>
        <w:tc>
          <w:tcPr>
            <w:tcW w:w="635" w:type="pct"/>
            <w:vMerge w:val="restart"/>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sz w:val="18"/>
                <w:szCs w:val="18"/>
                <w:lang w:val="en-US" w:eastAsia="zh-CN"/>
              </w:rPr>
            </w:pPr>
            <w:r>
              <w:rPr>
                <w:rFonts w:hint="eastAsia" w:ascii="宋体" w:hAnsi="宋体" w:cs="宋体"/>
                <w:sz w:val="18"/>
                <w:szCs w:val="18"/>
                <w:lang w:val="en-US" w:eastAsia="zh-CN"/>
              </w:rPr>
              <w:t>封存容量</w:t>
            </w: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sz w:val="18"/>
                <w:szCs w:val="18"/>
              </w:rPr>
            </w:pPr>
            <w:r>
              <w:rPr>
                <w:rFonts w:hint="eastAsia" w:ascii="宋体" w:hAnsi="宋体" w:cs="宋体"/>
                <w:sz w:val="18"/>
                <w:szCs w:val="18"/>
                <w:lang w:val="en-US" w:eastAsia="zh-CN"/>
              </w:rPr>
              <w:t>孔隙体积</w:t>
            </w:r>
            <w:r>
              <w:rPr>
                <w:rFonts w:hint="eastAsia" w:ascii="宋体" w:hAnsi="宋体" w:cs="宋体"/>
                <w:sz w:val="18"/>
                <w:szCs w:val="18"/>
                <w:lang w:eastAsia="zh-CN"/>
              </w:rPr>
              <w:t>（</w:t>
            </w:r>
            <w:r>
              <w:rPr>
                <w:rFonts w:hint="eastAsia" w:ascii="宋体" w:hAnsi="宋体" w:cs="宋体"/>
                <w:sz w:val="18"/>
                <w:szCs w:val="18"/>
                <w:lang w:val="en-US" w:eastAsia="zh-CN"/>
              </w:rPr>
              <w:t>m</w:t>
            </w:r>
            <w:r>
              <w:rPr>
                <w:rFonts w:hint="eastAsia" w:ascii="宋体" w:hAnsi="宋体" w:cs="宋体"/>
                <w:sz w:val="18"/>
                <w:szCs w:val="18"/>
                <w:vertAlign w:val="superscript"/>
                <w:lang w:val="en-US" w:eastAsia="zh-CN"/>
              </w:rPr>
              <w:t>3</w:t>
            </w:r>
            <w:r>
              <w:rPr>
                <w:rFonts w:hint="eastAsia" w:ascii="宋体" w:hAnsi="宋体" w:cs="宋体"/>
                <w:sz w:val="18"/>
                <w:szCs w:val="18"/>
                <w:lang w:eastAsia="zh-CN"/>
              </w:rPr>
              <w:t>）</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sz w:val="18"/>
                <w:szCs w:val="18"/>
                <w:lang w:val="en-US" w:eastAsia="zh-CN"/>
              </w:rPr>
            </w:pPr>
            <w:r>
              <w:rPr>
                <w:rFonts w:hint="eastAsia" w:ascii="宋体" w:hAnsi="宋体" w:cs="宋体"/>
                <w:sz w:val="18"/>
                <w:szCs w:val="18"/>
                <w:lang w:val="en-US" w:eastAsia="zh-CN"/>
              </w:rPr>
              <w:t>-</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sz w:val="18"/>
                <w:szCs w:val="18"/>
                <w:lang w:val="en-US" w:eastAsia="zh-CN"/>
              </w:rPr>
            </w:pPr>
            <w:r>
              <w:rPr>
                <w:rFonts w:hint="eastAsia" w:ascii="宋体" w:hAnsi="宋体" w:cs="宋体"/>
                <w:sz w:val="18"/>
                <w:szCs w:val="18"/>
                <w:lang w:val="en-US" w:eastAsia="zh-CN"/>
              </w:rPr>
              <w:t>-</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cs="宋体"/>
                <w:sz w:val="18"/>
                <w:szCs w:val="18"/>
                <w:lang w:val="en-US" w:eastAsia="zh-CN"/>
              </w:rPr>
            </w:pPr>
            <w:r>
              <w:rPr>
                <w:rFonts w:hint="eastAsia" w:ascii="宋体" w:hAnsi="宋体" w:cs="宋体"/>
                <w:sz w:val="18"/>
                <w:szCs w:val="18"/>
                <w:lang w:val="en-US" w:eastAsia="zh-CN"/>
              </w:rPr>
              <w:t>-</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color w:val="000000"/>
                <w:kern w:val="2"/>
                <w:sz w:val="18"/>
                <w:szCs w:val="18"/>
                <w:lang w:val="en-US" w:eastAsia="zh-CN" w:bidi="ar-SA"/>
              </w:rPr>
            </w:pPr>
            <w:r>
              <w:rPr>
                <w:rFonts w:hint="eastAsia" w:ascii="宋体" w:hAnsi="宋体" w:cs="宋体"/>
                <w:sz w:val="18"/>
                <w:szCs w:val="18"/>
              </w:rPr>
              <w:t>封存容量</w:t>
            </w:r>
            <w:r>
              <w:rPr>
                <w:rFonts w:hint="eastAsia" w:ascii="宋体" w:hAnsi="宋体" w:cs="宋体"/>
                <w:sz w:val="18"/>
                <w:szCs w:val="18"/>
                <w:lang w:eastAsia="zh-CN"/>
              </w:rPr>
              <w:t>（</w:t>
            </w:r>
            <w:r>
              <w:rPr>
                <w:rFonts w:hint="eastAsia" w:ascii="宋体" w:hAnsi="宋体" w:cs="宋体"/>
                <w:sz w:val="18"/>
                <w:szCs w:val="18"/>
                <w:lang w:val="en-US" w:eastAsia="zh-CN"/>
              </w:rPr>
              <w:t>t</w:t>
            </w:r>
            <w:r>
              <w:rPr>
                <w:rFonts w:hint="eastAsia" w:ascii="宋体" w:hAnsi="宋体" w:cs="宋体"/>
                <w:sz w:val="18"/>
                <w:szCs w:val="18"/>
                <w:lang w:eastAsia="zh-CN"/>
              </w:rPr>
              <w:t>）</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000000"/>
                <w:kern w:val="2"/>
                <w:sz w:val="18"/>
                <w:szCs w:val="18"/>
                <w:lang w:val="en-US" w:eastAsia="zh-CN" w:bidi="ar-SA"/>
              </w:rPr>
            </w:pPr>
            <w:r>
              <w:rPr>
                <w:rFonts w:hint="eastAsia" w:ascii="宋体" w:hAnsi="宋体" w:cs="宋体"/>
                <w:sz w:val="18"/>
                <w:szCs w:val="18"/>
                <w:lang w:val="en-US" w:eastAsia="zh-CN"/>
              </w:rPr>
              <w:t>&lt;5倍封存需求</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000000"/>
                <w:kern w:val="2"/>
                <w:sz w:val="18"/>
                <w:szCs w:val="18"/>
                <w:lang w:val="en-US" w:eastAsia="zh-CN" w:bidi="ar-SA"/>
              </w:rPr>
            </w:pPr>
            <w:r>
              <w:rPr>
                <w:rFonts w:hint="eastAsia" w:ascii="宋体" w:hAnsi="宋体" w:cs="宋体"/>
                <w:sz w:val="18"/>
                <w:szCs w:val="18"/>
                <w:lang w:val="en-US" w:eastAsia="zh-CN"/>
              </w:rPr>
              <w:t>5-10倍封存需求</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color w:val="000000"/>
                <w:kern w:val="2"/>
                <w:sz w:val="18"/>
                <w:szCs w:val="18"/>
                <w:lang w:val="en-US" w:eastAsia="zh-CN" w:bidi="ar-SA"/>
              </w:rPr>
            </w:pPr>
            <w:r>
              <w:rPr>
                <w:rFonts w:hint="eastAsia" w:ascii="宋体" w:hAnsi="宋体" w:cs="宋体"/>
                <w:color w:val="000000"/>
                <w:kern w:val="2"/>
                <w:sz w:val="18"/>
                <w:szCs w:val="18"/>
                <w:lang w:val="en-US" w:eastAsia="zh-CN" w:bidi="ar-SA"/>
              </w:rPr>
              <w:t>&gt;10倍封存</w:t>
            </w:r>
            <w:r>
              <w:rPr>
                <w:rFonts w:hint="eastAsia" w:ascii="宋体" w:hAnsi="宋体" w:cs="宋体"/>
                <w:sz w:val="18"/>
                <w:szCs w:val="18"/>
                <w:lang w:val="en-US" w:eastAsia="zh-CN"/>
              </w:rPr>
              <w:t>需求</w:t>
            </w:r>
          </w:p>
        </w:tc>
      </w:tr>
      <w:tr>
        <w:tblPrEx>
          <w:tblCellMar>
            <w:top w:w="0" w:type="dxa"/>
            <w:left w:w="108" w:type="dxa"/>
            <w:bottom w:w="0" w:type="dxa"/>
            <w:right w:w="108" w:type="dxa"/>
          </w:tblCellMar>
        </w:tblPrEx>
        <w:trPr>
          <w:cantSplit/>
          <w:trHeight w:val="283" w:hRule="exact"/>
        </w:trPr>
        <w:tc>
          <w:tcPr>
            <w:tcW w:w="635"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工程条件</w:t>
            </w: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eastAsia="zh-CN"/>
              </w:rPr>
            </w:pPr>
            <w:r>
              <w:rPr>
                <w:rFonts w:hint="eastAsia" w:ascii="宋体" w:hAnsi="宋体" w:cs="宋体"/>
                <w:sz w:val="18"/>
                <w:szCs w:val="18"/>
              </w:rPr>
              <w:t>碳源距离</w:t>
            </w:r>
            <w:r>
              <w:rPr>
                <w:rFonts w:hint="eastAsia" w:ascii="宋体" w:hAnsi="宋体" w:cs="宋体"/>
                <w:sz w:val="18"/>
                <w:szCs w:val="18"/>
                <w:lang w:eastAsia="zh-CN"/>
              </w:rPr>
              <w:t>（</w:t>
            </w:r>
            <w:r>
              <w:rPr>
                <w:rFonts w:hint="eastAsia" w:ascii="宋体" w:hAnsi="宋体" w:cs="宋体"/>
                <w:sz w:val="18"/>
                <w:szCs w:val="18"/>
                <w:lang w:val="en-US" w:eastAsia="zh-CN"/>
              </w:rPr>
              <w:t>km</w:t>
            </w:r>
            <w:r>
              <w:rPr>
                <w:rFonts w:hint="eastAsia" w:ascii="宋体" w:hAnsi="宋体" w:cs="宋体"/>
                <w:sz w:val="18"/>
                <w:szCs w:val="18"/>
                <w:lang w:eastAsia="zh-CN"/>
              </w:rPr>
              <w:t>）</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&gt;250</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150-250</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&lt;150</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eastAsia="zh-CN"/>
              </w:rPr>
            </w:pPr>
            <w:r>
              <w:rPr>
                <w:rFonts w:hint="eastAsia" w:ascii="宋体" w:hAnsi="宋体" w:cs="宋体"/>
                <w:sz w:val="18"/>
                <w:szCs w:val="18"/>
              </w:rPr>
              <w:t>海洋水深</w:t>
            </w:r>
            <w:r>
              <w:rPr>
                <w:rFonts w:hint="eastAsia" w:ascii="宋体" w:hAnsi="宋体" w:cs="宋体"/>
                <w:sz w:val="18"/>
                <w:szCs w:val="18"/>
                <w:lang w:eastAsia="zh-CN"/>
              </w:rPr>
              <w:t>（</w:t>
            </w:r>
            <w:r>
              <w:rPr>
                <w:rFonts w:hint="eastAsia" w:ascii="宋体" w:hAnsi="宋体" w:cs="宋体"/>
                <w:sz w:val="18"/>
                <w:szCs w:val="18"/>
                <w:lang w:val="en-US" w:eastAsia="zh-CN"/>
              </w:rPr>
              <w:t>m</w:t>
            </w:r>
            <w:r>
              <w:rPr>
                <w:rFonts w:hint="eastAsia" w:ascii="宋体" w:hAnsi="宋体" w:cs="宋体"/>
                <w:sz w:val="18"/>
                <w:szCs w:val="18"/>
                <w:lang w:eastAsia="zh-CN"/>
              </w:rPr>
              <w:t>）</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&gt;150</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100-150</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&lt;100</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基础设施条件</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无依托基础设施</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具有部分基础设施</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具有完善基础设施</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地质灾害易发性</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存在水合物、滑坡、浅层气等风险</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存在复杂洋流等</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无地质灾害</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限制区域</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sz w:val="18"/>
                <w:szCs w:val="18"/>
                <w:lang w:val="en-US" w:eastAsia="zh-CN"/>
              </w:rPr>
            </w:pPr>
            <w:r>
              <w:rPr>
                <w:rFonts w:hint="eastAsia" w:ascii="宋体" w:hAnsi="宋体" w:cs="宋体"/>
                <w:sz w:val="18"/>
                <w:szCs w:val="18"/>
                <w:lang w:val="en-US" w:eastAsia="zh-CN"/>
              </w:rPr>
              <w:t>在限制区内</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sz w:val="18"/>
                <w:szCs w:val="18"/>
                <w:lang w:val="en-US" w:eastAsia="zh-CN"/>
              </w:rPr>
            </w:pPr>
            <w:r>
              <w:rPr>
                <w:rFonts w:hint="eastAsia" w:ascii="宋体" w:hAnsi="宋体" w:cs="宋体"/>
                <w:sz w:val="18"/>
                <w:szCs w:val="18"/>
                <w:lang w:val="en-US" w:eastAsia="zh-CN"/>
              </w:rPr>
              <w:t>限制区可调整</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不在</w:t>
            </w:r>
            <w:r>
              <w:rPr>
                <w:rFonts w:hint="eastAsia" w:ascii="宋体" w:hAnsi="宋体" w:cs="宋体"/>
                <w:sz w:val="18"/>
                <w:szCs w:val="18"/>
                <w:lang w:val="en-US" w:eastAsia="zh-CN"/>
              </w:rPr>
              <w:t>限制</w:t>
            </w:r>
            <w:r>
              <w:rPr>
                <w:rFonts w:hint="eastAsia" w:ascii="宋体" w:hAnsi="宋体" w:cs="宋体"/>
                <w:sz w:val="18"/>
                <w:szCs w:val="18"/>
              </w:rPr>
              <w:t>区</w:t>
            </w:r>
          </w:p>
        </w:tc>
      </w:tr>
      <w:tr>
        <w:tblPrEx>
          <w:tblCellMar>
            <w:top w:w="0" w:type="dxa"/>
            <w:left w:w="108" w:type="dxa"/>
            <w:bottom w:w="0" w:type="dxa"/>
            <w:right w:w="108" w:type="dxa"/>
          </w:tblCellMar>
        </w:tblPrEx>
        <w:trPr>
          <w:cantSplit/>
          <w:trHeight w:val="283" w:hRule="exact"/>
        </w:trPr>
        <w:tc>
          <w:tcPr>
            <w:tcW w:w="635"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资料基础</w:t>
            </w: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周边油气田情况</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default" w:ascii="宋体" w:hAnsi="宋体" w:eastAsia="宋体" w:cs="宋体"/>
                <w:sz w:val="18"/>
                <w:szCs w:val="18"/>
                <w:lang w:val="en-US" w:eastAsia="zh-CN"/>
              </w:rPr>
            </w:pPr>
            <w:r>
              <w:rPr>
                <w:rFonts w:hint="eastAsia" w:ascii="宋体" w:hAnsi="宋体" w:cs="宋体"/>
                <w:sz w:val="18"/>
                <w:szCs w:val="18"/>
                <w:lang w:val="en-US" w:eastAsia="zh-CN"/>
              </w:rPr>
              <w:t>远离</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val="en-US" w:eastAsia="zh-CN"/>
              </w:rPr>
            </w:pPr>
            <w:r>
              <w:rPr>
                <w:rFonts w:hint="eastAsia" w:ascii="宋体" w:hAnsi="宋体" w:cs="宋体"/>
                <w:sz w:val="18"/>
                <w:szCs w:val="18"/>
                <w:lang w:val="en-US" w:eastAsia="zh-CN"/>
              </w:rPr>
              <w:t>临近</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val="en-US" w:eastAsia="zh-CN"/>
              </w:rPr>
            </w:pPr>
            <w:r>
              <w:rPr>
                <w:rFonts w:hint="eastAsia" w:ascii="宋体" w:hAnsi="宋体" w:cs="宋体"/>
                <w:sz w:val="18"/>
                <w:szCs w:val="18"/>
                <w:lang w:val="en-US" w:eastAsia="zh-CN"/>
              </w:rPr>
              <w:t>有</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油气发现情况</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顶部储层无显示</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顶部储层有油气显示</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顶部储层有油气发现</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eastAsia="zh-CN"/>
              </w:rPr>
            </w:pPr>
            <w:r>
              <w:rPr>
                <w:rFonts w:hint="eastAsia" w:ascii="宋体" w:hAnsi="宋体" w:cs="宋体"/>
                <w:sz w:val="18"/>
                <w:szCs w:val="18"/>
              </w:rPr>
              <w:t>地震及测网密度</w:t>
            </w:r>
            <w:r>
              <w:rPr>
                <w:rFonts w:hint="eastAsia" w:ascii="宋体" w:hAnsi="宋体" w:cs="宋体"/>
                <w:sz w:val="18"/>
                <w:szCs w:val="18"/>
                <w:lang w:eastAsia="zh-CN"/>
              </w:rPr>
              <w:t>（</w:t>
            </w:r>
            <w:r>
              <w:rPr>
                <w:rFonts w:hint="eastAsia" w:ascii="宋体" w:hAnsi="宋体" w:cs="宋体"/>
                <w:sz w:val="18"/>
                <w:szCs w:val="18"/>
                <w:lang w:val="en-US" w:eastAsia="zh-CN"/>
              </w:rPr>
              <w:t>km×km</w:t>
            </w:r>
            <w:r>
              <w:rPr>
                <w:rFonts w:hint="eastAsia" w:ascii="宋体" w:hAnsi="宋体" w:cs="宋体"/>
                <w:sz w:val="18"/>
                <w:szCs w:val="18"/>
                <w:lang w:eastAsia="zh-CN"/>
              </w:rPr>
              <w:t>）</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lang w:val="en-US" w:eastAsia="zh-CN"/>
              </w:rPr>
              <w:t>测网密度</w:t>
            </w:r>
            <w:r>
              <w:rPr>
                <w:rFonts w:hint="eastAsia" w:ascii="宋体" w:hAnsi="宋体" w:cs="宋体"/>
                <w:sz w:val="18"/>
                <w:szCs w:val="18"/>
              </w:rPr>
              <w:t>&gt;1</w:t>
            </w:r>
            <w:r>
              <w:rPr>
                <w:rFonts w:hint="eastAsia" w:ascii="宋体" w:hAnsi="宋体" w:cs="宋体"/>
                <w:sz w:val="18"/>
                <w:szCs w:val="18"/>
                <w:lang w:val="en-US" w:eastAsia="zh-CN"/>
              </w:rPr>
              <w:t>×</w:t>
            </w:r>
            <w:r>
              <w:rPr>
                <w:rFonts w:hint="eastAsia" w:ascii="宋体" w:hAnsi="宋体" w:cs="宋体"/>
                <w:sz w:val="18"/>
                <w:szCs w:val="18"/>
              </w:rPr>
              <w:t>1</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lang w:val="en-US" w:eastAsia="zh-CN"/>
              </w:rPr>
              <w:t>测网密度</w:t>
            </w:r>
            <w:r>
              <w:rPr>
                <w:rFonts w:hint="eastAsia" w:ascii="宋体" w:hAnsi="宋体" w:cs="宋体"/>
                <w:sz w:val="18"/>
                <w:szCs w:val="18"/>
              </w:rPr>
              <w:t>&lt;1</w:t>
            </w:r>
            <w:r>
              <w:rPr>
                <w:rFonts w:hint="eastAsia" w:ascii="宋体" w:hAnsi="宋体" w:cs="宋体"/>
                <w:sz w:val="18"/>
                <w:szCs w:val="18"/>
                <w:lang w:val="en-US" w:eastAsia="zh-CN"/>
              </w:rPr>
              <w:t>×</w:t>
            </w:r>
            <w:r>
              <w:rPr>
                <w:rFonts w:hint="eastAsia" w:ascii="宋体" w:hAnsi="宋体" w:cs="宋体"/>
                <w:sz w:val="18"/>
                <w:szCs w:val="18"/>
              </w:rPr>
              <w:t>1</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val="en-US" w:eastAsia="zh-CN"/>
              </w:rPr>
            </w:pPr>
            <w:r>
              <w:rPr>
                <w:rFonts w:hint="eastAsia" w:ascii="宋体" w:hAnsi="宋体" w:cs="宋体"/>
                <w:sz w:val="18"/>
                <w:szCs w:val="18"/>
              </w:rPr>
              <w:t>3D</w:t>
            </w:r>
            <w:r>
              <w:rPr>
                <w:rFonts w:hint="eastAsia" w:ascii="宋体" w:hAnsi="宋体" w:cs="宋体"/>
                <w:sz w:val="18"/>
                <w:szCs w:val="18"/>
                <w:lang w:val="en-US" w:eastAsia="zh-CN"/>
              </w:rPr>
              <w:t>地震</w:t>
            </w:r>
          </w:p>
        </w:tc>
      </w:tr>
      <w:tr>
        <w:tblPrEx>
          <w:tblCellMar>
            <w:top w:w="0" w:type="dxa"/>
            <w:left w:w="108" w:type="dxa"/>
            <w:bottom w:w="0" w:type="dxa"/>
            <w:right w:w="108" w:type="dxa"/>
          </w:tblCellMar>
        </w:tblPrEx>
        <w:trPr>
          <w:cantSplit/>
          <w:trHeight w:val="283" w:hRule="exact"/>
        </w:trPr>
        <w:tc>
          <w:tcPr>
            <w:tcW w:w="635"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p>
        </w:tc>
        <w:tc>
          <w:tcPr>
            <w:tcW w:w="119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测试化验等资料</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hint="eastAsia" w:ascii="宋体" w:hAnsi="宋体" w:eastAsia="宋体" w:cs="宋体"/>
                <w:sz w:val="18"/>
                <w:szCs w:val="18"/>
                <w:lang w:val="en-US" w:eastAsia="zh-CN"/>
              </w:rPr>
            </w:pPr>
            <w:r>
              <w:rPr>
                <w:rFonts w:hint="eastAsia" w:ascii="宋体" w:hAnsi="宋体" w:cs="宋体"/>
                <w:sz w:val="18"/>
                <w:szCs w:val="18"/>
                <w:lang w:val="en-US" w:eastAsia="zh-CN"/>
              </w:rPr>
              <w:t>无</w:t>
            </w:r>
          </w:p>
        </w:tc>
        <w:tc>
          <w:tcPr>
            <w:tcW w:w="10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储层段有部分</w:t>
            </w:r>
          </w:p>
        </w:tc>
        <w:tc>
          <w:tcPr>
            <w:tcW w:w="1057"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ind w:firstLine="0" w:firstLineChars="0"/>
              <w:jc w:val="center"/>
              <w:textAlignment w:val="auto"/>
              <w:rPr>
                <w:rFonts w:ascii="宋体" w:hAnsi="宋体" w:cs="宋体"/>
                <w:sz w:val="18"/>
                <w:szCs w:val="18"/>
              </w:rPr>
            </w:pPr>
            <w:r>
              <w:rPr>
                <w:rFonts w:hint="eastAsia" w:ascii="宋体" w:hAnsi="宋体" w:cs="宋体"/>
                <w:sz w:val="18"/>
                <w:szCs w:val="18"/>
              </w:rPr>
              <w:t>储层、盖层段均有</w:t>
            </w:r>
          </w:p>
        </w:tc>
      </w:tr>
    </w:tbl>
    <w:p>
      <w:pPr>
        <w:pStyle w:val="56"/>
        <w:ind w:firstLine="420"/>
      </w:pPr>
    </w:p>
    <w:p>
      <w:pPr>
        <w:pStyle w:val="56"/>
        <w:ind w:firstLine="420"/>
      </w:pPr>
    </w:p>
    <w:p>
      <w:pPr>
        <w:pStyle w:val="56"/>
        <w:ind w:firstLine="420"/>
        <w:sectPr>
          <w:pgSz w:w="11906" w:h="16838"/>
          <w:pgMar w:top="567" w:right="1134" w:bottom="1134" w:left="1134" w:header="1418" w:footer="1134" w:gutter="284"/>
          <w:cols w:space="425" w:num="1"/>
          <w:formProt w:val="0"/>
          <w:docGrid w:type="lines" w:linePitch="312" w:charSpace="0"/>
        </w:sectPr>
      </w:pPr>
    </w:p>
    <w:p>
      <w:pPr>
        <w:pStyle w:val="198"/>
      </w:pPr>
    </w:p>
    <w:p>
      <w:pPr>
        <w:pStyle w:val="199"/>
      </w:pPr>
    </w:p>
    <w:bookmarkEnd w:id="43"/>
    <w:p>
      <w:pPr>
        <w:pStyle w:val="63"/>
        <w:spacing w:before="124" w:after="156"/>
      </w:pPr>
      <w:bookmarkStart w:id="46" w:name="_Toc10402"/>
      <w:bookmarkStart w:id="47" w:name="BookMark6"/>
      <w:r>
        <w:rPr>
          <w:rFonts w:hint="eastAsia"/>
          <w:spacing w:val="105"/>
        </w:rPr>
        <w:t>参考文</w:t>
      </w:r>
      <w:r>
        <w:rPr>
          <w:rFonts w:hint="eastAsia"/>
        </w:rPr>
        <w:t>献</w:t>
      </w:r>
      <w:bookmarkEnd w:id="46"/>
    </w:p>
    <w:p>
      <w:pPr>
        <w:pStyle w:val="56"/>
        <w:rPr>
          <w:rFonts w:hint="eastAsia" w:ascii="黑体" w:hAnsi="黑体" w:eastAsia="黑体" w:cs="黑体"/>
          <w:b w:val="0"/>
          <w:bCs w:val="0"/>
        </w:rPr>
      </w:pPr>
      <w:r>
        <w:rPr>
          <w:rFonts w:hint="eastAsia" w:ascii="黑体" w:hAnsi="黑体" w:eastAsia="黑体" w:cs="黑体"/>
          <w:b w:val="0"/>
          <w:bCs w:val="0"/>
        </w:rPr>
        <w:t>[1] Liu, Dongyue.Fuzzy Comprehensive Evaluation Method of Ecological Environment Damage Compensation System and Management Based on Improved Association Rule Algorithm[J]. Mobile Information Systems,2021,2021,(1)。</w:t>
      </w:r>
    </w:p>
    <w:p>
      <w:pPr>
        <w:pStyle w:val="56"/>
        <w:rPr>
          <w:rFonts w:hint="eastAsia" w:ascii="黑体" w:hAnsi="黑体" w:eastAsia="黑体" w:cs="黑体"/>
          <w:b w:val="0"/>
          <w:bCs w:val="0"/>
        </w:rPr>
      </w:pPr>
      <w:r>
        <w:rPr>
          <w:rFonts w:hint="eastAsia" w:ascii="黑体" w:hAnsi="黑体" w:eastAsia="黑体" w:cs="黑体"/>
          <w:b w:val="0"/>
          <w:bCs w:val="0"/>
        </w:rPr>
        <w:t>[2] 李宸瑶.基于土地适宜性评价的城市湿地公园规划设计研究——以柳梢堰湿地公园为例[D].西北农林科技大学,2021.</w:t>
      </w:r>
    </w:p>
    <w:p>
      <w:pPr>
        <w:pStyle w:val="56"/>
        <w:rPr>
          <w:rFonts w:hint="eastAsia" w:ascii="黑体" w:hAnsi="黑体" w:eastAsia="黑体" w:cs="黑体"/>
          <w:b w:val="0"/>
          <w:bCs w:val="0"/>
        </w:rPr>
      </w:pPr>
      <w:r>
        <w:rPr>
          <w:rFonts w:hint="eastAsia" w:ascii="黑体" w:hAnsi="黑体" w:eastAsia="黑体" w:cs="黑体"/>
          <w:b w:val="0"/>
          <w:bCs w:val="0"/>
          <w:lang w:val="en-US" w:eastAsia="zh-CN"/>
        </w:rPr>
        <w:t>[3]</w:t>
      </w:r>
      <w:r>
        <w:rPr>
          <w:rFonts w:hint="eastAsia" w:ascii="黑体" w:hAnsi="黑体" w:eastAsia="黑体" w:cs="黑体"/>
          <w:b w:val="0"/>
          <w:bCs w:val="0"/>
        </w:rPr>
        <w:t>赵赫.典型高校阶梯教室人与环境适宜性的研究与评价[D].沈阳建筑大学,2022.</w:t>
      </w:r>
    </w:p>
    <w:p>
      <w:pPr>
        <w:pStyle w:val="56"/>
        <w:rPr>
          <w:rFonts w:hint="eastAsia" w:ascii="黑体" w:hAnsi="黑体" w:eastAsia="黑体" w:cs="黑体"/>
          <w:b w:val="0"/>
          <w:bCs w:val="0"/>
        </w:rPr>
      </w:pPr>
      <w:r>
        <w:rPr>
          <w:rFonts w:hint="eastAsia" w:ascii="黑体" w:hAnsi="黑体" w:eastAsia="黑体" w:cs="黑体"/>
          <w:b w:val="0"/>
          <w:bCs w:val="0"/>
          <w:lang w:val="en-US" w:eastAsia="zh-CN"/>
        </w:rPr>
        <w:t>[4]</w:t>
      </w:r>
      <w:r>
        <w:rPr>
          <w:rFonts w:hint="eastAsia" w:ascii="黑体" w:hAnsi="黑体" w:eastAsia="黑体" w:cs="黑体"/>
          <w:b w:val="0"/>
          <w:bCs w:val="0"/>
        </w:rPr>
        <w:t>石贝凝,向中林.河南省煤矿城市地下空间开发适宜性评价[J].矿业科学学报,2023,8,(5):714-724.</w:t>
      </w:r>
    </w:p>
    <w:p>
      <w:pPr>
        <w:pStyle w:val="56"/>
        <w:rPr>
          <w:rFonts w:hint="eastAsia" w:ascii="黑体" w:hAnsi="黑体" w:eastAsia="黑体" w:cs="黑体"/>
          <w:b w:val="0"/>
          <w:bCs w:val="0"/>
        </w:rPr>
      </w:pPr>
      <w:r>
        <w:rPr>
          <w:rFonts w:hint="eastAsia" w:ascii="黑体" w:hAnsi="黑体" w:eastAsia="黑体" w:cs="黑体"/>
          <w:b w:val="0"/>
          <w:bCs w:val="0"/>
          <w:lang w:val="en-US" w:eastAsia="zh-CN"/>
        </w:rPr>
        <w:t>[5]</w:t>
      </w:r>
      <w:r>
        <w:rPr>
          <w:rFonts w:hint="eastAsia" w:ascii="黑体" w:hAnsi="黑体" w:eastAsia="黑体" w:cs="黑体"/>
          <w:b w:val="0"/>
          <w:bCs w:val="0"/>
        </w:rPr>
        <w:t>杨国强,苏小四,杜尚海等.松辽盆地CO2地质储存适宜性评价[J].地球学报,2011,32,(5):570-580.</w:t>
      </w:r>
    </w:p>
    <w:p>
      <w:pPr>
        <w:pStyle w:val="56"/>
        <w:rPr>
          <w:rFonts w:hint="eastAsia" w:ascii="黑体" w:hAnsi="黑体" w:eastAsia="黑体" w:cs="黑体"/>
          <w:b w:val="0"/>
          <w:bCs w:val="0"/>
        </w:rPr>
      </w:pPr>
      <w:r>
        <w:rPr>
          <w:rFonts w:hint="eastAsia" w:ascii="黑体" w:hAnsi="黑体" w:eastAsia="黑体" w:cs="黑体"/>
          <w:b w:val="0"/>
          <w:bCs w:val="0"/>
          <w:lang w:val="en-US" w:eastAsia="zh-CN"/>
        </w:rPr>
        <w:t>[6]</w:t>
      </w:r>
      <w:r>
        <w:rPr>
          <w:rFonts w:hint="eastAsia" w:ascii="黑体" w:hAnsi="黑体" w:eastAsia="黑体" w:cs="黑体"/>
          <w:b w:val="0"/>
          <w:bCs w:val="0"/>
        </w:rPr>
        <w:t>闫华敏,李磊,李林涛等.基于层次分析法和模糊评价法的中国近海盆地CO2封存适宜性评价[J].海洋地质前沿,2024,40,(1):79-93.</w:t>
      </w:r>
    </w:p>
    <w:p>
      <w:pPr>
        <w:pStyle w:val="56"/>
        <w:rPr>
          <w:rFonts w:hint="eastAsia" w:ascii="黑体" w:hAnsi="黑体" w:eastAsia="黑体" w:cs="黑体"/>
          <w:b w:val="0"/>
          <w:bCs w:val="0"/>
        </w:rPr>
      </w:pPr>
      <w:r>
        <w:rPr>
          <w:rFonts w:hint="eastAsia" w:ascii="黑体" w:hAnsi="黑体" w:eastAsia="黑体" w:cs="黑体"/>
          <w:b w:val="0"/>
          <w:bCs w:val="0"/>
          <w:lang w:val="en-US" w:eastAsia="zh-CN"/>
        </w:rPr>
        <w:t>[7]</w:t>
      </w:r>
      <w:r>
        <w:rPr>
          <w:rFonts w:hint="eastAsia" w:ascii="黑体" w:hAnsi="黑体" w:eastAsia="黑体" w:cs="黑体"/>
          <w:b w:val="0"/>
          <w:bCs w:val="0"/>
        </w:rPr>
        <w:t>赵青.基于AHP-模糊综合评价法的露天矿生态环境质量评价[D].辽宁工程技术大学,2009.</w:t>
      </w:r>
    </w:p>
    <w:p>
      <w:pPr>
        <w:pStyle w:val="56"/>
        <w:rPr>
          <w:rFonts w:hint="eastAsia" w:ascii="黑体" w:hAnsi="黑体" w:eastAsia="黑体" w:cs="黑体"/>
          <w:b w:val="0"/>
          <w:bCs w:val="0"/>
        </w:rPr>
      </w:pPr>
      <w:r>
        <w:rPr>
          <w:rFonts w:hint="eastAsia" w:ascii="黑体" w:hAnsi="黑体" w:eastAsia="黑体" w:cs="黑体"/>
          <w:b w:val="0"/>
          <w:bCs w:val="0"/>
          <w:lang w:val="en-US" w:eastAsia="zh-CN"/>
        </w:rPr>
        <w:t>[8]</w:t>
      </w:r>
      <w:r>
        <w:rPr>
          <w:rFonts w:hint="eastAsia" w:ascii="黑体" w:hAnsi="黑体" w:eastAsia="黑体" w:cs="黑体"/>
          <w:b w:val="0"/>
          <w:bCs w:val="0"/>
        </w:rPr>
        <w:t>许晓艺,李琦,刘桂臻等.基于多准则决策的CO2地质封存场地适宜性评价方法[J].第四纪研究,2023,43,(2):551-559.</w:t>
      </w:r>
    </w:p>
    <w:p/>
    <w:p>
      <w:pPr>
        <w:pStyle w:val="56"/>
        <w:ind w:firstLine="420"/>
      </w:pPr>
    </w:p>
    <w:p>
      <w:pPr>
        <w:pStyle w:val="56"/>
        <w:ind w:firstLine="420"/>
      </w:pPr>
    </w:p>
    <w:p>
      <w:pPr>
        <w:pStyle w:val="56"/>
        <w:ind w:firstLine="420"/>
      </w:pPr>
    </w:p>
    <w:p>
      <w:pPr>
        <w:pStyle w:val="56"/>
        <w:ind w:firstLine="420"/>
      </w:pPr>
    </w:p>
    <w:bookmarkEnd w:id="47"/>
    <w:p>
      <w:pPr>
        <w:pStyle w:val="56"/>
        <w:ind w:firstLine="0" w:firstLineChars="0"/>
        <w:jc w:val="center"/>
      </w:pPr>
      <w:bookmarkStart w:id="48" w:name="BookMark8"/>
      <w:r>
        <w:rPr>
          <w:rFonts w:hint="eastAsia"/>
        </w:rPr>
        <w:drawing>
          <wp:inline distT="0" distB="0" distL="0" distR="0">
            <wp:extent cx="1485900" cy="317500"/>
            <wp:effectExtent l="0" t="0" r="0" b="6350"/>
            <wp:docPr id="12" name="图片 12"/>
            <wp:cNvGraphicFramePr/>
            <a:graphic xmlns:a="http://schemas.openxmlformats.org/drawingml/2006/main">
              <a:graphicData uri="http://schemas.openxmlformats.org/drawingml/2006/picture">
                <pic:pic xmlns:pic="http://schemas.openxmlformats.org/drawingml/2006/picture">
                  <pic:nvPicPr>
                    <pic:cNvPr id="12" name="图片 12"/>
                    <pic:cNvPicPr/>
                  </pic:nvPicPr>
                  <pic:blipFill>
                    <a:blip r:embed="rId17">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48"/>
    </w:p>
    <w:sectPr>
      <w:pgSz w:w="11906" w:h="16838"/>
      <w:pgMar w:top="567"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pPr>
    <w:r>
      <w:fldChar w:fldCharType="begin"/>
    </w:r>
    <w:r>
      <w:instrText xml:space="preserve">PAGE   \* MERGEFORMAT</w:instrText>
    </w:r>
    <w:r>
      <w:fldChar w:fldCharType="separate"/>
    </w:r>
    <w:r>
      <w:rPr>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7"/>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2"/>
    </w:pPr>
    <w:r>
      <w:fldChar w:fldCharType="begin"/>
    </w:r>
    <w:r>
      <w:instrText xml:space="preserve">PAGE   \* MERGEFORMAT</w:instrText>
    </w:r>
    <w:r>
      <w:fldChar w:fldCharType="separate"/>
    </w:r>
    <w:r>
      <w:rPr>
        <w:lang w:val="zh-CN"/>
      </w:rPr>
      <w:t>2</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1"/>
      <w:spacing w:after="0"/>
    </w:pPr>
    <w:r>
      <w:fldChar w:fldCharType="begin"/>
    </w:r>
    <w:r>
      <w:instrText xml:space="preserve"> STYLEREF  标准文件_文件编号  \* MERGEFORMAT </w:instrText>
    </w:r>
    <w:r>
      <w:fldChar w:fldCharType="separate"/>
    </w:r>
    <w:r>
      <w:t>GB/T XXXXX—XXXX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8"/>
      <w:jc w:val="right"/>
    </w:pPr>
    <w:r>
      <w:fldChar w:fldCharType="begin"/>
    </w:r>
    <w:r>
      <w:instrText xml:space="preserve"> STYLEREF  标准文件_文件编号  \* MERGEFORMAT </w:instrText>
    </w:r>
    <w:r>
      <w:fldChar w:fldCharType="separate"/>
    </w:r>
    <w:r>
      <w:t>GB/T XXXXX—XXXX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0B9A1D5"/>
    <w:multiLevelType w:val="singleLevel"/>
    <w:tmpl w:val="20B9A1D5"/>
    <w:lvl w:ilvl="0" w:tentative="0">
      <w:start w:val="1"/>
      <w:numFmt w:val="lowerLetter"/>
      <w:suff w:val="nothing"/>
      <w:lvlText w:val="%1）"/>
      <w:lvlJc w:val="left"/>
    </w:lvl>
  </w:abstractNum>
  <w:abstractNum w:abstractNumId="11">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2">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3">
    <w:nsid w:val="3DB716C0"/>
    <w:multiLevelType w:val="singleLevel"/>
    <w:tmpl w:val="3DB716C0"/>
    <w:lvl w:ilvl="0" w:tentative="0">
      <w:start w:val="1"/>
      <w:numFmt w:val="lowerLetter"/>
      <w:suff w:val="nothing"/>
      <w:lvlText w:val="%1）"/>
      <w:lvlJc w:val="left"/>
    </w:lvl>
  </w:abstractNum>
  <w:abstractNum w:abstractNumId="14">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5">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6">
    <w:nsid w:val="4B064063"/>
    <w:multiLevelType w:val="singleLevel"/>
    <w:tmpl w:val="4B064063"/>
    <w:lvl w:ilvl="0" w:tentative="0">
      <w:start w:val="1"/>
      <w:numFmt w:val="lowerLetter"/>
      <w:suff w:val="nothing"/>
      <w:lvlText w:val="%1）"/>
      <w:lvlJc w:val="left"/>
    </w:lvl>
  </w:abstractNum>
  <w:abstractNum w:abstractNumId="17">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8">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9">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20">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21">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22">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3">
    <w:nsid w:val="61C8977C"/>
    <w:multiLevelType w:val="singleLevel"/>
    <w:tmpl w:val="61C8977C"/>
    <w:lvl w:ilvl="0" w:tentative="0">
      <w:start w:val="1"/>
      <w:numFmt w:val="lowerLetter"/>
      <w:suff w:val="nothing"/>
      <w:lvlText w:val="%1）"/>
      <w:lvlJc w:val="left"/>
    </w:lvl>
  </w:abstractNum>
  <w:abstractNum w:abstractNumId="24">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5">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6">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7">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8">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9">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0">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1">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229"/>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32">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33">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4">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31"/>
  </w:num>
  <w:num w:numId="3">
    <w:abstractNumId w:val="5"/>
  </w:num>
  <w:num w:numId="4">
    <w:abstractNumId w:val="27"/>
  </w:num>
  <w:num w:numId="5">
    <w:abstractNumId w:val="21"/>
  </w:num>
  <w:num w:numId="6">
    <w:abstractNumId w:val="15"/>
  </w:num>
  <w:num w:numId="7">
    <w:abstractNumId w:val="8"/>
  </w:num>
  <w:num w:numId="8">
    <w:abstractNumId w:val="3"/>
  </w:num>
  <w:num w:numId="9">
    <w:abstractNumId w:val="9"/>
  </w:num>
  <w:num w:numId="10">
    <w:abstractNumId w:val="19"/>
  </w:num>
  <w:num w:numId="11">
    <w:abstractNumId w:val="29"/>
  </w:num>
  <w:num w:numId="12">
    <w:abstractNumId w:val="12"/>
  </w:num>
  <w:num w:numId="13">
    <w:abstractNumId w:val="14"/>
  </w:num>
  <w:num w:numId="14">
    <w:abstractNumId w:val="7"/>
  </w:num>
  <w:num w:numId="15">
    <w:abstractNumId w:val="22"/>
  </w:num>
  <w:num w:numId="16">
    <w:abstractNumId w:val="25"/>
  </w:num>
  <w:num w:numId="17">
    <w:abstractNumId w:val="20"/>
  </w:num>
  <w:num w:numId="18">
    <w:abstractNumId w:val="33"/>
  </w:num>
  <w:num w:numId="19">
    <w:abstractNumId w:val="18"/>
  </w:num>
  <w:num w:numId="20">
    <w:abstractNumId w:val="1"/>
  </w:num>
  <w:num w:numId="21">
    <w:abstractNumId w:val="11"/>
  </w:num>
  <w:num w:numId="22">
    <w:abstractNumId w:val="34"/>
  </w:num>
  <w:num w:numId="23">
    <w:abstractNumId w:val="24"/>
  </w:num>
  <w:num w:numId="24">
    <w:abstractNumId w:val="6"/>
  </w:num>
  <w:num w:numId="25">
    <w:abstractNumId w:val="30"/>
  </w:num>
  <w:num w:numId="26">
    <w:abstractNumId w:val="32"/>
  </w:num>
  <w:num w:numId="27">
    <w:abstractNumId w:val="2"/>
  </w:num>
  <w:num w:numId="28">
    <w:abstractNumId w:val="4"/>
  </w:num>
  <w:num w:numId="29">
    <w:abstractNumId w:val="17"/>
  </w:num>
  <w:num w:numId="30">
    <w:abstractNumId w:val="28"/>
  </w:num>
  <w:num w:numId="31">
    <w:abstractNumId w:val="26"/>
  </w:num>
  <w:num w:numId="32">
    <w:abstractNumId w:val="16"/>
  </w:num>
  <w:num w:numId="33">
    <w:abstractNumId w:val="13"/>
  </w:num>
  <w:num w:numId="34">
    <w:abstractNumId w:val="10"/>
  </w:num>
  <w:num w:numId="3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012"/>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7B64"/>
    <w:rsid w:val="00080A1C"/>
    <w:rsid w:val="00082317"/>
    <w:rsid w:val="00083D2C"/>
    <w:rsid w:val="00086AA1"/>
    <w:rsid w:val="00087A77"/>
    <w:rsid w:val="00090CA6"/>
    <w:rsid w:val="00092B8A"/>
    <w:rsid w:val="00092FB0"/>
    <w:rsid w:val="000934C5"/>
    <w:rsid w:val="00093D25"/>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2FBD"/>
    <w:rsid w:val="000C3E10"/>
    <w:rsid w:val="000C4B41"/>
    <w:rsid w:val="000C57D6"/>
    <w:rsid w:val="000C7666"/>
    <w:rsid w:val="000D0A9C"/>
    <w:rsid w:val="000D1795"/>
    <w:rsid w:val="000D329A"/>
    <w:rsid w:val="000D4B9C"/>
    <w:rsid w:val="000D4EB6"/>
    <w:rsid w:val="000D753B"/>
    <w:rsid w:val="000E4C9E"/>
    <w:rsid w:val="000E6FD7"/>
    <w:rsid w:val="000F06E1"/>
    <w:rsid w:val="000F0E3C"/>
    <w:rsid w:val="000F19D5"/>
    <w:rsid w:val="000F2E41"/>
    <w:rsid w:val="000F4AEA"/>
    <w:rsid w:val="000F6501"/>
    <w:rsid w:val="000F67E9"/>
    <w:rsid w:val="001016A7"/>
    <w:rsid w:val="00104926"/>
    <w:rsid w:val="00113B1E"/>
    <w:rsid w:val="0011711C"/>
    <w:rsid w:val="00124E4F"/>
    <w:rsid w:val="001260B7"/>
    <w:rsid w:val="001265CB"/>
    <w:rsid w:val="001321C6"/>
    <w:rsid w:val="001325C4"/>
    <w:rsid w:val="00133010"/>
    <w:rsid w:val="001337A1"/>
    <w:rsid w:val="001338EE"/>
    <w:rsid w:val="00133AAE"/>
    <w:rsid w:val="00135323"/>
    <w:rsid w:val="001356C4"/>
    <w:rsid w:val="00141114"/>
    <w:rsid w:val="00142969"/>
    <w:rsid w:val="001457E7"/>
    <w:rsid w:val="00145D9D"/>
    <w:rsid w:val="00146388"/>
    <w:rsid w:val="001529E5"/>
    <w:rsid w:val="00153C7E"/>
    <w:rsid w:val="00156B25"/>
    <w:rsid w:val="00156E1A"/>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5E62"/>
    <w:rsid w:val="00176DFD"/>
    <w:rsid w:val="001852C9"/>
    <w:rsid w:val="00190087"/>
    <w:rsid w:val="00190C28"/>
    <w:rsid w:val="001913C4"/>
    <w:rsid w:val="0019348F"/>
    <w:rsid w:val="00193A07"/>
    <w:rsid w:val="00194C95"/>
    <w:rsid w:val="00195C34"/>
    <w:rsid w:val="001A1A53"/>
    <w:rsid w:val="001A234A"/>
    <w:rsid w:val="001B06E8"/>
    <w:rsid w:val="001B71D0"/>
    <w:rsid w:val="001B71EE"/>
    <w:rsid w:val="001C04A8"/>
    <w:rsid w:val="001C2C03"/>
    <w:rsid w:val="001C42F7"/>
    <w:rsid w:val="001C49E5"/>
    <w:rsid w:val="001C680C"/>
    <w:rsid w:val="001C7FEA"/>
    <w:rsid w:val="001D0499"/>
    <w:rsid w:val="001D0BBE"/>
    <w:rsid w:val="001D0ED4"/>
    <w:rsid w:val="001D1C53"/>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10B15"/>
    <w:rsid w:val="00212012"/>
    <w:rsid w:val="002142EA"/>
    <w:rsid w:val="002204BB"/>
    <w:rsid w:val="00221B79"/>
    <w:rsid w:val="00221C6B"/>
    <w:rsid w:val="00224C87"/>
    <w:rsid w:val="002253A1"/>
    <w:rsid w:val="00225CF8"/>
    <w:rsid w:val="0022794E"/>
    <w:rsid w:val="00233D64"/>
    <w:rsid w:val="0023482A"/>
    <w:rsid w:val="002359CB"/>
    <w:rsid w:val="002426A2"/>
    <w:rsid w:val="00243540"/>
    <w:rsid w:val="0024497B"/>
    <w:rsid w:val="0024515B"/>
    <w:rsid w:val="00246021"/>
    <w:rsid w:val="0024666E"/>
    <w:rsid w:val="00247F52"/>
    <w:rsid w:val="00250B25"/>
    <w:rsid w:val="00250BBE"/>
    <w:rsid w:val="0025194F"/>
    <w:rsid w:val="0026148A"/>
    <w:rsid w:val="00262696"/>
    <w:rsid w:val="002643C3"/>
    <w:rsid w:val="00264A0C"/>
    <w:rsid w:val="00267EF4"/>
    <w:rsid w:val="00270CB8"/>
    <w:rsid w:val="00272B08"/>
    <w:rsid w:val="00281BB8"/>
    <w:rsid w:val="00281E9E"/>
    <w:rsid w:val="002830B9"/>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F44"/>
    <w:rsid w:val="002B0C40"/>
    <w:rsid w:val="002B1966"/>
    <w:rsid w:val="002B4508"/>
    <w:rsid w:val="002B5779"/>
    <w:rsid w:val="002B7332"/>
    <w:rsid w:val="002B7F51"/>
    <w:rsid w:val="002C09E7"/>
    <w:rsid w:val="002C1B28"/>
    <w:rsid w:val="002C3F07"/>
    <w:rsid w:val="002C5278"/>
    <w:rsid w:val="002C6FB1"/>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4BDF"/>
    <w:rsid w:val="00317988"/>
    <w:rsid w:val="003221B4"/>
    <w:rsid w:val="00322E62"/>
    <w:rsid w:val="00324EDD"/>
    <w:rsid w:val="00336C64"/>
    <w:rsid w:val="00337162"/>
    <w:rsid w:val="0034194F"/>
    <w:rsid w:val="00344605"/>
    <w:rsid w:val="003474AA"/>
    <w:rsid w:val="00350D1D"/>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6E5"/>
    <w:rsid w:val="00390EE6"/>
    <w:rsid w:val="0039118F"/>
    <w:rsid w:val="00392AD7"/>
    <w:rsid w:val="00392C1E"/>
    <w:rsid w:val="003938D9"/>
    <w:rsid w:val="00394376"/>
    <w:rsid w:val="003943FF"/>
    <w:rsid w:val="003974EB"/>
    <w:rsid w:val="00397CC5"/>
    <w:rsid w:val="003A1582"/>
    <w:rsid w:val="003A4077"/>
    <w:rsid w:val="003B09AD"/>
    <w:rsid w:val="003B1F18"/>
    <w:rsid w:val="003B5BF0"/>
    <w:rsid w:val="003B60BF"/>
    <w:rsid w:val="003B6BE3"/>
    <w:rsid w:val="003C010C"/>
    <w:rsid w:val="003C0A6C"/>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400E72"/>
    <w:rsid w:val="00401400"/>
    <w:rsid w:val="00404869"/>
    <w:rsid w:val="00405884"/>
    <w:rsid w:val="00407D39"/>
    <w:rsid w:val="0041477A"/>
    <w:rsid w:val="004167A3"/>
    <w:rsid w:val="00432DAA"/>
    <w:rsid w:val="00434305"/>
    <w:rsid w:val="004347D3"/>
    <w:rsid w:val="00435DF7"/>
    <w:rsid w:val="0044083F"/>
    <w:rsid w:val="00441AE7"/>
    <w:rsid w:val="00445574"/>
    <w:rsid w:val="004467FB"/>
    <w:rsid w:val="00452D6B"/>
    <w:rsid w:val="00454484"/>
    <w:rsid w:val="0045517B"/>
    <w:rsid w:val="00463B77"/>
    <w:rsid w:val="00463C7B"/>
    <w:rsid w:val="004644A6"/>
    <w:rsid w:val="004659BD"/>
    <w:rsid w:val="00470775"/>
    <w:rsid w:val="004746B1"/>
    <w:rsid w:val="0047583F"/>
    <w:rsid w:val="00484936"/>
    <w:rsid w:val="00485C89"/>
    <w:rsid w:val="00486BE3"/>
    <w:rsid w:val="004905E4"/>
    <w:rsid w:val="00490A89"/>
    <w:rsid w:val="00490AB4"/>
    <w:rsid w:val="00492F02"/>
    <w:rsid w:val="004939AE"/>
    <w:rsid w:val="004977F1"/>
    <w:rsid w:val="004A12DF"/>
    <w:rsid w:val="004A1BA8"/>
    <w:rsid w:val="004A4B57"/>
    <w:rsid w:val="004A63FA"/>
    <w:rsid w:val="004B2701"/>
    <w:rsid w:val="004B2E1B"/>
    <w:rsid w:val="004B3E93"/>
    <w:rsid w:val="004C1FBC"/>
    <w:rsid w:val="004C3F1D"/>
    <w:rsid w:val="004C458D"/>
    <w:rsid w:val="004C702F"/>
    <w:rsid w:val="004C7556"/>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391A"/>
    <w:rsid w:val="004F3CFB"/>
    <w:rsid w:val="004F6456"/>
    <w:rsid w:val="004F696E"/>
    <w:rsid w:val="004F6C71"/>
    <w:rsid w:val="00501139"/>
    <w:rsid w:val="00501A12"/>
    <w:rsid w:val="0050363E"/>
    <w:rsid w:val="005039BC"/>
    <w:rsid w:val="005043BB"/>
    <w:rsid w:val="00504A3D"/>
    <w:rsid w:val="00505767"/>
    <w:rsid w:val="005073F0"/>
    <w:rsid w:val="00510A7B"/>
    <w:rsid w:val="00512F6E"/>
    <w:rsid w:val="00513038"/>
    <w:rsid w:val="00514174"/>
    <w:rsid w:val="00514DF9"/>
    <w:rsid w:val="00516088"/>
    <w:rsid w:val="00516B0B"/>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570D0"/>
    <w:rsid w:val="00561475"/>
    <w:rsid w:val="0056487B"/>
    <w:rsid w:val="00564FB9"/>
    <w:rsid w:val="00573D9E"/>
    <w:rsid w:val="005801E3"/>
    <w:rsid w:val="00581802"/>
    <w:rsid w:val="005836A8"/>
    <w:rsid w:val="00584262"/>
    <w:rsid w:val="00586630"/>
    <w:rsid w:val="00587ADD"/>
    <w:rsid w:val="00596160"/>
    <w:rsid w:val="005966E2"/>
    <w:rsid w:val="00597007"/>
    <w:rsid w:val="005A0966"/>
    <w:rsid w:val="005A11B7"/>
    <w:rsid w:val="005A260B"/>
    <w:rsid w:val="005A4A1B"/>
    <w:rsid w:val="005A7830"/>
    <w:rsid w:val="005A7FCE"/>
    <w:rsid w:val="005B0F3F"/>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7881"/>
    <w:rsid w:val="005E78E0"/>
    <w:rsid w:val="005F0D9C"/>
    <w:rsid w:val="005F284E"/>
    <w:rsid w:val="006002B2"/>
    <w:rsid w:val="006015CE"/>
    <w:rsid w:val="00604784"/>
    <w:rsid w:val="00606419"/>
    <w:rsid w:val="00607D29"/>
    <w:rsid w:val="00612952"/>
    <w:rsid w:val="00614CC1"/>
    <w:rsid w:val="00615A9D"/>
    <w:rsid w:val="006162BE"/>
    <w:rsid w:val="00616BBB"/>
    <w:rsid w:val="00617387"/>
    <w:rsid w:val="006252D8"/>
    <w:rsid w:val="006259BC"/>
    <w:rsid w:val="0062636B"/>
    <w:rsid w:val="00626922"/>
    <w:rsid w:val="00632182"/>
    <w:rsid w:val="00632AE0"/>
    <w:rsid w:val="00633C17"/>
    <w:rsid w:val="00636496"/>
    <w:rsid w:val="00636E3E"/>
    <w:rsid w:val="006379F7"/>
    <w:rsid w:val="00637E4D"/>
    <w:rsid w:val="00640620"/>
    <w:rsid w:val="00641A1F"/>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A07AA"/>
    <w:rsid w:val="006A25E5"/>
    <w:rsid w:val="006A2B46"/>
    <w:rsid w:val="006A336D"/>
    <w:rsid w:val="006A37B9"/>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4F58"/>
    <w:rsid w:val="00722FBF"/>
    <w:rsid w:val="00722FC2"/>
    <w:rsid w:val="00725949"/>
    <w:rsid w:val="00727FA2"/>
    <w:rsid w:val="007322D9"/>
    <w:rsid w:val="00732BC0"/>
    <w:rsid w:val="0073720F"/>
    <w:rsid w:val="00737796"/>
    <w:rsid w:val="0074165C"/>
    <w:rsid w:val="007432CA"/>
    <w:rsid w:val="007439EB"/>
    <w:rsid w:val="00743CB4"/>
    <w:rsid w:val="00743F0A"/>
    <w:rsid w:val="007444E8"/>
    <w:rsid w:val="0074548E"/>
    <w:rsid w:val="00745773"/>
    <w:rsid w:val="00746800"/>
    <w:rsid w:val="007501A8"/>
    <w:rsid w:val="00750EE1"/>
    <w:rsid w:val="00752B4D"/>
    <w:rsid w:val="00755402"/>
    <w:rsid w:val="00756B26"/>
    <w:rsid w:val="00756EDF"/>
    <w:rsid w:val="007609A2"/>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061E"/>
    <w:rsid w:val="007A2E12"/>
    <w:rsid w:val="007A3475"/>
    <w:rsid w:val="007A41C8"/>
    <w:rsid w:val="007A54CE"/>
    <w:rsid w:val="007A7FFA"/>
    <w:rsid w:val="007B04EB"/>
    <w:rsid w:val="007B0D4F"/>
    <w:rsid w:val="007B5A3D"/>
    <w:rsid w:val="007B5B95"/>
    <w:rsid w:val="007B68EA"/>
    <w:rsid w:val="007C19E8"/>
    <w:rsid w:val="007C2D89"/>
    <w:rsid w:val="007C4593"/>
    <w:rsid w:val="007C5309"/>
    <w:rsid w:val="007C6069"/>
    <w:rsid w:val="007D06C4"/>
    <w:rsid w:val="007D1352"/>
    <w:rsid w:val="007D2508"/>
    <w:rsid w:val="007D346A"/>
    <w:rsid w:val="007D6518"/>
    <w:rsid w:val="007D76BD"/>
    <w:rsid w:val="007E0BF1"/>
    <w:rsid w:val="007F0ED8"/>
    <w:rsid w:val="007F0F63"/>
    <w:rsid w:val="007F75CE"/>
    <w:rsid w:val="008013A4"/>
    <w:rsid w:val="008027CE"/>
    <w:rsid w:val="00802F42"/>
    <w:rsid w:val="00804383"/>
    <w:rsid w:val="00804BB7"/>
    <w:rsid w:val="00810257"/>
    <w:rsid w:val="008104F5"/>
    <w:rsid w:val="00811072"/>
    <w:rsid w:val="00811369"/>
    <w:rsid w:val="00814E50"/>
    <w:rsid w:val="00815419"/>
    <w:rsid w:val="008163C8"/>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342"/>
    <w:rsid w:val="0085173A"/>
    <w:rsid w:val="008603CE"/>
    <w:rsid w:val="008620FC"/>
    <w:rsid w:val="008627A5"/>
    <w:rsid w:val="00863E05"/>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1673D"/>
    <w:rsid w:val="00916F2D"/>
    <w:rsid w:val="009245F5"/>
    <w:rsid w:val="009249EC"/>
    <w:rsid w:val="009273B3"/>
    <w:rsid w:val="009305B5"/>
    <w:rsid w:val="00934C12"/>
    <w:rsid w:val="009429D5"/>
    <w:rsid w:val="00942BF1"/>
    <w:rsid w:val="00945180"/>
    <w:rsid w:val="00945428"/>
    <w:rsid w:val="0094607B"/>
    <w:rsid w:val="00952C52"/>
    <w:rsid w:val="00953604"/>
    <w:rsid w:val="009610DC"/>
    <w:rsid w:val="00961490"/>
    <w:rsid w:val="0096381A"/>
    <w:rsid w:val="00965E04"/>
    <w:rsid w:val="009674AD"/>
    <w:rsid w:val="0097094E"/>
    <w:rsid w:val="00970CDC"/>
    <w:rsid w:val="00977010"/>
    <w:rsid w:val="00977D02"/>
    <w:rsid w:val="009809BB"/>
    <w:rsid w:val="00982D22"/>
    <w:rsid w:val="0098364B"/>
    <w:rsid w:val="00983BF9"/>
    <w:rsid w:val="009911AF"/>
    <w:rsid w:val="00991875"/>
    <w:rsid w:val="00991F92"/>
    <w:rsid w:val="00992985"/>
    <w:rsid w:val="00993889"/>
    <w:rsid w:val="0099551B"/>
    <w:rsid w:val="00997BF1"/>
    <w:rsid w:val="009A089C"/>
    <w:rsid w:val="009A118E"/>
    <w:rsid w:val="009A21CD"/>
    <w:rsid w:val="009A278C"/>
    <w:rsid w:val="009A2BC2"/>
    <w:rsid w:val="009A3EEC"/>
    <w:rsid w:val="009A42C1"/>
    <w:rsid w:val="009A5429"/>
    <w:rsid w:val="009A72AD"/>
    <w:rsid w:val="009B09E0"/>
    <w:rsid w:val="009B0BC5"/>
    <w:rsid w:val="009B1247"/>
    <w:rsid w:val="009B6029"/>
    <w:rsid w:val="009B6971"/>
    <w:rsid w:val="009C27F1"/>
    <w:rsid w:val="009C3152"/>
    <w:rsid w:val="009C4CFA"/>
    <w:rsid w:val="009C5070"/>
    <w:rsid w:val="009D112C"/>
    <w:rsid w:val="009D47FA"/>
    <w:rsid w:val="009D50D2"/>
    <w:rsid w:val="009D6BCA"/>
    <w:rsid w:val="009E0F62"/>
    <w:rsid w:val="009E4A58"/>
    <w:rsid w:val="009E5A2D"/>
    <w:rsid w:val="009E5AB2"/>
    <w:rsid w:val="009E6219"/>
    <w:rsid w:val="009F03B3"/>
    <w:rsid w:val="00A01757"/>
    <w:rsid w:val="00A028C0"/>
    <w:rsid w:val="00A02BAE"/>
    <w:rsid w:val="00A06A6B"/>
    <w:rsid w:val="00A07E47"/>
    <w:rsid w:val="00A129D0"/>
    <w:rsid w:val="00A12C33"/>
    <w:rsid w:val="00A138BA"/>
    <w:rsid w:val="00A14C8E"/>
    <w:rsid w:val="00A153D9"/>
    <w:rsid w:val="00A15F09"/>
    <w:rsid w:val="00A169B6"/>
    <w:rsid w:val="00A2271D"/>
    <w:rsid w:val="00A236E5"/>
    <w:rsid w:val="00A237D5"/>
    <w:rsid w:val="00A24F7B"/>
    <w:rsid w:val="00A30EFC"/>
    <w:rsid w:val="00A31984"/>
    <w:rsid w:val="00A32D73"/>
    <w:rsid w:val="00A32ECE"/>
    <w:rsid w:val="00A3367B"/>
    <w:rsid w:val="00A3597D"/>
    <w:rsid w:val="00A40091"/>
    <w:rsid w:val="00A4030F"/>
    <w:rsid w:val="00A41C79"/>
    <w:rsid w:val="00A41CB5"/>
    <w:rsid w:val="00A42CDF"/>
    <w:rsid w:val="00A4452E"/>
    <w:rsid w:val="00A4472C"/>
    <w:rsid w:val="00A44E69"/>
    <w:rsid w:val="00A4661E"/>
    <w:rsid w:val="00A55BD6"/>
    <w:rsid w:val="00A55D50"/>
    <w:rsid w:val="00A57142"/>
    <w:rsid w:val="00A648CD"/>
    <w:rsid w:val="00A6537A"/>
    <w:rsid w:val="00A67866"/>
    <w:rsid w:val="00A70B07"/>
    <w:rsid w:val="00A723F8"/>
    <w:rsid w:val="00A77CCB"/>
    <w:rsid w:val="00A83D8D"/>
    <w:rsid w:val="00A8446B"/>
    <w:rsid w:val="00A8473F"/>
    <w:rsid w:val="00A85E20"/>
    <w:rsid w:val="00A862D6"/>
    <w:rsid w:val="00A8715E"/>
    <w:rsid w:val="00A9295B"/>
    <w:rsid w:val="00A93B09"/>
    <w:rsid w:val="00A952D7"/>
    <w:rsid w:val="00A963F7"/>
    <w:rsid w:val="00A96AD8"/>
    <w:rsid w:val="00AA052C"/>
    <w:rsid w:val="00AA1E45"/>
    <w:rsid w:val="00AA2A24"/>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2278"/>
    <w:rsid w:val="00AD3367"/>
    <w:rsid w:val="00AD4126"/>
    <w:rsid w:val="00AD421C"/>
    <w:rsid w:val="00AD44FA"/>
    <w:rsid w:val="00AE070A"/>
    <w:rsid w:val="00AE101C"/>
    <w:rsid w:val="00AF0C18"/>
    <w:rsid w:val="00AF47C5"/>
    <w:rsid w:val="00AF5398"/>
    <w:rsid w:val="00B049AF"/>
    <w:rsid w:val="00B07242"/>
    <w:rsid w:val="00B10534"/>
    <w:rsid w:val="00B113DB"/>
    <w:rsid w:val="00B11D8A"/>
    <w:rsid w:val="00B12981"/>
    <w:rsid w:val="00B147DD"/>
    <w:rsid w:val="00B156FD"/>
    <w:rsid w:val="00B21F61"/>
    <w:rsid w:val="00B23045"/>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2120"/>
    <w:rsid w:val="00B54ABC"/>
    <w:rsid w:val="00B56FBE"/>
    <w:rsid w:val="00B62B58"/>
    <w:rsid w:val="00B65149"/>
    <w:rsid w:val="00B66567"/>
    <w:rsid w:val="00B66F52"/>
    <w:rsid w:val="00B66FE5"/>
    <w:rsid w:val="00B675B7"/>
    <w:rsid w:val="00B72880"/>
    <w:rsid w:val="00B758BF"/>
    <w:rsid w:val="00B827A6"/>
    <w:rsid w:val="00B831CE"/>
    <w:rsid w:val="00B86677"/>
    <w:rsid w:val="00B87131"/>
    <w:rsid w:val="00B9127B"/>
    <w:rsid w:val="00B91566"/>
    <w:rsid w:val="00B9320C"/>
    <w:rsid w:val="00B939B1"/>
    <w:rsid w:val="00B96D40"/>
    <w:rsid w:val="00B97386"/>
    <w:rsid w:val="00BA263B"/>
    <w:rsid w:val="00BA42B2"/>
    <w:rsid w:val="00BA58D4"/>
    <w:rsid w:val="00BA5B9E"/>
    <w:rsid w:val="00BA7C9A"/>
    <w:rsid w:val="00BB5F8F"/>
    <w:rsid w:val="00BB657A"/>
    <w:rsid w:val="00BC1A4E"/>
    <w:rsid w:val="00BC5DC7"/>
    <w:rsid w:val="00BC6B8B"/>
    <w:rsid w:val="00BC73D8"/>
    <w:rsid w:val="00BD52D7"/>
    <w:rsid w:val="00BD5AD2"/>
    <w:rsid w:val="00BD6082"/>
    <w:rsid w:val="00BE22F3"/>
    <w:rsid w:val="00BE49EE"/>
    <w:rsid w:val="00BE5B52"/>
    <w:rsid w:val="00BE7B8D"/>
    <w:rsid w:val="00BF0993"/>
    <w:rsid w:val="00BF10A9"/>
    <w:rsid w:val="00BF1703"/>
    <w:rsid w:val="00BF231C"/>
    <w:rsid w:val="00BF51E5"/>
    <w:rsid w:val="00BF74A6"/>
    <w:rsid w:val="00C013AD"/>
    <w:rsid w:val="00C04904"/>
    <w:rsid w:val="00C056B3"/>
    <w:rsid w:val="00C103E5"/>
    <w:rsid w:val="00C13319"/>
    <w:rsid w:val="00C13EE9"/>
    <w:rsid w:val="00C14D87"/>
    <w:rsid w:val="00C21540"/>
    <w:rsid w:val="00C21906"/>
    <w:rsid w:val="00C21BFA"/>
    <w:rsid w:val="00C24C8D"/>
    <w:rsid w:val="00C25FE2"/>
    <w:rsid w:val="00C26B53"/>
    <w:rsid w:val="00C279B2"/>
    <w:rsid w:val="00C33E50"/>
    <w:rsid w:val="00C34C20"/>
    <w:rsid w:val="00C35A3E"/>
    <w:rsid w:val="00C42130"/>
    <w:rsid w:val="00C423A4"/>
    <w:rsid w:val="00C44BF5"/>
    <w:rsid w:val="00C55232"/>
    <w:rsid w:val="00C553A4"/>
    <w:rsid w:val="00C55A06"/>
    <w:rsid w:val="00C55D03"/>
    <w:rsid w:val="00C601BC"/>
    <w:rsid w:val="00C6065E"/>
    <w:rsid w:val="00C622C4"/>
    <w:rsid w:val="00C6329F"/>
    <w:rsid w:val="00C63340"/>
    <w:rsid w:val="00C643F9"/>
    <w:rsid w:val="00C64E95"/>
    <w:rsid w:val="00C655FD"/>
    <w:rsid w:val="00C71372"/>
    <w:rsid w:val="00C72410"/>
    <w:rsid w:val="00C7287F"/>
    <w:rsid w:val="00C72F0E"/>
    <w:rsid w:val="00C80CB8"/>
    <w:rsid w:val="00C819F8"/>
    <w:rsid w:val="00C8248C"/>
    <w:rsid w:val="00C84E33"/>
    <w:rsid w:val="00C86D6F"/>
    <w:rsid w:val="00C905FC"/>
    <w:rsid w:val="00C92D03"/>
    <w:rsid w:val="00C9319C"/>
    <w:rsid w:val="00C9435D"/>
    <w:rsid w:val="00C9517F"/>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44B1"/>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52A2"/>
    <w:rsid w:val="00D40A83"/>
    <w:rsid w:val="00D4162B"/>
    <w:rsid w:val="00D4514F"/>
    <w:rsid w:val="00D451E2"/>
    <w:rsid w:val="00D4545E"/>
    <w:rsid w:val="00D45E89"/>
    <w:rsid w:val="00D45E8D"/>
    <w:rsid w:val="00D466AE"/>
    <w:rsid w:val="00D4734F"/>
    <w:rsid w:val="00D51BF3"/>
    <w:rsid w:val="00D63276"/>
    <w:rsid w:val="00D66846"/>
    <w:rsid w:val="00D675FB"/>
    <w:rsid w:val="00D71F25"/>
    <w:rsid w:val="00D77031"/>
    <w:rsid w:val="00D84941"/>
    <w:rsid w:val="00D84FA1"/>
    <w:rsid w:val="00D851F0"/>
    <w:rsid w:val="00D86DB7"/>
    <w:rsid w:val="00D926D0"/>
    <w:rsid w:val="00D93030"/>
    <w:rsid w:val="00D950E1"/>
    <w:rsid w:val="00D952A6"/>
    <w:rsid w:val="00D97F99"/>
    <w:rsid w:val="00DA19E7"/>
    <w:rsid w:val="00DA1E08"/>
    <w:rsid w:val="00DA24F8"/>
    <w:rsid w:val="00DA28E8"/>
    <w:rsid w:val="00DA38D3"/>
    <w:rsid w:val="00DA3932"/>
    <w:rsid w:val="00DA64F8"/>
    <w:rsid w:val="00DA6C15"/>
    <w:rsid w:val="00DA7370"/>
    <w:rsid w:val="00DB2758"/>
    <w:rsid w:val="00DB38EE"/>
    <w:rsid w:val="00DB498B"/>
    <w:rsid w:val="00DB66CA"/>
    <w:rsid w:val="00DB6BCA"/>
    <w:rsid w:val="00DC0321"/>
    <w:rsid w:val="00DC3067"/>
    <w:rsid w:val="00DC370B"/>
    <w:rsid w:val="00DC5B90"/>
    <w:rsid w:val="00DD00F2"/>
    <w:rsid w:val="00DD00FF"/>
    <w:rsid w:val="00DD0619"/>
    <w:rsid w:val="00DD07FB"/>
    <w:rsid w:val="00DD25C6"/>
    <w:rsid w:val="00DD54B0"/>
    <w:rsid w:val="00DD57EE"/>
    <w:rsid w:val="00DD6BCC"/>
    <w:rsid w:val="00DE0A4B"/>
    <w:rsid w:val="00DE2410"/>
    <w:rsid w:val="00DE2939"/>
    <w:rsid w:val="00DE51F0"/>
    <w:rsid w:val="00DE6E81"/>
    <w:rsid w:val="00DE703F"/>
    <w:rsid w:val="00DE7595"/>
    <w:rsid w:val="00DF15BE"/>
    <w:rsid w:val="00DF1961"/>
    <w:rsid w:val="00DF44DE"/>
    <w:rsid w:val="00E01138"/>
    <w:rsid w:val="00E02DFB"/>
    <w:rsid w:val="00E030F9"/>
    <w:rsid w:val="00E0311A"/>
    <w:rsid w:val="00E03138"/>
    <w:rsid w:val="00E06404"/>
    <w:rsid w:val="00E11A85"/>
    <w:rsid w:val="00E12495"/>
    <w:rsid w:val="00E15CCD"/>
    <w:rsid w:val="00E202EF"/>
    <w:rsid w:val="00E210B5"/>
    <w:rsid w:val="00E2552F"/>
    <w:rsid w:val="00E3137A"/>
    <w:rsid w:val="00E32CCF"/>
    <w:rsid w:val="00E34A98"/>
    <w:rsid w:val="00E35D1E"/>
    <w:rsid w:val="00E364F9"/>
    <w:rsid w:val="00E365FA"/>
    <w:rsid w:val="00E40C94"/>
    <w:rsid w:val="00E44A83"/>
    <w:rsid w:val="00E46917"/>
    <w:rsid w:val="00E502C1"/>
    <w:rsid w:val="00E502DD"/>
    <w:rsid w:val="00E50D3A"/>
    <w:rsid w:val="00E51387"/>
    <w:rsid w:val="00E51E68"/>
    <w:rsid w:val="00E52EFD"/>
    <w:rsid w:val="00E5408A"/>
    <w:rsid w:val="00E56800"/>
    <w:rsid w:val="00E60CD7"/>
    <w:rsid w:val="00E62FF9"/>
    <w:rsid w:val="00E635D6"/>
    <w:rsid w:val="00E639BC"/>
    <w:rsid w:val="00E664CC"/>
    <w:rsid w:val="00E70388"/>
    <w:rsid w:val="00E70F92"/>
    <w:rsid w:val="00E74C54"/>
    <w:rsid w:val="00E77A03"/>
    <w:rsid w:val="00E822E8"/>
    <w:rsid w:val="00E82554"/>
    <w:rsid w:val="00E82606"/>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46BD"/>
    <w:rsid w:val="00F157A9"/>
    <w:rsid w:val="00F25BB6"/>
    <w:rsid w:val="00F26B7E"/>
    <w:rsid w:val="00F27A3B"/>
    <w:rsid w:val="00F33817"/>
    <w:rsid w:val="00F420D5"/>
    <w:rsid w:val="00F451EA"/>
    <w:rsid w:val="00F45447"/>
    <w:rsid w:val="00F456C6"/>
    <w:rsid w:val="00F4577B"/>
    <w:rsid w:val="00F46496"/>
    <w:rsid w:val="00F474D0"/>
    <w:rsid w:val="00F50179"/>
    <w:rsid w:val="00F56511"/>
    <w:rsid w:val="00F6194E"/>
    <w:rsid w:val="00F623AC"/>
    <w:rsid w:val="00F6412A"/>
    <w:rsid w:val="00F65893"/>
    <w:rsid w:val="00F66A4A"/>
    <w:rsid w:val="00F71E22"/>
    <w:rsid w:val="00F72142"/>
    <w:rsid w:val="00F72AE7"/>
    <w:rsid w:val="00F84934"/>
    <w:rsid w:val="00F84FD0"/>
    <w:rsid w:val="00F859A8"/>
    <w:rsid w:val="00F9108B"/>
    <w:rsid w:val="00F91349"/>
    <w:rsid w:val="00F93A8A"/>
    <w:rsid w:val="00F95248"/>
    <w:rsid w:val="00F956A9"/>
    <w:rsid w:val="00F963ED"/>
    <w:rsid w:val="00F966CF"/>
    <w:rsid w:val="00F96CAE"/>
    <w:rsid w:val="00F97C99"/>
    <w:rsid w:val="00FA662D"/>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4BCE"/>
    <w:rsid w:val="00FE54AE"/>
    <w:rsid w:val="00FE576A"/>
    <w:rsid w:val="00FE61CF"/>
    <w:rsid w:val="00FE7E79"/>
    <w:rsid w:val="00FF3E7D"/>
    <w:rsid w:val="00FF5B99"/>
    <w:rsid w:val="00FF730C"/>
    <w:rsid w:val="00FF73F4"/>
    <w:rsid w:val="00FF7CE4"/>
    <w:rsid w:val="00FF7E39"/>
    <w:rsid w:val="0E9928AF"/>
    <w:rsid w:val="23D00CE1"/>
    <w:rsid w:val="2CEA1631"/>
    <w:rsid w:val="309B3698"/>
    <w:rsid w:val="31050F39"/>
    <w:rsid w:val="31D13DA2"/>
    <w:rsid w:val="3CF21187"/>
    <w:rsid w:val="429525F1"/>
    <w:rsid w:val="42C60ACC"/>
    <w:rsid w:val="51162F78"/>
    <w:rsid w:val="568357E0"/>
    <w:rsid w:val="77AC297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4"/>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39"/>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1"/>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3"/>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2 字符"/>
    <w:link w:val="3"/>
    <w:qFormat/>
    <w:uiPriority w:val="0"/>
    <w:rPr>
      <w:rFonts w:ascii="Arial" w:hAnsi="Arial" w:eastAsia="黑体" w:cs="Times New Roman"/>
      <w:b/>
      <w:bCs/>
      <w:sz w:val="32"/>
      <w:szCs w:val="32"/>
    </w:rPr>
  </w:style>
  <w:style w:type="character" w:customStyle="1" w:styleId="35">
    <w:name w:val="标题 1 字符"/>
    <w:link w:val="2"/>
    <w:qFormat/>
    <w:uiPriority w:val="0"/>
    <w:rPr>
      <w:rFonts w:ascii="Times New Roman" w:hAnsi="Times New Roman" w:eastAsia="宋体" w:cs="Times New Roman"/>
      <w:b/>
      <w:bCs/>
      <w:kern w:val="44"/>
      <w:sz w:val="44"/>
      <w:szCs w:val="44"/>
    </w:rPr>
  </w:style>
  <w:style w:type="character" w:customStyle="1" w:styleId="36">
    <w:name w:val="标题 3 字符"/>
    <w:link w:val="4"/>
    <w:qFormat/>
    <w:uiPriority w:val="0"/>
    <w:rPr>
      <w:rFonts w:ascii="Times New Roman" w:hAnsi="Times New Roman" w:eastAsia="宋体" w:cs="Times New Roman"/>
      <w:b/>
      <w:bCs/>
      <w:sz w:val="32"/>
      <w:szCs w:val="32"/>
    </w:rPr>
  </w:style>
  <w:style w:type="character" w:customStyle="1" w:styleId="37">
    <w:name w:val="标题 4 字符"/>
    <w:link w:val="5"/>
    <w:qFormat/>
    <w:uiPriority w:val="0"/>
    <w:rPr>
      <w:rFonts w:ascii="Arial" w:hAnsi="Arial" w:eastAsia="黑体" w:cs="Times New Roman"/>
      <w:b/>
      <w:bCs/>
      <w:sz w:val="28"/>
      <w:szCs w:val="28"/>
    </w:rPr>
  </w:style>
  <w:style w:type="character" w:customStyle="1" w:styleId="38">
    <w:name w:val="标题 5 字符"/>
    <w:link w:val="6"/>
    <w:qFormat/>
    <w:uiPriority w:val="0"/>
    <w:rPr>
      <w:rFonts w:ascii="Times New Roman" w:hAnsi="Times New Roman" w:eastAsia="宋体" w:cs="Times New Roman"/>
      <w:b/>
      <w:bCs/>
      <w:sz w:val="28"/>
      <w:szCs w:val="28"/>
    </w:rPr>
  </w:style>
  <w:style w:type="character" w:customStyle="1" w:styleId="39">
    <w:name w:val="标题 6 字符"/>
    <w:link w:val="7"/>
    <w:qFormat/>
    <w:uiPriority w:val="0"/>
    <w:rPr>
      <w:rFonts w:ascii="Arial" w:hAnsi="Arial" w:eastAsia="黑体" w:cs="Times New Roman"/>
      <w:b/>
      <w:bCs/>
      <w:sz w:val="24"/>
      <w:szCs w:val="24"/>
    </w:rPr>
  </w:style>
  <w:style w:type="character" w:customStyle="1" w:styleId="40">
    <w:name w:val="标题 7 字符"/>
    <w:link w:val="8"/>
    <w:qFormat/>
    <w:uiPriority w:val="0"/>
    <w:rPr>
      <w:rFonts w:ascii="Times New Roman" w:hAnsi="Times New Roman" w:eastAsia="宋体" w:cs="Times New Roman"/>
      <w:b/>
      <w:bCs/>
      <w:sz w:val="24"/>
      <w:szCs w:val="24"/>
    </w:rPr>
  </w:style>
  <w:style w:type="character" w:customStyle="1" w:styleId="41">
    <w:name w:val="标题 8 字符"/>
    <w:link w:val="9"/>
    <w:qFormat/>
    <w:uiPriority w:val="0"/>
    <w:rPr>
      <w:rFonts w:ascii="Arial" w:hAnsi="Arial" w:eastAsia="黑体" w:cs="Times New Roman"/>
      <w:sz w:val="24"/>
      <w:szCs w:val="24"/>
    </w:rPr>
  </w:style>
  <w:style w:type="character" w:customStyle="1" w:styleId="42">
    <w:name w:val="标题 9 字符"/>
    <w:link w:val="10"/>
    <w:qFormat/>
    <w:uiPriority w:val="0"/>
    <w:rPr>
      <w:rFonts w:ascii="Arial" w:hAnsi="Arial" w:eastAsia="黑体" w:cs="Times New Roman"/>
      <w:szCs w:val="21"/>
    </w:rPr>
  </w:style>
  <w:style w:type="character" w:customStyle="1" w:styleId="43">
    <w:name w:val="页眉 字符"/>
    <w:link w:val="18"/>
    <w:qFormat/>
    <w:uiPriority w:val="99"/>
    <w:rPr>
      <w:rFonts w:ascii="Times New Roman" w:hAnsi="Times New Roman" w:eastAsia="宋体" w:cs="Times New Roman"/>
      <w:sz w:val="18"/>
      <w:szCs w:val="18"/>
    </w:rPr>
  </w:style>
  <w:style w:type="character" w:customStyle="1" w:styleId="44">
    <w:name w:val="页脚 字符"/>
    <w:link w:val="17"/>
    <w:qFormat/>
    <w:uiPriority w:val="99"/>
    <w:rPr>
      <w:rFonts w:ascii="宋体" w:hAnsi="Times New Roman" w:eastAsia="宋体" w:cs="Times New Roman"/>
      <w:sz w:val="18"/>
      <w:szCs w:val="18"/>
    </w:rPr>
  </w:style>
  <w:style w:type="character" w:customStyle="1" w:styleId="45">
    <w:name w:val="批注框文本 字符"/>
    <w:link w:val="16"/>
    <w:semiHidden/>
    <w:qFormat/>
    <w:uiPriority w:val="99"/>
    <w:rPr>
      <w:sz w:val="18"/>
      <w:szCs w:val="18"/>
    </w:rPr>
  </w:style>
  <w:style w:type="paragraph" w:styleId="46">
    <w:name w:val="Quote"/>
    <w:basedOn w:val="1"/>
    <w:next w:val="1"/>
    <w:link w:val="47"/>
    <w:qFormat/>
    <w:uiPriority w:val="29"/>
    <w:rPr>
      <w:i/>
      <w:iCs/>
      <w:color w:val="000000"/>
    </w:rPr>
  </w:style>
  <w:style w:type="character" w:customStyle="1" w:styleId="47">
    <w:name w:val="引用 字符"/>
    <w:link w:val="46"/>
    <w:qFormat/>
    <w:uiPriority w:val="29"/>
    <w:rPr>
      <w:i/>
      <w:iCs/>
      <w:color w:val="000000"/>
    </w:rPr>
  </w:style>
  <w:style w:type="character" w:customStyle="1" w:styleId="48">
    <w:name w:val="标题 字符"/>
    <w:link w:val="25"/>
    <w:qFormat/>
    <w:uiPriority w:val="0"/>
    <w:rPr>
      <w:rFonts w:ascii="Arial" w:hAnsi="Arial" w:eastAsia="宋体" w:cs="Arial"/>
      <w:b/>
      <w:bCs/>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adjustRightInd/>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widowControl/>
      <w:shd w:val="clear" w:color="FFFFFF" w:fill="FFFFFF"/>
      <w:adjustRightInd/>
      <w:spacing w:before="40" w:beforeLines="40" w:after="50" w:afterLines="50" w:line="240" w:lineRule="auto"/>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spacing w:line="240" w:lineRule="auto"/>
      <w:jc w:val="center"/>
    </w:pPr>
    <w:rPr>
      <w:rFonts w:ascii="黑体" w:eastAsia="黑体"/>
      <w:kern w:val="0"/>
      <w:sz w:val="52"/>
    </w:rPr>
  </w:style>
  <w:style w:type="paragraph" w:customStyle="1" w:styleId="71">
    <w:name w:val="标准文件_封面标准英文名称"/>
    <w:basedOn w:val="1"/>
    <w:qFormat/>
    <w:uiPriority w:val="0"/>
    <w:pPr>
      <w:spacing w:line="240" w:lineRule="auto"/>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25" w:beforeLines="25"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ind w:firstLine="42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ind w:firstLine="42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字符"/>
    <w:link w:val="13"/>
    <w:qFormat/>
    <w:uiPriority w:val="0"/>
    <w:rPr>
      <w:rFonts w:ascii="Times New Roman" w:hAnsi="Times New Roman" w:eastAsia="宋体" w:cs="Times New Roman"/>
      <w:szCs w:val="20"/>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after="150" w:afterLines="150"/>
      <w:ind w:left="0" w:firstLine="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pPr>
  </w:style>
  <w:style w:type="paragraph" w:customStyle="1" w:styleId="91">
    <w:name w:val="标准文件_目录标题"/>
    <w:basedOn w:val="1"/>
    <w:qFormat/>
    <w:uiPriority w:val="0"/>
    <w:pPr>
      <w:spacing w:after="150" w:afterLines="150" w:line="240" w:lineRule="auto"/>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left="0"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ind w:left="0" w:firstLine="200"/>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adjustRightInd/>
      <w:spacing w:line="240" w:lineRule="auto"/>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字符"/>
    <w:link w:val="21"/>
    <w:semiHidden/>
    <w:qFormat/>
    <w:uiPriority w:val="0"/>
    <w:rPr>
      <w:rFonts w:ascii="宋体" w:hAnsi="Times New Roman" w:eastAsia="宋体" w:cs="Times New Roman"/>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spacing w:line="240" w:lineRule="auto"/>
      <w:jc w:val="left"/>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widowControl/>
      <w:adjustRightInd/>
      <w:snapToGrid/>
      <w:spacing w:line="240" w:lineRule="auto"/>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spacing w:line="240" w:lineRule="auto"/>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adjustRightInd/>
      <w:spacing w:line="240" w:lineRule="auto"/>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widowControl/>
      <w:adjustRightInd/>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semiHidden/>
    <w:qFormat/>
    <w:uiPriority w:val="0"/>
    <w:pPr>
      <w:adjustRightInd/>
      <w:spacing w:line="240" w:lineRule="auto"/>
      <w:jc w:val="left"/>
    </w:pPr>
    <w:rPr>
      <w:bCs/>
      <w:iCs/>
    </w:rPr>
  </w:style>
  <w:style w:type="paragraph" w:customStyle="1" w:styleId="143">
    <w:name w:val="目录 31"/>
    <w:basedOn w:val="1"/>
    <w:next w:val="1"/>
    <w:semiHidden/>
    <w:qFormat/>
    <w:uiPriority w:val="0"/>
    <w:pPr>
      <w:spacing w:line="240" w:lineRule="auto"/>
    </w:pPr>
    <w:rPr>
      <w:rFonts w:ascii="宋体" w:hAnsi="宋体"/>
      <w:iCs/>
    </w:rPr>
  </w:style>
  <w:style w:type="paragraph" w:customStyle="1" w:styleId="144">
    <w:name w:val="目录 41"/>
    <w:basedOn w:val="1"/>
    <w:next w:val="1"/>
    <w:semiHidden/>
    <w:qFormat/>
    <w:uiPriority w:val="0"/>
    <w:pPr>
      <w:adjustRightInd/>
      <w:spacing w:line="240" w:lineRule="auto"/>
      <w:jc w:val="left"/>
    </w:pPr>
  </w:style>
  <w:style w:type="paragraph" w:customStyle="1" w:styleId="145">
    <w:name w:val="目录 51"/>
    <w:basedOn w:val="1"/>
    <w:next w:val="1"/>
    <w:semiHidden/>
    <w:qFormat/>
    <w:uiPriority w:val="0"/>
    <w:pPr>
      <w:spacing w:line="240" w:lineRule="auto"/>
    </w:pPr>
    <w:rPr>
      <w:rFonts w:ascii="宋体" w:hAnsi="宋体"/>
    </w:rPr>
  </w:style>
  <w:style w:type="paragraph" w:customStyle="1" w:styleId="146">
    <w:name w:val="目录 61"/>
    <w:basedOn w:val="1"/>
    <w:next w:val="1"/>
    <w:semiHidden/>
    <w:qFormat/>
    <w:uiPriority w:val="0"/>
    <w:pPr>
      <w:adjustRightInd/>
      <w:spacing w:line="240" w:lineRule="auto"/>
      <w:jc w:val="left"/>
    </w:pPr>
  </w:style>
  <w:style w:type="paragraph" w:customStyle="1" w:styleId="147">
    <w:name w:val="目录 71"/>
    <w:basedOn w:val="146"/>
    <w:semiHidden/>
    <w:qFormat/>
    <w:uiPriority w:val="0"/>
    <w:pPr>
      <w:ind w:left="1260"/>
    </w:pPr>
  </w:style>
  <w:style w:type="paragraph" w:customStyle="1" w:styleId="148">
    <w:name w:val="目录 81"/>
    <w:basedOn w:val="147"/>
    <w:semiHidden/>
    <w:qFormat/>
    <w:uiPriority w:val="0"/>
    <w:pPr>
      <w:ind w:left="1470"/>
    </w:pPr>
  </w:style>
  <w:style w:type="paragraph" w:customStyle="1" w:styleId="149">
    <w:name w:val="目录 91"/>
    <w:basedOn w:val="148"/>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adjustRightInd/>
    </w:pPr>
    <w:rPr>
      <w:szCs w:val="24"/>
    </w:rPr>
  </w:style>
  <w:style w:type="paragraph" w:customStyle="1" w:styleId="159">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adjustRightInd/>
      <w:spacing w:line="240" w:lineRule="auto"/>
      <w:ind w:left="783"/>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20" w:beforeLines="2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left="1271" w:hanging="420" w:firstLineChars="0"/>
    </w:pPr>
  </w:style>
  <w:style w:type="paragraph" w:customStyle="1" w:styleId="188">
    <w:name w:val="标准文件_三级项2"/>
    <w:basedOn w:val="56"/>
    <w:qFormat/>
    <w:uiPriority w:val="0"/>
    <w:pPr>
      <w:numPr>
        <w:ilvl w:val="0"/>
        <w:numId w:val="30"/>
      </w:numPr>
      <w:spacing w:line="300" w:lineRule="exact"/>
      <w:ind w:left="1276" w:hanging="425" w:firstLineChars="0"/>
    </w:pPr>
    <w:rPr>
      <w:rFonts w:ascii="Times New Roman"/>
    </w:rPr>
  </w:style>
  <w:style w:type="paragraph" w:customStyle="1" w:styleId="189">
    <w:name w:val="标准文件_一级项2"/>
    <w:basedOn w:val="56"/>
    <w:qFormat/>
    <w:uiPriority w:val="0"/>
    <w:pPr>
      <w:numPr>
        <w:ilvl w:val="0"/>
        <w:numId w:val="31"/>
      </w:numPr>
      <w:spacing w:line="300" w:lineRule="exact"/>
      <w:ind w:left="1271" w:hanging="420"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229">
    <w:name w:val="章标题"/>
    <w:next w:val="230"/>
    <w:qFormat/>
    <w:uiPriority w:val="0"/>
    <w:pPr>
      <w:numPr>
        <w:ilvl w:val="1"/>
        <w:numId w:val="2"/>
      </w:numPr>
      <w:spacing w:beforeLines="50" w:afterLines="50"/>
      <w:jc w:val="both"/>
      <w:outlineLvl w:val="1"/>
    </w:pPr>
    <w:rPr>
      <w:rFonts w:ascii="黑体" w:hAnsi="Times New Roman" w:eastAsia="黑体" w:cs="Times New Roman"/>
      <w:sz w:val="21"/>
      <w:lang w:val="en-US" w:eastAsia="zh-CN" w:bidi="ar-SA"/>
    </w:rPr>
  </w:style>
  <w:style w:type="paragraph" w:customStyle="1" w:styleId="230">
    <w:name w:val="段"/>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1" Type="http://schemas.openxmlformats.org/officeDocument/2006/relationships/glossaryDocument" Target="glossary/document.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4.jpeg"/><Relationship Id="rId16" Type="http://schemas.openxmlformats.org/officeDocument/2006/relationships/image" Target="media/image3.png"/><Relationship Id="rId15" Type="http://schemas.openxmlformats.org/officeDocument/2006/relationships/image" Target="media/image2.tiff"/><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3.xml"/><Relationship Id="rId11" Type="http://schemas.openxmlformats.org/officeDocument/2006/relationships/header" Target="header5.xml"/><Relationship Id="rId10" Type="http://schemas.openxmlformats.org/officeDocument/2006/relationships/header" Target="header4.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69;&#23478;&#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3DDF2970FC494303A22536CF31D48176"/>
        <w:style w:val=""/>
        <w:category>
          <w:name w:val="常规"/>
          <w:gallery w:val="placeholder"/>
        </w:category>
        <w:types>
          <w:type w:val="bbPlcHdr"/>
        </w:types>
        <w:behaviors>
          <w:behavior w:val="content"/>
        </w:behaviors>
        <w:description w:val=""/>
        <w:guid w:val="{AD61B321-4C7A-4156-BB7E-1A1BEEAFC6D2}"/>
      </w:docPartPr>
      <w:docPartBody>
        <w:p>
          <w:pPr>
            <w:pStyle w:val="5"/>
          </w:pPr>
          <w:r>
            <w:rPr>
              <w:rStyle w:val="4"/>
              <w:rFonts w:hint="eastAsia"/>
            </w:rPr>
            <w:t>单击或点击此处输入文字。</w:t>
          </w:r>
        </w:p>
      </w:docPartBody>
    </w:docPart>
    <w:docPart>
      <w:docPartPr>
        <w:name w:val="8EDD782B0A554986A46D582A31504B74"/>
        <w:style w:val=""/>
        <w:category>
          <w:name w:val="常规"/>
          <w:gallery w:val="placeholder"/>
        </w:category>
        <w:types>
          <w:type w:val="bbPlcHdr"/>
        </w:types>
        <w:behaviors>
          <w:behavior w:val="content"/>
        </w:behaviors>
        <w:description w:val=""/>
        <w:guid w:val="{F7AE04DB-4D43-4B43-B84B-4119E20E02AC}"/>
      </w:docPartPr>
      <w:docPartBody>
        <w:p>
          <w:pPr>
            <w:pStyle w:val="6"/>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7186"/>
    <w:rsid w:val="00034BEF"/>
    <w:rsid w:val="00426C58"/>
    <w:rsid w:val="004848E1"/>
    <w:rsid w:val="007366EB"/>
    <w:rsid w:val="008F7FAC"/>
    <w:rsid w:val="009C4656"/>
    <w:rsid w:val="009F4825"/>
    <w:rsid w:val="00BD0F62"/>
    <w:rsid w:val="00CA7186"/>
    <w:rsid w:val="00CB3C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3DDF2970FC494303A22536CF31D48176"/>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8EDD782B0A554986A46D582A31504B74"/>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国家标准</Template>
  <Company>PCMI</Company>
  <Pages>12</Pages>
  <Words>3536</Words>
  <Characters>3891</Characters>
  <Lines>13</Lines>
  <Paragraphs>3</Paragraphs>
  <TotalTime>14</TotalTime>
  <ScaleCrop>false</ScaleCrop>
  <LinksUpToDate>false</LinksUpToDate>
  <CharactersWithSpaces>3971</CharactersWithSpaces>
  <Application>WPS Office_11.8.2.12309_F1E327BC-269C-435d-A152-05C5408002CA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2024-12-16T09:56:00Z</dcterms:created>
  <dc:creator>杨燕梅</dc:creator>
  <dc:description>&lt;config cover="true" show_menu="true" version="1.0.0" doctype="SDKXY"&gt;_x000d_
&lt;/config&gt;</dc:description>
  <cp:lastModifiedBy>liyz9</cp:lastModifiedBy>
  <cp:lastPrinted>2021-02-02T07:44:00Z</cp:lastPrinted>
  <dcterms:modified xsi:type="dcterms:W3CDTF">2024-12-18T00:10:57Z</dcterms:modified>
  <dc:title>国家标准</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国家标准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-1</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ProductBuildVer">
    <vt:lpwstr>2052-11.8.2.12309</vt:lpwstr>
  </property>
  <property fmtid="{D5CDD505-2E9C-101B-9397-08002B2CF9AE}" pid="15" name="ICV">
    <vt:lpwstr>1D4EC0FBA2984662A671D95BEDCDB9CB</vt:lpwstr>
  </property>
</Properties>
</file>