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76C0" w14:textId="700E2EF0" w:rsidR="002814C1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企业出口遭遇技术性贸易壁垒情况线上调查</w:t>
      </w:r>
      <w:r w:rsidR="001C220E">
        <w:rPr>
          <w:rFonts w:hint="eastAsia"/>
          <w:b/>
          <w:sz w:val="32"/>
          <w:szCs w:val="32"/>
        </w:rPr>
        <w:t>问卷</w:t>
      </w:r>
    </w:p>
    <w:p w14:paraId="3A2D787F" w14:textId="77777777" w:rsidR="002814C1" w:rsidRDefault="00000000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D746451" w14:textId="78D5B2FC" w:rsidR="002814C1" w:rsidRDefault="00000000">
      <w:pPr>
        <w:widowControl/>
        <w:spacing w:line="276" w:lineRule="auto"/>
        <w:ind w:firstLine="5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本调查</w:t>
      </w:r>
      <w:r w:rsidR="001C220E">
        <w:rPr>
          <w:rFonts w:hint="eastAsia"/>
          <w:sz w:val="24"/>
          <w:szCs w:val="24"/>
        </w:rPr>
        <w:t>问卷</w:t>
      </w:r>
      <w:r>
        <w:rPr>
          <w:rFonts w:hint="eastAsia"/>
          <w:sz w:val="24"/>
          <w:szCs w:val="24"/>
        </w:rPr>
        <w:t>的目的是了解企业在出口产品过程中遭遇技术性贸易壁垒情况，包括因产品出口目标国新出台的技术法规、标准和合格评定程序，对企业出口带来的障碍；比如目标国发布的技术法规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合格评定程序的实施导致我国企业生产成本增加、出口产品到达口岸遭到退货的情况。通过调查找出影响我国企业出口的技术性贸易壁垒，在世贸组织</w:t>
      </w:r>
      <w:r>
        <w:rPr>
          <w:rFonts w:hint="eastAsia"/>
          <w:sz w:val="24"/>
          <w:szCs w:val="24"/>
        </w:rPr>
        <w:t>TBT</w:t>
      </w:r>
      <w:r>
        <w:rPr>
          <w:rFonts w:hint="eastAsia"/>
          <w:sz w:val="24"/>
          <w:szCs w:val="24"/>
        </w:rPr>
        <w:t>委员会例会上对这些影响出口贸易的技术法规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合格评定程序提出特别贸易关注，帮助企业消除贸易壁垒，畅通出口产品国际贸易。</w:t>
      </w:r>
    </w:p>
    <w:p w14:paraId="753982DD" w14:textId="77777777" w:rsidR="002814C1" w:rsidRDefault="002814C1">
      <w:pPr>
        <w:widowControl/>
        <w:ind w:firstLine="552"/>
        <w:jc w:val="left"/>
        <w:rPr>
          <w:sz w:val="24"/>
          <w:szCs w:val="24"/>
        </w:rPr>
      </w:pPr>
    </w:p>
    <w:p w14:paraId="3A5E59D6" w14:textId="77777777" w:rsidR="002814C1" w:rsidRDefault="00000000">
      <w:pPr>
        <w:widowControl/>
        <w:ind w:firstLine="55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市场监管总局技术性贸易措施研究中心</w:t>
      </w:r>
    </w:p>
    <w:p w14:paraId="50A942D4" w14:textId="77777777" w:rsidR="002814C1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24</w:t>
      </w:r>
    </w:p>
    <w:p w14:paraId="0875A1ED" w14:textId="77777777" w:rsidR="002814C1" w:rsidRDefault="002814C1">
      <w:pPr>
        <w:widowControl/>
        <w:ind w:firstLine="552"/>
        <w:jc w:val="left"/>
        <w:rPr>
          <w:sz w:val="24"/>
          <w:szCs w:val="24"/>
        </w:rPr>
      </w:pPr>
    </w:p>
    <w:p w14:paraId="23D1AB96" w14:textId="77777777" w:rsidR="002814C1" w:rsidRDefault="00000000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基本信息</w:t>
      </w:r>
    </w:p>
    <w:p w14:paraId="3DB04C98" w14:textId="77777777" w:rsidR="002814C1" w:rsidRDefault="00000000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企业名称：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14:paraId="2F77386A" w14:textId="77777777" w:rsidR="002814C1" w:rsidRDefault="00000000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企业类型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国有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民营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外企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</w:p>
    <w:p w14:paraId="0BBC0225" w14:textId="77777777" w:rsidR="002814C1" w:rsidRDefault="00000000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完成问卷人姓名：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联系方式（电话</w:t>
      </w:r>
      <w:r>
        <w:rPr>
          <w:rFonts w:hint="eastAsia"/>
          <w:sz w:val="24"/>
          <w:szCs w:val="24"/>
        </w:rPr>
        <w:t>/Email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14:paraId="46AAEB6E" w14:textId="77777777" w:rsidR="002814C1" w:rsidRDefault="00000000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贵企业在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年出口过程中是否受到国外技术性贸易壁垒（技术法规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合格评定程序）影响？</w:t>
      </w:r>
    </w:p>
    <w:p w14:paraId="2616B853" w14:textId="77777777" w:rsidR="002814C1" w:rsidRDefault="00000000">
      <w:pPr>
        <w:pStyle w:val="a6"/>
        <w:widowControl/>
        <w:spacing w:line="360" w:lineRule="auto"/>
        <w:ind w:left="1272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</w:p>
    <w:p w14:paraId="50AA0811" w14:textId="77777777" w:rsidR="002814C1" w:rsidRDefault="00000000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如遭遇技术性贸易壁垒，您认为这些壁垒是否合理？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不太合理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不合理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</w:p>
    <w:p w14:paraId="26044BB2" w14:textId="77777777" w:rsidR="002814C1" w:rsidRDefault="00000000">
      <w:pPr>
        <w:pStyle w:val="a6"/>
        <w:widowControl/>
        <w:numPr>
          <w:ilvl w:val="0"/>
          <w:numId w:val="2"/>
        </w:numPr>
        <w:spacing w:line="360" w:lineRule="auto"/>
        <w:ind w:firstLineChars="0" w:hanging="705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遭遇影响的形式：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到达口岸退货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生产成本提高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2A"/>
      </w:r>
      <w:r>
        <w:rPr>
          <w:sz w:val="28"/>
          <w:szCs w:val="28"/>
        </w:rPr>
        <w:br w:type="page"/>
      </w:r>
    </w:p>
    <w:p w14:paraId="0DD8A523" w14:textId="77777777" w:rsidR="002814C1" w:rsidRDefault="00000000">
      <w:pPr>
        <w:ind w:leftChars="300" w:left="6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二、企业受技术性贸易壁垒影响种类调查表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275"/>
        <w:gridCol w:w="1560"/>
        <w:gridCol w:w="1417"/>
        <w:gridCol w:w="2126"/>
        <w:gridCol w:w="1559"/>
      </w:tblGrid>
      <w:tr w:rsidR="002814C1" w14:paraId="3A418786" w14:textId="77777777">
        <w:tc>
          <w:tcPr>
            <w:tcW w:w="2802" w:type="dxa"/>
            <w:vMerge w:val="restart"/>
            <w:vAlign w:val="center"/>
          </w:tcPr>
          <w:p w14:paraId="4B43EF67" w14:textId="77777777" w:rsidR="002814C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出口受影响的技术性贸易措施的种类</w:t>
            </w:r>
          </w:p>
        </w:tc>
        <w:tc>
          <w:tcPr>
            <w:tcW w:w="10772" w:type="dxa"/>
            <w:gridSpan w:val="7"/>
          </w:tcPr>
          <w:p w14:paraId="08442B65" w14:textId="77777777" w:rsidR="002814C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出口到岸地</w:t>
            </w:r>
          </w:p>
        </w:tc>
      </w:tr>
      <w:tr w:rsidR="002814C1" w14:paraId="414351D8" w14:textId="77777777">
        <w:tc>
          <w:tcPr>
            <w:tcW w:w="2802" w:type="dxa"/>
            <w:vMerge/>
          </w:tcPr>
          <w:p w14:paraId="7EF9049B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32A1D9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</w:t>
            </w:r>
          </w:p>
        </w:tc>
        <w:tc>
          <w:tcPr>
            <w:tcW w:w="1418" w:type="dxa"/>
          </w:tcPr>
          <w:p w14:paraId="5B77DF44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欧盟</w:t>
            </w:r>
          </w:p>
        </w:tc>
        <w:tc>
          <w:tcPr>
            <w:tcW w:w="1275" w:type="dxa"/>
          </w:tcPr>
          <w:p w14:paraId="20BD20F3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东盟</w:t>
            </w:r>
          </w:p>
        </w:tc>
        <w:tc>
          <w:tcPr>
            <w:tcW w:w="1560" w:type="dxa"/>
          </w:tcPr>
          <w:p w14:paraId="12A5DDAD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</w:t>
            </w:r>
          </w:p>
        </w:tc>
        <w:tc>
          <w:tcPr>
            <w:tcW w:w="1417" w:type="dxa"/>
          </w:tcPr>
          <w:p w14:paraId="0035EFB2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韩国</w:t>
            </w:r>
          </w:p>
        </w:tc>
        <w:tc>
          <w:tcPr>
            <w:tcW w:w="2126" w:type="dxa"/>
          </w:tcPr>
          <w:p w14:paraId="30393BD5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澳大利亚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新西兰</w:t>
            </w:r>
          </w:p>
        </w:tc>
        <w:tc>
          <w:tcPr>
            <w:tcW w:w="1559" w:type="dxa"/>
          </w:tcPr>
          <w:p w14:paraId="1EB92EC1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其它国家</w:t>
            </w:r>
          </w:p>
        </w:tc>
      </w:tr>
      <w:tr w:rsidR="002814C1" w14:paraId="039FEEA5" w14:textId="77777777">
        <w:trPr>
          <w:trHeight w:val="423"/>
        </w:trPr>
        <w:tc>
          <w:tcPr>
            <w:tcW w:w="2802" w:type="dxa"/>
          </w:tcPr>
          <w:p w14:paraId="4EA799FE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技术法规名称或法规号</w:t>
            </w:r>
          </w:p>
        </w:tc>
        <w:tc>
          <w:tcPr>
            <w:tcW w:w="1417" w:type="dxa"/>
          </w:tcPr>
          <w:p w14:paraId="0ECB8CE7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E9356A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AB2DF86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36047A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568C46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5005A3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51E81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</w:tr>
      <w:tr w:rsidR="002814C1" w14:paraId="5567ED46" w14:textId="77777777">
        <w:tc>
          <w:tcPr>
            <w:tcW w:w="2802" w:type="dxa"/>
          </w:tcPr>
          <w:p w14:paraId="2992D0C3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标准名称或标准号</w:t>
            </w:r>
          </w:p>
        </w:tc>
        <w:tc>
          <w:tcPr>
            <w:tcW w:w="1417" w:type="dxa"/>
          </w:tcPr>
          <w:p w14:paraId="005F91C0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71C1C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E4234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2E99A2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C8C667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701C21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41F76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</w:tr>
      <w:tr w:rsidR="002814C1" w14:paraId="68281890" w14:textId="77777777">
        <w:tc>
          <w:tcPr>
            <w:tcW w:w="2802" w:type="dxa"/>
          </w:tcPr>
          <w:p w14:paraId="0F06767E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合格评定程序的名称或编号</w:t>
            </w:r>
          </w:p>
        </w:tc>
        <w:tc>
          <w:tcPr>
            <w:tcW w:w="1417" w:type="dxa"/>
          </w:tcPr>
          <w:p w14:paraId="05FC6E02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  <w:p w14:paraId="4014F8FA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A055C6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78DA8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D24244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451B8C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E9276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5B972" w14:textId="77777777" w:rsidR="002814C1" w:rsidRDefault="002814C1">
            <w:pPr>
              <w:jc w:val="left"/>
              <w:rPr>
                <w:sz w:val="24"/>
                <w:szCs w:val="24"/>
              </w:rPr>
            </w:pPr>
          </w:p>
        </w:tc>
      </w:tr>
      <w:tr w:rsidR="002814C1" w14:paraId="3DD90640" w14:textId="77777777">
        <w:tc>
          <w:tcPr>
            <w:tcW w:w="2802" w:type="dxa"/>
          </w:tcPr>
          <w:p w14:paraId="65433775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厂商或产品注册要求</w:t>
            </w:r>
          </w:p>
        </w:tc>
        <w:tc>
          <w:tcPr>
            <w:tcW w:w="1417" w:type="dxa"/>
          </w:tcPr>
          <w:p w14:paraId="5EB379F7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265AD93D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064CD134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4C027BC6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16534A80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145DD5BD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6EDD60D7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14016846" w14:textId="77777777">
        <w:tc>
          <w:tcPr>
            <w:tcW w:w="2802" w:type="dxa"/>
          </w:tcPr>
          <w:p w14:paraId="49D19FB0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技术标准要求</w:t>
            </w:r>
          </w:p>
        </w:tc>
        <w:tc>
          <w:tcPr>
            <w:tcW w:w="1417" w:type="dxa"/>
          </w:tcPr>
          <w:p w14:paraId="09E805FF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253AC00F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59E6D0AC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06E02C6E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6115388C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062742BB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2B37BAAE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65954592" w14:textId="77777777">
        <w:tc>
          <w:tcPr>
            <w:tcW w:w="2802" w:type="dxa"/>
          </w:tcPr>
          <w:p w14:paraId="150A0EB6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认证要求</w:t>
            </w:r>
          </w:p>
        </w:tc>
        <w:tc>
          <w:tcPr>
            <w:tcW w:w="1417" w:type="dxa"/>
          </w:tcPr>
          <w:p w14:paraId="3DE32852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4E8EA136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50CB8323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2A72AC7C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0C4FD190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6D2743D9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1662C110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7A0AB7CA" w14:textId="77777777">
        <w:tc>
          <w:tcPr>
            <w:tcW w:w="2802" w:type="dxa"/>
          </w:tcPr>
          <w:p w14:paraId="2A9AEC2C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标签和标志要求</w:t>
            </w:r>
          </w:p>
        </w:tc>
        <w:tc>
          <w:tcPr>
            <w:tcW w:w="1417" w:type="dxa"/>
          </w:tcPr>
          <w:p w14:paraId="146330AC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3C4F0469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3E690663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5E26E06D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147C94FC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0A6C43CB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767177B8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0F4FB9C0" w14:textId="77777777">
        <w:tc>
          <w:tcPr>
            <w:tcW w:w="2802" w:type="dxa"/>
          </w:tcPr>
          <w:p w14:paraId="0839BA98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包装和材料要求</w:t>
            </w:r>
          </w:p>
        </w:tc>
        <w:tc>
          <w:tcPr>
            <w:tcW w:w="1417" w:type="dxa"/>
          </w:tcPr>
          <w:p w14:paraId="29B81696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16474945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47D28833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72BFE5D7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46E156BA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4DC8ED85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304CD9E3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067243FE" w14:textId="77777777">
        <w:tc>
          <w:tcPr>
            <w:tcW w:w="2802" w:type="dxa"/>
          </w:tcPr>
          <w:p w14:paraId="0095BDE4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环保要求（包括节能和产品回收）</w:t>
            </w:r>
          </w:p>
        </w:tc>
        <w:tc>
          <w:tcPr>
            <w:tcW w:w="1417" w:type="dxa"/>
          </w:tcPr>
          <w:p w14:paraId="0BA27DB7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73BD9D8F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4C52789D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12E9F26F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3406462B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6FBEC226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042B268B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36617529" w14:textId="77777777">
        <w:tc>
          <w:tcPr>
            <w:tcW w:w="2802" w:type="dxa"/>
          </w:tcPr>
          <w:p w14:paraId="68A7222A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特殊的检验要求</w:t>
            </w:r>
          </w:p>
        </w:tc>
        <w:tc>
          <w:tcPr>
            <w:tcW w:w="1417" w:type="dxa"/>
          </w:tcPr>
          <w:p w14:paraId="6ED69C9E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3A4340CD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4119C56D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14B7AEFB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65C0987E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28A6F44A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27F67E8B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096DDBC6" w14:textId="77777777">
        <w:tc>
          <w:tcPr>
            <w:tcW w:w="2802" w:type="dxa"/>
          </w:tcPr>
          <w:p w14:paraId="53D8777E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产品的人生安全要求</w:t>
            </w:r>
          </w:p>
        </w:tc>
        <w:tc>
          <w:tcPr>
            <w:tcW w:w="1417" w:type="dxa"/>
          </w:tcPr>
          <w:p w14:paraId="326CEF32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18212383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4A5C23F8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4BDCB098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6C6F8657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0D81B09E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43615E5D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25006A80" w14:textId="77777777">
        <w:tc>
          <w:tcPr>
            <w:tcW w:w="2802" w:type="dxa"/>
          </w:tcPr>
          <w:p w14:paraId="5694E111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工业产品中有毒有害物质限量要求</w:t>
            </w:r>
          </w:p>
        </w:tc>
        <w:tc>
          <w:tcPr>
            <w:tcW w:w="1417" w:type="dxa"/>
          </w:tcPr>
          <w:p w14:paraId="288B347A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7F68E3FD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75FF5F89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61010A12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7FEC45C1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263CE890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09B2A213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4EA18E38" w14:textId="77777777">
        <w:tc>
          <w:tcPr>
            <w:tcW w:w="2802" w:type="dxa"/>
          </w:tcPr>
          <w:p w14:paraId="1C0281CD" w14:textId="77777777" w:rsidR="002814C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计量单位要求</w:t>
            </w:r>
          </w:p>
        </w:tc>
        <w:tc>
          <w:tcPr>
            <w:tcW w:w="1417" w:type="dxa"/>
          </w:tcPr>
          <w:p w14:paraId="273A4C06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02833EA7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00073030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2ED058AA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09E63737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5FE0EA18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52818A40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  <w:tr w:rsidR="002814C1" w14:paraId="29C6E402" w14:textId="77777777">
        <w:tc>
          <w:tcPr>
            <w:tcW w:w="2802" w:type="dxa"/>
          </w:tcPr>
          <w:p w14:paraId="26D9D36F" w14:textId="77777777" w:rsidR="002814C1" w:rsidRDefault="00000000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其它（请注内容）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417" w:type="dxa"/>
          </w:tcPr>
          <w:p w14:paraId="0D91220B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8" w:type="dxa"/>
          </w:tcPr>
          <w:p w14:paraId="13D3B5DF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275" w:type="dxa"/>
          </w:tcPr>
          <w:p w14:paraId="3BF4F67E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60" w:type="dxa"/>
          </w:tcPr>
          <w:p w14:paraId="3FA10861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417" w:type="dxa"/>
          </w:tcPr>
          <w:p w14:paraId="1FCB4B74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14:paraId="551A6F4A" w14:textId="77777777" w:rsidR="002814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1559" w:type="dxa"/>
          </w:tcPr>
          <w:p w14:paraId="722C5507" w14:textId="77777777" w:rsidR="002814C1" w:rsidRDefault="002814C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5DAF2" w14:textId="77777777" w:rsidR="002814C1" w:rsidRDefault="002814C1">
      <w:pPr>
        <w:jc w:val="left"/>
        <w:rPr>
          <w:sz w:val="28"/>
          <w:szCs w:val="28"/>
        </w:rPr>
      </w:pPr>
    </w:p>
    <w:sectPr w:rsidR="002814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675B"/>
    <w:multiLevelType w:val="multilevel"/>
    <w:tmpl w:val="13A5675B"/>
    <w:lvl w:ilvl="0">
      <w:start w:val="1"/>
      <w:numFmt w:val="decimal"/>
      <w:lvlText w:val="%1、"/>
      <w:lvlJc w:val="left"/>
      <w:pPr>
        <w:ind w:left="1272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abstractNum w:abstractNumId="1" w15:restartNumberingAfterBreak="0">
    <w:nsid w:val="4B5D637D"/>
    <w:multiLevelType w:val="multilevel"/>
    <w:tmpl w:val="4B5D637D"/>
    <w:lvl w:ilvl="0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num w:numId="1" w16cid:durableId="1180049819">
    <w:abstractNumId w:val="1"/>
  </w:num>
  <w:num w:numId="2" w16cid:durableId="201484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1NjM3ZDU5Yzc2N2MwNGE3ZmIwZWMxMmU0ZTU1MjcifQ=="/>
  </w:docVars>
  <w:rsids>
    <w:rsidRoot w:val="00A20C50"/>
    <w:rsid w:val="00011CB7"/>
    <w:rsid w:val="0004770D"/>
    <w:rsid w:val="00193036"/>
    <w:rsid w:val="001C220E"/>
    <w:rsid w:val="00243FFF"/>
    <w:rsid w:val="002814C1"/>
    <w:rsid w:val="002F25E5"/>
    <w:rsid w:val="00311B4C"/>
    <w:rsid w:val="003C134E"/>
    <w:rsid w:val="00424A59"/>
    <w:rsid w:val="004936F0"/>
    <w:rsid w:val="004F68B9"/>
    <w:rsid w:val="00522BA5"/>
    <w:rsid w:val="00691754"/>
    <w:rsid w:val="00823947"/>
    <w:rsid w:val="00826F1C"/>
    <w:rsid w:val="00887896"/>
    <w:rsid w:val="008A5DF9"/>
    <w:rsid w:val="00911C2D"/>
    <w:rsid w:val="00A20C50"/>
    <w:rsid w:val="00B42D14"/>
    <w:rsid w:val="00BD57BD"/>
    <w:rsid w:val="00C9127E"/>
    <w:rsid w:val="00CC29DE"/>
    <w:rsid w:val="00D858F4"/>
    <w:rsid w:val="00E64105"/>
    <w:rsid w:val="00FD020B"/>
    <w:rsid w:val="6F984159"/>
    <w:rsid w:val="71B0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FC7DD"/>
  <w15:docId w15:val="{F8521572-D417-F043-9E2B-ACD8A9DB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 user</cp:lastModifiedBy>
  <cp:revision>3</cp:revision>
  <dcterms:created xsi:type="dcterms:W3CDTF">2022-09-24T03:58:00Z</dcterms:created>
  <dcterms:modified xsi:type="dcterms:W3CDTF">2022-09-24T03:59:00Z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A532B76B67294107966A95626D20E5BE</vt:lpwstr>
  </property>
</Properties>
</file>