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32" w:rsidRDefault="000D6032">
      <w:pPr>
        <w:jc w:val="center"/>
        <w:rPr>
          <w:rFonts w:eastAsia="仿宋_GB2312"/>
          <w:b/>
          <w:sz w:val="36"/>
        </w:rPr>
      </w:pPr>
    </w:p>
    <w:p w:rsidR="000D6032" w:rsidRDefault="000D6032">
      <w:pPr>
        <w:jc w:val="center"/>
        <w:rPr>
          <w:rFonts w:eastAsia="仿宋_GB2312"/>
          <w:b/>
          <w:sz w:val="36"/>
        </w:rPr>
      </w:pPr>
    </w:p>
    <w:p w:rsidR="000D6032" w:rsidRDefault="000D6032">
      <w:pPr>
        <w:pStyle w:val="afb"/>
        <w:framePr w:w="9639" w:h="624" w:hRule="exact" w:hSpace="181" w:vSpace="181" w:wrap="around" w:vAnchor="page" w:hAnchor="page" w:x="1419" w:y="2286" w:anchorLock="1"/>
        <w:jc w:val="center"/>
        <w:rPr>
          <w:rFonts w:ascii="黑体" w:eastAsia="黑体"/>
          <w:bCs w:val="0"/>
          <w:snapToGrid w:val="0"/>
          <w:spacing w:val="0"/>
          <w:w w:val="100"/>
          <w:sz w:val="36"/>
          <w:szCs w:val="36"/>
        </w:rPr>
      </w:pPr>
    </w:p>
    <w:p w:rsidR="000D6032" w:rsidRDefault="00974A7D">
      <w:pPr>
        <w:jc w:val="center"/>
        <w:rPr>
          <w:rFonts w:ascii="黑体" w:eastAsia="黑体"/>
          <w:b/>
          <w:snapToGrid w:val="0"/>
          <w:kern w:val="0"/>
          <w:sz w:val="36"/>
          <w:szCs w:val="36"/>
        </w:rPr>
      </w:pPr>
      <w:r>
        <w:rPr>
          <w:rFonts w:ascii="黑体" w:eastAsia="黑体" w:hint="eastAsia"/>
          <w:b/>
          <w:snapToGrid w:val="0"/>
          <w:kern w:val="0"/>
          <w:sz w:val="36"/>
          <w:szCs w:val="36"/>
        </w:rPr>
        <w:t xml:space="preserve">《基于项目的温室气体减排量评估技术规范  </w:t>
      </w:r>
      <w:r w:rsidR="002F57F7">
        <w:rPr>
          <w:rFonts w:ascii="黑体" w:eastAsia="黑体" w:hint="eastAsia"/>
          <w:b/>
          <w:snapToGrid w:val="0"/>
          <w:kern w:val="0"/>
          <w:sz w:val="36"/>
          <w:szCs w:val="36"/>
        </w:rPr>
        <w:t>生物质废弃物（食品生产及加工）</w:t>
      </w:r>
      <w:r w:rsidR="007012C3" w:rsidRPr="007012C3">
        <w:rPr>
          <w:rFonts w:ascii="黑体" w:eastAsia="黑体" w:hint="eastAsia"/>
          <w:b/>
          <w:snapToGrid w:val="0"/>
          <w:kern w:val="0"/>
          <w:sz w:val="36"/>
          <w:szCs w:val="36"/>
        </w:rPr>
        <w:t>用作原材料项目</w:t>
      </w:r>
      <w:r>
        <w:rPr>
          <w:rFonts w:ascii="黑体" w:eastAsia="黑体" w:hint="eastAsia"/>
          <w:b/>
          <w:snapToGrid w:val="0"/>
          <w:kern w:val="0"/>
          <w:sz w:val="36"/>
          <w:szCs w:val="36"/>
        </w:rPr>
        <w:t>》</w:t>
      </w:r>
    </w:p>
    <w:p w:rsidR="000D6032" w:rsidRDefault="000D6032">
      <w:pPr>
        <w:jc w:val="center"/>
        <w:rPr>
          <w:rFonts w:ascii="华文隶书" w:eastAsia="华文隶书"/>
          <w:b/>
          <w:sz w:val="36"/>
          <w:szCs w:val="36"/>
        </w:rPr>
      </w:pPr>
    </w:p>
    <w:p w:rsidR="000D6032" w:rsidRDefault="00974A7D">
      <w:pPr>
        <w:jc w:val="center"/>
        <w:rPr>
          <w:rFonts w:eastAsia="仿宋_GB2312"/>
          <w:sz w:val="28"/>
        </w:rPr>
      </w:pPr>
      <w:r>
        <w:rPr>
          <w:rFonts w:ascii="华文隶书" w:eastAsia="华文隶书" w:hint="eastAsia"/>
          <w:b/>
          <w:sz w:val="36"/>
          <w:szCs w:val="36"/>
        </w:rPr>
        <w:t>（</w:t>
      </w:r>
      <w:r w:rsidR="002251B0">
        <w:rPr>
          <w:rFonts w:ascii="华文隶书" w:eastAsia="华文隶书" w:hint="eastAsia"/>
          <w:b/>
          <w:sz w:val="36"/>
          <w:szCs w:val="36"/>
        </w:rPr>
        <w:t>征求意见</w:t>
      </w:r>
      <w:r>
        <w:rPr>
          <w:rFonts w:ascii="华文隶书" w:eastAsia="华文隶书" w:hint="eastAsia"/>
          <w:b/>
          <w:sz w:val="36"/>
          <w:szCs w:val="36"/>
        </w:rPr>
        <w:t>稿）</w:t>
      </w:r>
    </w:p>
    <w:p w:rsidR="000D6032" w:rsidRDefault="000D6032">
      <w:pPr>
        <w:jc w:val="center"/>
        <w:rPr>
          <w:rFonts w:ascii="华文隶书" w:eastAsia="华文隶书"/>
          <w:b/>
          <w:sz w:val="36"/>
          <w:szCs w:val="36"/>
        </w:rPr>
      </w:pPr>
    </w:p>
    <w:p w:rsidR="000D6032" w:rsidRDefault="000D6032">
      <w:pPr>
        <w:jc w:val="center"/>
        <w:rPr>
          <w:rFonts w:ascii="华文隶书" w:eastAsia="华文隶书"/>
          <w:b/>
          <w:w w:val="150"/>
          <w:sz w:val="48"/>
        </w:rPr>
      </w:pPr>
    </w:p>
    <w:p w:rsidR="000D6032" w:rsidRDefault="00974A7D">
      <w:pPr>
        <w:jc w:val="center"/>
        <w:rPr>
          <w:rFonts w:ascii="华文隶书" w:eastAsia="华文隶书"/>
          <w:b/>
          <w:w w:val="150"/>
          <w:sz w:val="48"/>
        </w:rPr>
      </w:pPr>
      <w:r>
        <w:rPr>
          <w:rFonts w:ascii="华文隶书" w:eastAsia="华文隶书" w:hint="eastAsia"/>
          <w:b/>
          <w:w w:val="150"/>
          <w:sz w:val="48"/>
        </w:rPr>
        <w:t>编制说明</w:t>
      </w:r>
    </w:p>
    <w:p w:rsidR="000D6032" w:rsidRDefault="000D6032">
      <w:pPr>
        <w:rPr>
          <w:rFonts w:eastAsia="仿宋_GB2312"/>
          <w:sz w:val="28"/>
        </w:rPr>
      </w:pPr>
    </w:p>
    <w:p w:rsidR="000D6032" w:rsidRDefault="000D6032">
      <w:pPr>
        <w:rPr>
          <w:rFonts w:eastAsia="仿宋_GB2312"/>
          <w:sz w:val="28"/>
        </w:rPr>
      </w:pPr>
    </w:p>
    <w:p w:rsidR="000D6032" w:rsidRDefault="000D6032">
      <w:pPr>
        <w:rPr>
          <w:rFonts w:eastAsia="仿宋_GB2312"/>
          <w:sz w:val="28"/>
        </w:rPr>
      </w:pPr>
    </w:p>
    <w:p w:rsidR="000D6032" w:rsidRDefault="000D6032">
      <w:pPr>
        <w:rPr>
          <w:rFonts w:eastAsia="仿宋_GB2312"/>
          <w:sz w:val="28"/>
        </w:rPr>
      </w:pPr>
    </w:p>
    <w:p w:rsidR="000D6032" w:rsidRDefault="000D6032">
      <w:pPr>
        <w:rPr>
          <w:rFonts w:eastAsia="仿宋_GB2312"/>
          <w:sz w:val="28"/>
        </w:rPr>
      </w:pPr>
    </w:p>
    <w:p w:rsidR="000D6032" w:rsidRDefault="000D6032">
      <w:pPr>
        <w:rPr>
          <w:rFonts w:eastAsia="仿宋_GB2312"/>
          <w:sz w:val="28"/>
        </w:rPr>
      </w:pPr>
    </w:p>
    <w:p w:rsidR="000D6032" w:rsidRDefault="00974A7D">
      <w:pPr>
        <w:jc w:val="center"/>
        <w:rPr>
          <w:rFonts w:ascii="华文隶书" w:eastAsia="华文隶书"/>
          <w:b/>
          <w:bCs/>
          <w:sz w:val="36"/>
          <w:szCs w:val="36"/>
        </w:rPr>
      </w:pPr>
      <w:r>
        <w:rPr>
          <w:rFonts w:ascii="华文隶书" w:eastAsia="华文隶书" w:hint="eastAsia"/>
          <w:b/>
          <w:bCs/>
          <w:sz w:val="36"/>
          <w:szCs w:val="36"/>
        </w:rPr>
        <w:t>标准起草组</w:t>
      </w:r>
    </w:p>
    <w:p w:rsidR="000D6032" w:rsidRDefault="00974A7D">
      <w:pPr>
        <w:jc w:val="center"/>
        <w:rPr>
          <w:sz w:val="24"/>
        </w:rPr>
      </w:pPr>
      <w:r>
        <w:rPr>
          <w:rFonts w:ascii="华文隶书" w:eastAsia="华文隶书" w:hint="eastAsia"/>
          <w:b/>
          <w:bCs/>
          <w:sz w:val="36"/>
          <w:szCs w:val="36"/>
        </w:rPr>
        <w:t>二〇一八年</w:t>
      </w:r>
      <w:r w:rsidR="00D75EBE">
        <w:rPr>
          <w:rFonts w:ascii="华文隶书" w:eastAsia="华文隶书" w:hint="eastAsia"/>
          <w:b/>
          <w:bCs/>
          <w:sz w:val="36"/>
          <w:szCs w:val="36"/>
        </w:rPr>
        <w:t>十一月</w:t>
      </w:r>
    </w:p>
    <w:p w:rsidR="000D6032" w:rsidRDefault="00974A7D">
      <w:pPr>
        <w:spacing w:line="360" w:lineRule="exact"/>
        <w:rPr>
          <w:sz w:val="24"/>
        </w:rPr>
      </w:pPr>
      <w:r>
        <w:rPr>
          <w:sz w:val="24"/>
        </w:rPr>
        <w:t xml:space="preserve">                                                                       </w:t>
      </w:r>
    </w:p>
    <w:p w:rsidR="000D6032" w:rsidRDefault="000D6032">
      <w:pPr>
        <w:spacing w:line="360" w:lineRule="exact"/>
        <w:rPr>
          <w:sz w:val="24"/>
        </w:rPr>
      </w:pPr>
    </w:p>
    <w:p w:rsidR="000D6032" w:rsidRDefault="000D6032">
      <w:pPr>
        <w:spacing w:line="360" w:lineRule="exact"/>
        <w:rPr>
          <w:sz w:val="24"/>
        </w:rPr>
      </w:pPr>
    </w:p>
    <w:p w:rsidR="000D6032" w:rsidRDefault="000D6032">
      <w:pPr>
        <w:spacing w:line="360" w:lineRule="exact"/>
        <w:rPr>
          <w:sz w:val="24"/>
        </w:rPr>
      </w:pPr>
    </w:p>
    <w:p w:rsidR="000D6032" w:rsidRDefault="000D6032">
      <w:pPr>
        <w:spacing w:line="360" w:lineRule="exact"/>
        <w:sectPr w:rsidR="000D603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720"/>
          <w:titlePg/>
          <w:docGrid w:type="lines" w:linePitch="312"/>
        </w:sectPr>
      </w:pPr>
    </w:p>
    <w:p w:rsidR="000D6032" w:rsidRDefault="000D6032">
      <w:pPr>
        <w:spacing w:line="360" w:lineRule="auto"/>
        <w:ind w:firstLine="539"/>
        <w:rPr>
          <w:sz w:val="24"/>
        </w:rPr>
      </w:pPr>
    </w:p>
    <w:p w:rsidR="000D6032" w:rsidRDefault="00974A7D">
      <w:pPr>
        <w:numPr>
          <w:ilvl w:val="0"/>
          <w:numId w:val="1"/>
        </w:numPr>
        <w:spacing w:line="360" w:lineRule="auto"/>
        <w:rPr>
          <w:b/>
          <w:bCs/>
          <w:sz w:val="28"/>
        </w:rPr>
      </w:pPr>
      <w:r>
        <w:rPr>
          <w:rFonts w:hint="eastAsia"/>
          <w:b/>
          <w:bCs/>
          <w:sz w:val="28"/>
        </w:rPr>
        <w:t>标准工作简况</w:t>
      </w:r>
    </w:p>
    <w:p w:rsidR="000D6032" w:rsidRDefault="00974A7D">
      <w:pPr>
        <w:tabs>
          <w:tab w:val="left" w:pos="720"/>
          <w:tab w:val="left" w:pos="2160"/>
          <w:tab w:val="left" w:pos="2880"/>
        </w:tabs>
        <w:spacing w:line="360" w:lineRule="auto"/>
        <w:ind w:firstLine="480"/>
        <w:rPr>
          <w:sz w:val="24"/>
        </w:rPr>
      </w:pPr>
      <w:r>
        <w:rPr>
          <w:rFonts w:hint="eastAsia"/>
          <w:sz w:val="24"/>
        </w:rPr>
        <w:t>2016</w:t>
      </w:r>
      <w:r>
        <w:rPr>
          <w:rFonts w:hint="eastAsia"/>
          <w:sz w:val="24"/>
        </w:rPr>
        <w:t>年</w:t>
      </w:r>
      <w:r>
        <w:rPr>
          <w:rFonts w:hint="eastAsia"/>
          <w:sz w:val="24"/>
        </w:rPr>
        <w:t>1</w:t>
      </w:r>
      <w:r>
        <w:rPr>
          <w:rFonts w:hint="eastAsia"/>
          <w:sz w:val="24"/>
        </w:rPr>
        <w:t>月</w:t>
      </w:r>
      <w:r>
        <w:rPr>
          <w:rFonts w:hint="eastAsia"/>
          <w:sz w:val="24"/>
        </w:rPr>
        <w:t>11</w:t>
      </w:r>
      <w:r>
        <w:rPr>
          <w:rFonts w:hint="eastAsia"/>
          <w:sz w:val="24"/>
        </w:rPr>
        <w:t>日，国家发改委发布了《国家发展改革委办公厅关于切实做好全国碳排放权交易市场启动重点工作的通知（发改办气候</w:t>
      </w:r>
      <w:r>
        <w:rPr>
          <w:rFonts w:hint="eastAsia"/>
          <w:sz w:val="24"/>
        </w:rPr>
        <w:t>[2016]57</w:t>
      </w:r>
      <w:r>
        <w:rPr>
          <w:rFonts w:hint="eastAsia"/>
          <w:sz w:val="24"/>
        </w:rPr>
        <w:t>号）》，提出全国碳排放权交易市场第一阶段将涵盖石化、化工、建材、钢铁、有色、造纸、电力、航空等八大重点行业。国际经验表明，抵消机制是对碳排放权交易的有利补充，我国借鉴国际上的</w:t>
      </w:r>
      <w:r>
        <w:rPr>
          <w:rFonts w:hint="eastAsia"/>
          <w:sz w:val="24"/>
        </w:rPr>
        <w:t>CDM</w:t>
      </w:r>
      <w:r>
        <w:rPr>
          <w:rFonts w:hint="eastAsia"/>
          <w:sz w:val="24"/>
        </w:rPr>
        <w:t>减排机制建立了自愿减排项目机制，简称</w:t>
      </w:r>
      <w:r>
        <w:rPr>
          <w:rFonts w:hint="eastAsia"/>
          <w:sz w:val="24"/>
        </w:rPr>
        <w:t>CCER</w:t>
      </w:r>
      <w:r>
        <w:rPr>
          <w:rFonts w:hint="eastAsia"/>
          <w:sz w:val="24"/>
        </w:rPr>
        <w:t>机制。但是，已有方法学均采取向主管部门备案的形式，其权威性和使用效力较低。为补充全国碳排放权交易体系的抵消机制和部分纳入管控的重点排放单位自主减排，促进全国碳交易市场的规范有序发展，有必要研究制定重点行业典型减排项目的温室气体减排量技术评估规范，推进温室气体减排量评估的标准化进程。</w:t>
      </w:r>
    </w:p>
    <w:p w:rsidR="000D6032" w:rsidRDefault="00974A7D">
      <w:pPr>
        <w:pStyle w:val="13"/>
        <w:numPr>
          <w:ilvl w:val="0"/>
          <w:numId w:val="12"/>
        </w:numPr>
        <w:spacing w:line="360" w:lineRule="auto"/>
        <w:ind w:firstLineChars="0"/>
        <w:rPr>
          <w:b/>
          <w:sz w:val="24"/>
        </w:rPr>
      </w:pPr>
      <w:r>
        <w:rPr>
          <w:rFonts w:hint="eastAsia"/>
          <w:b/>
          <w:sz w:val="24"/>
        </w:rPr>
        <w:t>标准的作用</w:t>
      </w:r>
    </w:p>
    <w:p w:rsidR="000D6032" w:rsidRDefault="00974A7D">
      <w:pPr>
        <w:tabs>
          <w:tab w:val="left" w:pos="720"/>
          <w:tab w:val="left" w:pos="2160"/>
          <w:tab w:val="left" w:pos="2880"/>
        </w:tabs>
        <w:spacing w:line="360" w:lineRule="auto"/>
        <w:ind w:firstLineChars="200" w:firstLine="480"/>
        <w:rPr>
          <w:sz w:val="24"/>
        </w:rPr>
      </w:pPr>
      <w:r>
        <w:rPr>
          <w:rFonts w:hint="eastAsia"/>
          <w:sz w:val="24"/>
        </w:rPr>
        <w:t>（</w:t>
      </w:r>
      <w:r>
        <w:rPr>
          <w:rFonts w:hint="eastAsia"/>
          <w:sz w:val="24"/>
        </w:rPr>
        <w:t>1</w:t>
      </w:r>
      <w:r>
        <w:rPr>
          <w:rFonts w:hint="eastAsia"/>
          <w:sz w:val="24"/>
        </w:rPr>
        <w:t>）帮助企业了解和掌握温室气体减排的效果</w:t>
      </w:r>
    </w:p>
    <w:p w:rsidR="000D6032" w:rsidRDefault="00974A7D">
      <w:pPr>
        <w:tabs>
          <w:tab w:val="left" w:pos="720"/>
          <w:tab w:val="left" w:pos="2160"/>
          <w:tab w:val="left" w:pos="2880"/>
        </w:tabs>
        <w:spacing w:line="360" w:lineRule="auto"/>
        <w:ind w:firstLineChars="200" w:firstLine="480"/>
        <w:rPr>
          <w:sz w:val="24"/>
        </w:rPr>
      </w:pPr>
      <w:r>
        <w:rPr>
          <w:rFonts w:hint="eastAsia"/>
          <w:sz w:val="24"/>
        </w:rPr>
        <w:t>近年来，企业开展了大量的节能工作，也不断在进行技术改造，由于减排与节能工作密不可分，企业通过节能带来的减排效果如何？如何进行评价？需要标准的帮助，尤其是十三五温室气体减排目标的提出，更加明确了对减排的要求，企业对此也愈加重视。本标准的制定为企业提供了计算的工具，可以帮助企业开展温室气体减排技术评估工作，了解企业自身开展的一些项目，如节能技改等，是否有减排成效，带来的减排量（或清除增加量）的高低等。</w:t>
      </w:r>
    </w:p>
    <w:p w:rsidR="000D6032" w:rsidRDefault="00974A7D">
      <w:pPr>
        <w:tabs>
          <w:tab w:val="left" w:pos="720"/>
          <w:tab w:val="left" w:pos="2160"/>
          <w:tab w:val="left" w:pos="2880"/>
        </w:tabs>
        <w:spacing w:line="360" w:lineRule="auto"/>
        <w:ind w:firstLineChars="200" w:firstLine="480"/>
        <w:rPr>
          <w:sz w:val="24"/>
        </w:rPr>
      </w:pPr>
      <w:r>
        <w:rPr>
          <w:rFonts w:hint="eastAsia"/>
          <w:sz w:val="24"/>
        </w:rPr>
        <w:t>（</w:t>
      </w:r>
      <w:r>
        <w:rPr>
          <w:rFonts w:hint="eastAsia"/>
          <w:sz w:val="24"/>
        </w:rPr>
        <w:t>2</w:t>
      </w:r>
      <w:r>
        <w:rPr>
          <w:rFonts w:hint="eastAsia"/>
          <w:sz w:val="24"/>
        </w:rPr>
        <w:t>）为节能减排目标的实现提供技术依据</w:t>
      </w:r>
      <w:r>
        <w:rPr>
          <w:sz w:val="24"/>
        </w:rPr>
        <w:t xml:space="preserve"> </w:t>
      </w:r>
    </w:p>
    <w:p w:rsidR="000D6032" w:rsidRDefault="00974A7D">
      <w:pPr>
        <w:tabs>
          <w:tab w:val="left" w:pos="720"/>
          <w:tab w:val="left" w:pos="2160"/>
          <w:tab w:val="left" w:pos="2880"/>
        </w:tabs>
        <w:spacing w:line="360" w:lineRule="auto"/>
        <w:ind w:firstLineChars="200" w:firstLine="480"/>
        <w:rPr>
          <w:sz w:val="24"/>
        </w:rPr>
      </w:pPr>
      <w:r>
        <w:rPr>
          <w:rFonts w:hint="eastAsia"/>
          <w:sz w:val="24"/>
        </w:rPr>
        <w:t>节能减排目标的提出，是国家管理政策深入细致的体现，目标的实现需要技术证据。标准制定从项目层面入手，为政策实施提供了技术工具和依据，可用于减排潜力的测算、目标的考核等。</w:t>
      </w:r>
    </w:p>
    <w:p w:rsidR="000D6032" w:rsidRDefault="001D0637">
      <w:pPr>
        <w:tabs>
          <w:tab w:val="left" w:pos="720"/>
          <w:tab w:val="left" w:pos="2160"/>
          <w:tab w:val="left" w:pos="2880"/>
        </w:tabs>
        <w:spacing w:line="360" w:lineRule="auto"/>
        <w:ind w:firstLineChars="200" w:firstLine="480"/>
        <w:rPr>
          <w:sz w:val="24"/>
        </w:rPr>
      </w:pPr>
      <w:r>
        <w:rPr>
          <w:rFonts w:hint="eastAsia"/>
          <w:sz w:val="24"/>
        </w:rPr>
        <w:t>企业可以</w:t>
      </w:r>
      <w:r w:rsidR="00974A7D">
        <w:rPr>
          <w:rFonts w:hint="eastAsia"/>
          <w:sz w:val="24"/>
        </w:rPr>
        <w:t>通过</w:t>
      </w:r>
      <w:r>
        <w:rPr>
          <w:rFonts w:hint="eastAsia"/>
          <w:sz w:val="24"/>
        </w:rPr>
        <w:t>利用</w:t>
      </w:r>
      <w:r w:rsidR="002F57F7">
        <w:rPr>
          <w:rFonts w:hint="eastAsia"/>
          <w:sz w:val="24"/>
        </w:rPr>
        <w:t>生物质废弃物（食品生产及加工）</w:t>
      </w:r>
      <w:r>
        <w:rPr>
          <w:rFonts w:hint="eastAsia"/>
          <w:sz w:val="24"/>
        </w:rPr>
        <w:t>作为原材料，</w:t>
      </w:r>
      <w:r w:rsidR="00974A7D">
        <w:rPr>
          <w:rFonts w:hint="eastAsia"/>
          <w:sz w:val="24"/>
        </w:rPr>
        <w:t>减少</w:t>
      </w:r>
      <w:r>
        <w:rPr>
          <w:rFonts w:hint="eastAsia"/>
          <w:sz w:val="24"/>
        </w:rPr>
        <w:t>垃圾填埋场</w:t>
      </w:r>
      <w:r w:rsidR="002F57F7">
        <w:rPr>
          <w:rFonts w:hint="eastAsia"/>
          <w:sz w:val="24"/>
        </w:rPr>
        <w:t>生物质废弃物（食品生产及加工）</w:t>
      </w:r>
      <w:r>
        <w:rPr>
          <w:rFonts w:hint="eastAsia"/>
          <w:sz w:val="24"/>
        </w:rPr>
        <w:t>分解产生的排放</w:t>
      </w:r>
      <w:r w:rsidR="00974A7D">
        <w:rPr>
          <w:rFonts w:hint="eastAsia"/>
          <w:sz w:val="24"/>
        </w:rPr>
        <w:t>来实现温室气体减排，国内也编制了相应的方法学，即：</w:t>
      </w:r>
      <w:r w:rsidR="00974A7D">
        <w:rPr>
          <w:rFonts w:hint="eastAsia"/>
          <w:sz w:val="24"/>
        </w:rPr>
        <w:t>CM-0</w:t>
      </w:r>
      <w:r>
        <w:rPr>
          <w:rFonts w:hint="eastAsia"/>
          <w:sz w:val="24"/>
        </w:rPr>
        <w:t>80</w:t>
      </w:r>
      <w:r w:rsidR="00974A7D">
        <w:rPr>
          <w:rFonts w:hint="eastAsia"/>
          <w:sz w:val="24"/>
        </w:rPr>
        <w:t>-V01</w:t>
      </w:r>
      <w:r>
        <w:rPr>
          <w:rFonts w:hint="eastAsia"/>
          <w:sz w:val="24"/>
        </w:rPr>
        <w:t>生物质废弃物用作纸浆、硬纸板、纤维板或生物油生产原料以避免排放</w:t>
      </w:r>
      <w:r w:rsidR="00974A7D">
        <w:rPr>
          <w:rFonts w:hint="eastAsia"/>
          <w:sz w:val="24"/>
        </w:rPr>
        <w:t>方法学。本标准在该方法学的基础上，编制相应的温室气体减排量评估技术规范，为</w:t>
      </w:r>
      <w:r>
        <w:rPr>
          <w:rFonts w:hint="eastAsia"/>
          <w:sz w:val="24"/>
        </w:rPr>
        <w:t>利用</w:t>
      </w:r>
      <w:r w:rsidR="002F57F7">
        <w:rPr>
          <w:rFonts w:hint="eastAsia"/>
          <w:sz w:val="24"/>
        </w:rPr>
        <w:t>生物质废弃物（食品生产及加工）</w:t>
      </w:r>
      <w:r>
        <w:rPr>
          <w:rFonts w:hint="eastAsia"/>
          <w:sz w:val="24"/>
        </w:rPr>
        <w:t>作为原材料生产纸浆、、硬纸板、纤维板或生物油项目</w:t>
      </w:r>
      <w:r w:rsidR="00974A7D">
        <w:rPr>
          <w:rFonts w:hint="eastAsia"/>
          <w:sz w:val="24"/>
        </w:rPr>
        <w:t>制定统一规范的评价标准。</w:t>
      </w:r>
      <w:r w:rsidR="00974A7D">
        <w:rPr>
          <w:rFonts w:hint="eastAsia"/>
          <w:sz w:val="24"/>
        </w:rPr>
        <w:lastRenderedPageBreak/>
        <w:t>同时，将已在国家发改委备案的自愿减排项目减排量核算方法学转化为国家标准，填补了我国在该领域研究的空白，极大提升了自愿减排项目减排量核算方法学的地位，为我国碳排放配额抵销机制的顺利实施和全国碳排放权的履约提供了技术支持和政策保障。</w:t>
      </w:r>
    </w:p>
    <w:p w:rsidR="000D6032" w:rsidRDefault="000D6032">
      <w:pPr>
        <w:tabs>
          <w:tab w:val="left" w:pos="720"/>
          <w:tab w:val="left" w:pos="2160"/>
          <w:tab w:val="left" w:pos="2880"/>
        </w:tabs>
        <w:spacing w:line="360" w:lineRule="auto"/>
        <w:ind w:firstLineChars="200" w:firstLine="480"/>
        <w:rPr>
          <w:sz w:val="24"/>
        </w:rPr>
      </w:pPr>
    </w:p>
    <w:p w:rsidR="000D6032" w:rsidRDefault="00974A7D">
      <w:pPr>
        <w:spacing w:line="360" w:lineRule="auto"/>
        <w:ind w:firstLine="539"/>
        <w:rPr>
          <w:b/>
          <w:sz w:val="24"/>
        </w:rPr>
      </w:pPr>
      <w:r>
        <w:rPr>
          <w:rFonts w:hint="eastAsia"/>
          <w:b/>
          <w:sz w:val="24"/>
        </w:rPr>
        <w:t>2</w:t>
      </w:r>
      <w:r>
        <w:rPr>
          <w:rFonts w:hint="eastAsia"/>
          <w:b/>
          <w:sz w:val="24"/>
        </w:rPr>
        <w:t>．任务来源</w:t>
      </w:r>
    </w:p>
    <w:p w:rsidR="000D6032" w:rsidRDefault="00974A7D">
      <w:pPr>
        <w:tabs>
          <w:tab w:val="left" w:pos="720"/>
          <w:tab w:val="left" w:pos="2160"/>
          <w:tab w:val="left" w:pos="2880"/>
        </w:tabs>
        <w:spacing w:line="360" w:lineRule="auto"/>
        <w:ind w:firstLineChars="200" w:firstLine="480"/>
        <w:rPr>
          <w:sz w:val="24"/>
        </w:rPr>
      </w:pPr>
      <w:r>
        <w:rPr>
          <w:sz w:val="24"/>
        </w:rPr>
        <w:t>2011</w:t>
      </w:r>
      <w:r>
        <w:rPr>
          <w:rFonts w:hint="eastAsia"/>
          <w:sz w:val="24"/>
        </w:rPr>
        <w:t>年</w:t>
      </w:r>
      <w:r>
        <w:rPr>
          <w:sz w:val="24"/>
        </w:rPr>
        <w:t>5</w:t>
      </w:r>
      <w:r>
        <w:rPr>
          <w:rFonts w:hint="eastAsia"/>
          <w:sz w:val="24"/>
        </w:rPr>
        <w:t>月，《项目层面的温室气体减排成效评价技术规范》被列入全国节能减排标准化技术联盟标准制定计划中。</w:t>
      </w:r>
      <w:r>
        <w:rPr>
          <w:rFonts w:hint="eastAsia"/>
          <w:sz w:val="24"/>
        </w:rPr>
        <w:t>2012</w:t>
      </w:r>
      <w:r>
        <w:rPr>
          <w:rFonts w:hint="eastAsia"/>
          <w:sz w:val="24"/>
        </w:rPr>
        <w:t>年，该项联盟标准发布。</w:t>
      </w:r>
    </w:p>
    <w:p w:rsidR="000D6032" w:rsidRDefault="00974A7D">
      <w:pPr>
        <w:tabs>
          <w:tab w:val="left" w:pos="720"/>
          <w:tab w:val="left" w:pos="2160"/>
          <w:tab w:val="left" w:pos="2880"/>
        </w:tabs>
        <w:spacing w:line="360" w:lineRule="auto"/>
        <w:ind w:firstLineChars="200" w:firstLine="480"/>
        <w:rPr>
          <w:sz w:val="24"/>
        </w:rPr>
      </w:pPr>
      <w:r>
        <w:rPr>
          <w:rFonts w:hint="eastAsia"/>
          <w:sz w:val="24"/>
        </w:rPr>
        <w:t>在该联盟标准的基础上，全国环标委（</w:t>
      </w:r>
      <w:r>
        <w:rPr>
          <w:rFonts w:hint="eastAsia"/>
          <w:sz w:val="24"/>
        </w:rPr>
        <w:t>SAC/TC207</w:t>
      </w:r>
      <w:r>
        <w:rPr>
          <w:rFonts w:hint="eastAsia"/>
          <w:sz w:val="24"/>
        </w:rPr>
        <w:t>）秘书处提出了制定国家标准的申请，已于</w:t>
      </w:r>
      <w:r>
        <w:rPr>
          <w:rFonts w:hint="eastAsia"/>
          <w:sz w:val="24"/>
        </w:rPr>
        <w:t>2011</w:t>
      </w:r>
      <w:r>
        <w:rPr>
          <w:rFonts w:hint="eastAsia"/>
          <w:sz w:val="24"/>
        </w:rPr>
        <w:t>年由国家标准委批准立项，项目编号：</w:t>
      </w:r>
      <w:r>
        <w:rPr>
          <w:sz w:val="24"/>
        </w:rPr>
        <w:t>201</w:t>
      </w:r>
      <w:r>
        <w:rPr>
          <w:rFonts w:hint="eastAsia"/>
          <w:sz w:val="24"/>
        </w:rPr>
        <w:t>1</w:t>
      </w:r>
      <w:r>
        <w:rPr>
          <w:sz w:val="24"/>
        </w:rPr>
        <w:t>1611-T-469</w:t>
      </w:r>
      <w:r>
        <w:rPr>
          <w:rFonts w:hint="eastAsia"/>
          <w:sz w:val="24"/>
        </w:rPr>
        <w:t>。全国碳排放管理标准化技术委员会（</w:t>
      </w:r>
      <w:r>
        <w:rPr>
          <w:rFonts w:hint="eastAsia"/>
          <w:sz w:val="24"/>
        </w:rPr>
        <w:t>TC548</w:t>
      </w:r>
      <w:r>
        <w:rPr>
          <w:rFonts w:hint="eastAsia"/>
          <w:sz w:val="24"/>
        </w:rPr>
        <w:t>）成立后，该标准的归口转移到</w:t>
      </w:r>
      <w:r>
        <w:rPr>
          <w:rFonts w:hint="eastAsia"/>
          <w:sz w:val="24"/>
        </w:rPr>
        <w:t>TC548</w:t>
      </w:r>
      <w:r>
        <w:rPr>
          <w:rFonts w:hint="eastAsia"/>
          <w:sz w:val="24"/>
        </w:rPr>
        <w:t>。</w:t>
      </w:r>
    </w:p>
    <w:p w:rsidR="000D6032" w:rsidRDefault="00974A7D">
      <w:pPr>
        <w:tabs>
          <w:tab w:val="left" w:pos="720"/>
          <w:tab w:val="left" w:pos="2160"/>
          <w:tab w:val="left" w:pos="2880"/>
        </w:tabs>
        <w:spacing w:line="360" w:lineRule="auto"/>
        <w:ind w:firstLineChars="200" w:firstLine="480"/>
        <w:rPr>
          <w:sz w:val="24"/>
        </w:rPr>
      </w:pPr>
      <w:r>
        <w:rPr>
          <w:rFonts w:hint="eastAsia"/>
          <w:sz w:val="24"/>
        </w:rPr>
        <w:t>2016</w:t>
      </w:r>
      <w:r>
        <w:rPr>
          <w:rFonts w:hint="eastAsia"/>
          <w:sz w:val="24"/>
        </w:rPr>
        <w:t>年</w:t>
      </w:r>
      <w:r>
        <w:rPr>
          <w:rFonts w:hint="eastAsia"/>
          <w:sz w:val="24"/>
        </w:rPr>
        <w:t>6</w:t>
      </w:r>
      <w:r>
        <w:rPr>
          <w:rFonts w:hint="eastAsia"/>
          <w:sz w:val="24"/>
        </w:rPr>
        <w:t>月</w:t>
      </w:r>
      <w:r>
        <w:rPr>
          <w:rFonts w:hint="eastAsia"/>
          <w:sz w:val="24"/>
        </w:rPr>
        <w:t>23</w:t>
      </w:r>
      <w:r>
        <w:rPr>
          <w:rFonts w:hint="eastAsia"/>
          <w:sz w:val="24"/>
        </w:rPr>
        <w:t>日，全国碳排放管理标准化技术委员会组织召开了标准预审会，对标准名称、术语、基准线情景确定、资料性附录等提出了针对性意见。会后起草组按照专家意见，将标准名称由原来的《项目层面的温室气体减排成效评价技术规范》修改为《基于项目的温室气体减排量评估技术规范</w:t>
      </w:r>
      <w:r>
        <w:rPr>
          <w:rFonts w:hint="eastAsia"/>
          <w:sz w:val="24"/>
        </w:rPr>
        <w:t xml:space="preserve">  </w:t>
      </w:r>
      <w:r>
        <w:rPr>
          <w:rFonts w:hint="eastAsia"/>
          <w:sz w:val="24"/>
        </w:rPr>
        <w:t>通用要求》，以便更好的发挥标准的作用，并为未来形成系列标准打好基础。</w:t>
      </w:r>
    </w:p>
    <w:p w:rsidR="000D6032" w:rsidRDefault="00974A7D">
      <w:pPr>
        <w:tabs>
          <w:tab w:val="left" w:pos="720"/>
          <w:tab w:val="left" w:pos="2160"/>
          <w:tab w:val="left" w:pos="2880"/>
        </w:tabs>
        <w:spacing w:line="360" w:lineRule="auto"/>
        <w:ind w:firstLineChars="200" w:firstLine="480"/>
        <w:rPr>
          <w:sz w:val="24"/>
        </w:rPr>
      </w:pPr>
      <w:r>
        <w:rPr>
          <w:rFonts w:hint="eastAsia"/>
          <w:sz w:val="24"/>
        </w:rPr>
        <w:t>《基于项目的温室气体减排量评估技术规范</w:t>
      </w:r>
      <w:r>
        <w:rPr>
          <w:rFonts w:hint="eastAsia"/>
          <w:sz w:val="24"/>
        </w:rPr>
        <w:t xml:space="preserve">  </w:t>
      </w:r>
      <w:r w:rsidR="002F57F7">
        <w:rPr>
          <w:rFonts w:hint="eastAsia"/>
          <w:sz w:val="24"/>
        </w:rPr>
        <w:t>生物质废弃物（食品生产及加工）</w:t>
      </w:r>
      <w:r w:rsidR="001D0637">
        <w:rPr>
          <w:rFonts w:hint="eastAsia"/>
          <w:sz w:val="24"/>
        </w:rPr>
        <w:t>用作原材料项目</w:t>
      </w:r>
      <w:r>
        <w:rPr>
          <w:rFonts w:hint="eastAsia"/>
          <w:sz w:val="24"/>
        </w:rPr>
        <w:t>》已于</w:t>
      </w:r>
      <w:r>
        <w:rPr>
          <w:rFonts w:hint="eastAsia"/>
          <w:sz w:val="24"/>
        </w:rPr>
        <w:t>2018</w:t>
      </w:r>
      <w:r>
        <w:rPr>
          <w:rFonts w:hint="eastAsia"/>
          <w:sz w:val="24"/>
        </w:rPr>
        <w:t>年由国家标准委批准立项。课题编号：</w:t>
      </w:r>
      <w:r>
        <w:rPr>
          <w:rFonts w:hint="eastAsia"/>
          <w:sz w:val="24"/>
        </w:rPr>
        <w:t>2016YFF0204404</w:t>
      </w:r>
      <w:r>
        <w:rPr>
          <w:rFonts w:hint="eastAsia"/>
          <w:sz w:val="24"/>
        </w:rPr>
        <w:t>。该标准技术归口单位为</w:t>
      </w:r>
      <w:r>
        <w:rPr>
          <w:rFonts w:hint="eastAsia"/>
          <w:sz w:val="24"/>
        </w:rPr>
        <w:t xml:space="preserve">TC548 </w:t>
      </w:r>
      <w:r>
        <w:rPr>
          <w:rFonts w:hint="eastAsia"/>
          <w:sz w:val="24"/>
        </w:rPr>
        <w:t>全国碳排放管理标准化技术委员会。</w:t>
      </w:r>
    </w:p>
    <w:p w:rsidR="000D6032" w:rsidRDefault="00974A7D" w:rsidP="00DD36B7">
      <w:pPr>
        <w:tabs>
          <w:tab w:val="left" w:pos="720"/>
          <w:tab w:val="left" w:pos="2160"/>
          <w:tab w:val="left" w:pos="2880"/>
        </w:tabs>
        <w:spacing w:line="360" w:lineRule="auto"/>
        <w:ind w:firstLineChars="200" w:firstLine="482"/>
        <w:rPr>
          <w:b/>
          <w:sz w:val="24"/>
        </w:rPr>
      </w:pPr>
      <w:r>
        <w:rPr>
          <w:rFonts w:hint="eastAsia"/>
          <w:b/>
          <w:sz w:val="24"/>
        </w:rPr>
        <w:t>3</w:t>
      </w:r>
      <w:r>
        <w:rPr>
          <w:rFonts w:hint="eastAsia"/>
          <w:b/>
          <w:sz w:val="24"/>
        </w:rPr>
        <w:t>．工作过程</w:t>
      </w:r>
    </w:p>
    <w:p w:rsidR="000D6032" w:rsidRDefault="00974A7D">
      <w:pPr>
        <w:tabs>
          <w:tab w:val="left" w:pos="720"/>
          <w:tab w:val="left" w:pos="2160"/>
          <w:tab w:val="left" w:pos="2880"/>
        </w:tabs>
        <w:spacing w:line="360" w:lineRule="auto"/>
        <w:ind w:firstLineChars="200" w:firstLine="482"/>
        <w:rPr>
          <w:b/>
          <w:sz w:val="24"/>
        </w:rPr>
      </w:pPr>
      <w:r>
        <w:rPr>
          <w:rFonts w:hint="eastAsia"/>
          <w:b/>
          <w:sz w:val="24"/>
        </w:rPr>
        <w:t>（</w:t>
      </w:r>
      <w:r>
        <w:rPr>
          <w:b/>
          <w:sz w:val="24"/>
        </w:rPr>
        <w:t>1</w:t>
      </w:r>
      <w:r>
        <w:rPr>
          <w:rFonts w:hint="eastAsia"/>
          <w:b/>
          <w:sz w:val="24"/>
        </w:rPr>
        <w:t>）前期研究</w:t>
      </w:r>
    </w:p>
    <w:p w:rsidR="000D6032" w:rsidRDefault="00974A7D">
      <w:pPr>
        <w:tabs>
          <w:tab w:val="left" w:pos="720"/>
          <w:tab w:val="left" w:pos="2160"/>
          <w:tab w:val="left" w:pos="2880"/>
        </w:tabs>
        <w:spacing w:line="360" w:lineRule="auto"/>
        <w:ind w:firstLineChars="200" w:firstLine="480"/>
        <w:rPr>
          <w:sz w:val="24"/>
        </w:rPr>
      </w:pPr>
      <w:r>
        <w:rPr>
          <w:rFonts w:hint="eastAsia"/>
          <w:sz w:val="24"/>
        </w:rPr>
        <w:t>起草组在前期工作基础上，收集分析了国际相关规范，如《温室气体</w:t>
      </w:r>
      <w:r>
        <w:rPr>
          <w:sz w:val="24"/>
        </w:rPr>
        <w:t xml:space="preserve">  </w:t>
      </w:r>
      <w:r>
        <w:rPr>
          <w:rFonts w:hint="eastAsia"/>
          <w:sz w:val="24"/>
        </w:rPr>
        <w:t>第</w:t>
      </w:r>
      <w:r>
        <w:rPr>
          <w:sz w:val="24"/>
        </w:rPr>
        <w:t>1</w:t>
      </w:r>
      <w:r>
        <w:rPr>
          <w:rFonts w:hint="eastAsia"/>
          <w:sz w:val="24"/>
        </w:rPr>
        <w:t>部分：组织层次上对温室气体排放和清除的计算与报告的规范及指南》（</w:t>
      </w:r>
      <w:r>
        <w:rPr>
          <w:sz w:val="24"/>
        </w:rPr>
        <w:t>ISO14064-1</w:t>
      </w:r>
      <w:r>
        <w:rPr>
          <w:rFonts w:hint="eastAsia"/>
          <w:sz w:val="24"/>
        </w:rPr>
        <w:t>）《温室气体</w:t>
      </w:r>
      <w:r>
        <w:rPr>
          <w:sz w:val="24"/>
        </w:rPr>
        <w:t xml:space="preserve">  </w:t>
      </w:r>
      <w:r>
        <w:rPr>
          <w:rFonts w:hint="eastAsia"/>
          <w:sz w:val="24"/>
        </w:rPr>
        <w:t>第</w:t>
      </w:r>
      <w:r>
        <w:rPr>
          <w:sz w:val="24"/>
        </w:rPr>
        <w:t>2</w:t>
      </w:r>
      <w:r>
        <w:rPr>
          <w:rFonts w:hint="eastAsia"/>
          <w:sz w:val="24"/>
        </w:rPr>
        <w:t>部分：项目层次上对温室气体减排或清除增加的计算、监测和报告的规范及指南》（</w:t>
      </w:r>
      <w:r>
        <w:rPr>
          <w:sz w:val="24"/>
        </w:rPr>
        <w:t>ISO14064-2</w:t>
      </w:r>
      <w:r>
        <w:rPr>
          <w:rFonts w:hint="eastAsia"/>
          <w:sz w:val="24"/>
        </w:rPr>
        <w:t>）、《温室气体</w:t>
      </w:r>
      <w:r>
        <w:rPr>
          <w:sz w:val="24"/>
        </w:rPr>
        <w:t xml:space="preserve">  </w:t>
      </w:r>
      <w:r>
        <w:rPr>
          <w:rFonts w:hint="eastAsia"/>
          <w:sz w:val="24"/>
        </w:rPr>
        <w:t>第</w:t>
      </w:r>
      <w:r>
        <w:rPr>
          <w:sz w:val="24"/>
        </w:rPr>
        <w:t>3</w:t>
      </w:r>
      <w:r>
        <w:rPr>
          <w:rFonts w:hint="eastAsia"/>
          <w:sz w:val="24"/>
        </w:rPr>
        <w:t>部分：温室气体声明审定与验证的规范及指南》，</w:t>
      </w:r>
      <w:r>
        <w:rPr>
          <w:sz w:val="24"/>
        </w:rPr>
        <w:t>CDM</w:t>
      </w:r>
      <w:r>
        <w:rPr>
          <w:rFonts w:hint="eastAsia"/>
          <w:sz w:val="24"/>
        </w:rPr>
        <w:t>项目方法学等。分析了我国温室气体自愿减排项目方法学</w:t>
      </w:r>
      <w:r w:rsidR="001D0637" w:rsidRPr="001D0637">
        <w:rPr>
          <w:rFonts w:hint="eastAsia"/>
          <w:sz w:val="24"/>
        </w:rPr>
        <w:t>CM-080-V01</w:t>
      </w:r>
      <w:r w:rsidR="001D0637" w:rsidRPr="001D0637">
        <w:rPr>
          <w:rFonts w:hint="eastAsia"/>
          <w:sz w:val="24"/>
        </w:rPr>
        <w:t>生物质废弃物用作纸浆、硬纸板、纤维板或生物油生产原料以避免排放方法学</w:t>
      </w:r>
      <w:r>
        <w:rPr>
          <w:rFonts w:hint="eastAsia"/>
          <w:sz w:val="24"/>
        </w:rPr>
        <w:t>。收集整理分析国内的相关文件包括：</w:t>
      </w:r>
      <w:r>
        <w:rPr>
          <w:rFonts w:hint="eastAsia"/>
          <w:color w:val="000000"/>
          <w:sz w:val="24"/>
        </w:rPr>
        <w:t>《碳排</w:t>
      </w:r>
      <w:r>
        <w:rPr>
          <w:rFonts w:hint="eastAsia"/>
          <w:color w:val="000000"/>
          <w:sz w:val="24"/>
        </w:rPr>
        <w:lastRenderedPageBreak/>
        <w:t>放权交易管理暂行办法》</w:t>
      </w:r>
      <w:r>
        <w:rPr>
          <w:rFonts w:hint="eastAsia"/>
          <w:sz w:val="24"/>
        </w:rPr>
        <w:t>、《固定资产投资项目节能评估工作指南》、中国能源统计年鉴、省级温室气体清单编制指南（试行）、相关温室气体排放核算和报告标准、节能标准（能效标准、节能量计算方法等）。</w:t>
      </w:r>
    </w:p>
    <w:p w:rsidR="000D6032" w:rsidRDefault="00974A7D">
      <w:pPr>
        <w:tabs>
          <w:tab w:val="left" w:pos="720"/>
          <w:tab w:val="left" w:pos="2160"/>
          <w:tab w:val="left" w:pos="2880"/>
        </w:tabs>
        <w:spacing w:line="360" w:lineRule="auto"/>
        <w:ind w:firstLineChars="200" w:firstLine="480"/>
        <w:rPr>
          <w:sz w:val="24"/>
        </w:rPr>
      </w:pPr>
      <w:r>
        <w:rPr>
          <w:rFonts w:hint="eastAsia"/>
          <w:sz w:val="24"/>
        </w:rPr>
        <w:t>近几年来，中国政府出台了涵盖节能减排、新能源、低碳城市建设、碳排放交易等重要领域的一系列气候变化政策文件，节能减排指标分解和相关统计、监测及考核体系建立等工作也正在逐步建立和细化。通过梳理，这些年我国对温室气体减排问题出台的主要政策、标准及措施见表</w:t>
      </w:r>
      <w:r>
        <w:rPr>
          <w:rFonts w:hint="eastAsia"/>
          <w:sz w:val="24"/>
        </w:rPr>
        <w:t>1</w:t>
      </w:r>
      <w:r>
        <w:rPr>
          <w:rFonts w:hint="eastAsia"/>
          <w:sz w:val="24"/>
        </w:rPr>
        <w:t>。</w:t>
      </w:r>
    </w:p>
    <w:p w:rsidR="000D6032" w:rsidRDefault="00974A7D">
      <w:pPr>
        <w:pStyle w:val="20"/>
        <w:spacing w:line="360" w:lineRule="auto"/>
        <w:ind w:firstLine="482"/>
        <w:jc w:val="center"/>
        <w:rPr>
          <w:b/>
          <w:color w:val="000000"/>
          <w:sz w:val="24"/>
          <w:szCs w:val="24"/>
        </w:rPr>
      </w:pPr>
      <w:r>
        <w:rPr>
          <w:rFonts w:hint="eastAsia"/>
          <w:b/>
          <w:color w:val="000000"/>
          <w:sz w:val="24"/>
          <w:szCs w:val="24"/>
        </w:rPr>
        <w:t>表</w:t>
      </w:r>
      <w:r>
        <w:rPr>
          <w:rFonts w:hint="eastAsia"/>
          <w:b/>
          <w:color w:val="000000"/>
          <w:sz w:val="24"/>
          <w:szCs w:val="24"/>
        </w:rPr>
        <w:t>1</w:t>
      </w:r>
      <w:r>
        <w:rPr>
          <w:rFonts w:hint="eastAsia"/>
          <w:b/>
          <w:color w:val="000000"/>
          <w:sz w:val="24"/>
          <w:szCs w:val="24"/>
        </w:rPr>
        <w:t>：国家温室气体减排相关政策一览表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976"/>
        <w:gridCol w:w="3878"/>
      </w:tblGrid>
      <w:tr w:rsidR="000D6032">
        <w:tc>
          <w:tcPr>
            <w:tcW w:w="1668" w:type="dxa"/>
          </w:tcPr>
          <w:p w:rsidR="000D6032" w:rsidRDefault="00974A7D">
            <w:pPr>
              <w:pStyle w:val="20"/>
              <w:spacing w:line="360" w:lineRule="auto"/>
              <w:ind w:firstLineChars="0" w:firstLine="0"/>
              <w:jc w:val="center"/>
              <w:rPr>
                <w:b/>
                <w:color w:val="000000"/>
                <w:sz w:val="24"/>
                <w:szCs w:val="24"/>
              </w:rPr>
            </w:pPr>
            <w:r>
              <w:rPr>
                <w:rFonts w:hint="eastAsia"/>
                <w:b/>
                <w:color w:val="000000"/>
                <w:sz w:val="24"/>
                <w:szCs w:val="24"/>
              </w:rPr>
              <w:t>时间</w:t>
            </w:r>
          </w:p>
        </w:tc>
        <w:tc>
          <w:tcPr>
            <w:tcW w:w="2976" w:type="dxa"/>
          </w:tcPr>
          <w:p w:rsidR="000D6032" w:rsidRDefault="00974A7D">
            <w:pPr>
              <w:pStyle w:val="20"/>
              <w:spacing w:line="360" w:lineRule="auto"/>
              <w:ind w:firstLineChars="0" w:firstLine="0"/>
              <w:jc w:val="center"/>
              <w:rPr>
                <w:b/>
                <w:color w:val="000000"/>
                <w:sz w:val="24"/>
                <w:szCs w:val="24"/>
              </w:rPr>
            </w:pPr>
            <w:r>
              <w:rPr>
                <w:rFonts w:hint="eastAsia"/>
                <w:b/>
                <w:color w:val="000000"/>
                <w:sz w:val="24"/>
                <w:szCs w:val="24"/>
              </w:rPr>
              <w:t>政策</w:t>
            </w:r>
          </w:p>
        </w:tc>
        <w:tc>
          <w:tcPr>
            <w:tcW w:w="3878" w:type="dxa"/>
          </w:tcPr>
          <w:p w:rsidR="000D6032" w:rsidRDefault="00974A7D">
            <w:pPr>
              <w:pStyle w:val="20"/>
              <w:spacing w:line="360" w:lineRule="auto"/>
              <w:ind w:firstLineChars="0" w:firstLine="0"/>
              <w:jc w:val="center"/>
              <w:rPr>
                <w:b/>
                <w:color w:val="000000"/>
                <w:sz w:val="24"/>
                <w:szCs w:val="24"/>
              </w:rPr>
            </w:pPr>
            <w:r>
              <w:rPr>
                <w:rFonts w:hint="eastAsia"/>
                <w:b/>
                <w:color w:val="000000"/>
                <w:sz w:val="24"/>
                <w:szCs w:val="24"/>
              </w:rPr>
              <w:t>措施</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3 </w:t>
            </w:r>
            <w:r>
              <w:rPr>
                <w:rFonts w:hint="eastAsia"/>
                <w:color w:val="000000"/>
                <w:sz w:val="24"/>
                <w:szCs w:val="24"/>
              </w:rPr>
              <w:t>月</w:t>
            </w:r>
            <w:r>
              <w:rPr>
                <w:rFonts w:hint="eastAsia"/>
                <w:color w:val="000000"/>
                <w:sz w:val="24"/>
                <w:szCs w:val="24"/>
              </w:rPr>
              <w:t xml:space="preserve"> </w:t>
            </w:r>
          </w:p>
          <w:p w:rsidR="000D6032" w:rsidRDefault="000D6032">
            <w:pPr>
              <w:pStyle w:val="20"/>
              <w:spacing w:line="360" w:lineRule="auto"/>
              <w:ind w:firstLineChars="0" w:firstLine="0"/>
              <w:rPr>
                <w:color w:val="000000"/>
                <w:sz w:val="24"/>
                <w:szCs w:val="24"/>
              </w:rPr>
            </w:pP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发布《国民经济和社会发展第十二个五年规划纲要》</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提出单位国内生产总值能耗和二氧化碳排放分别降低</w:t>
            </w:r>
            <w:r>
              <w:rPr>
                <w:rFonts w:hint="eastAsia"/>
                <w:color w:val="000000"/>
                <w:sz w:val="24"/>
                <w:szCs w:val="24"/>
              </w:rPr>
              <w:t>16%</w:t>
            </w:r>
            <w:r>
              <w:rPr>
                <w:rFonts w:hint="eastAsia"/>
                <w:color w:val="000000"/>
                <w:sz w:val="24"/>
                <w:szCs w:val="24"/>
              </w:rPr>
              <w:t>和</w:t>
            </w:r>
            <w:r>
              <w:rPr>
                <w:rFonts w:hint="eastAsia"/>
                <w:color w:val="000000"/>
                <w:sz w:val="24"/>
                <w:szCs w:val="24"/>
              </w:rPr>
              <w:t xml:space="preserve"> 17%</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5 </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国家发展改革委办公厅关于组织推荐重点节能技术的通知</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规定推荐技术范围和技术要求，组织筛选、推荐全国范围内的重点节能技术，推动节能减排目标实现，提高能源利用效率</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9 </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国务院《“十二五”节能减排综合性工作方案》</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包括</w:t>
            </w:r>
            <w:r>
              <w:rPr>
                <w:rFonts w:hint="eastAsia"/>
                <w:color w:val="000000"/>
                <w:sz w:val="24"/>
                <w:szCs w:val="24"/>
              </w:rPr>
              <w:t xml:space="preserve"> 50 </w:t>
            </w:r>
            <w:r>
              <w:rPr>
                <w:rFonts w:hint="eastAsia"/>
                <w:color w:val="000000"/>
                <w:sz w:val="24"/>
                <w:szCs w:val="24"/>
              </w:rPr>
              <w:t>条具体要求，涉及</w:t>
            </w:r>
            <w:r>
              <w:rPr>
                <w:rFonts w:hint="eastAsia"/>
                <w:color w:val="000000"/>
                <w:sz w:val="24"/>
                <w:szCs w:val="24"/>
              </w:rPr>
              <w:t xml:space="preserve"> 12 </w:t>
            </w:r>
            <w:r>
              <w:rPr>
                <w:rFonts w:hint="eastAsia"/>
                <w:color w:val="000000"/>
                <w:sz w:val="24"/>
                <w:szCs w:val="24"/>
              </w:rPr>
              <w:t>个方面，涵盖节能减排总体要求和主要目标、强化节能减排目标责任、调整优化产业结构、实施节能减排重点工程、推广节能减排市场化机制等</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2011</w:t>
            </w:r>
            <w:r>
              <w:rPr>
                <w:rFonts w:hint="eastAsia"/>
                <w:color w:val="000000"/>
                <w:sz w:val="24"/>
                <w:szCs w:val="24"/>
              </w:rPr>
              <w:t>年</w:t>
            </w:r>
            <w:r>
              <w:rPr>
                <w:rFonts w:hint="eastAsia"/>
                <w:color w:val="000000"/>
                <w:sz w:val="24"/>
                <w:szCs w:val="24"/>
              </w:rPr>
              <w:t>12</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国务院《“</w:t>
            </w:r>
            <w:r>
              <w:rPr>
                <w:color w:val="000000"/>
                <w:sz w:val="24"/>
                <w:szCs w:val="24"/>
              </w:rPr>
              <w:t>十二五</w:t>
            </w:r>
            <w:r>
              <w:rPr>
                <w:rFonts w:hint="eastAsia"/>
                <w:color w:val="000000"/>
                <w:sz w:val="24"/>
                <w:szCs w:val="24"/>
              </w:rPr>
              <w:t>”</w:t>
            </w:r>
            <w:r>
              <w:rPr>
                <w:color w:val="000000"/>
                <w:sz w:val="24"/>
                <w:szCs w:val="24"/>
              </w:rPr>
              <w:t>控制温室气体排放工作方案</w:t>
            </w:r>
            <w:r>
              <w:rPr>
                <w:rFonts w:hint="eastAsia"/>
                <w:color w:val="000000"/>
                <w:sz w:val="24"/>
                <w:szCs w:val="24"/>
              </w:rPr>
              <w:t>》</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提出</w:t>
            </w:r>
            <w:r>
              <w:rPr>
                <w:color w:val="000000"/>
                <w:sz w:val="24"/>
                <w:szCs w:val="24"/>
              </w:rPr>
              <w:t>控制非能源活动二氧化碳排放和甲烷、氧化亚氮、氢氟碳化物、全氟化碳、六氟化硫等温室气体排放取得成效。</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2012</w:t>
            </w:r>
            <w:r>
              <w:rPr>
                <w:rFonts w:hint="eastAsia"/>
                <w:color w:val="000000"/>
                <w:sz w:val="24"/>
                <w:szCs w:val="24"/>
              </w:rPr>
              <w:t>年</w:t>
            </w:r>
            <w:r>
              <w:rPr>
                <w:rFonts w:hint="eastAsia"/>
                <w:color w:val="000000"/>
                <w:sz w:val="24"/>
                <w:szCs w:val="24"/>
              </w:rPr>
              <w:t>6</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color w:val="000000"/>
                <w:sz w:val="24"/>
                <w:szCs w:val="24"/>
              </w:rPr>
              <w:t>温室气体自愿减排交易管理暂行办法</w:t>
            </w:r>
          </w:p>
        </w:tc>
        <w:tc>
          <w:tcPr>
            <w:tcW w:w="3878" w:type="dxa"/>
          </w:tcPr>
          <w:p w:rsidR="000D6032" w:rsidRDefault="000D6032">
            <w:pPr>
              <w:pStyle w:val="20"/>
              <w:spacing w:line="360" w:lineRule="auto"/>
              <w:ind w:firstLineChars="0" w:firstLine="0"/>
              <w:rPr>
                <w:color w:val="000000"/>
                <w:sz w:val="24"/>
                <w:szCs w:val="24"/>
              </w:rPr>
            </w:pPr>
          </w:p>
        </w:tc>
      </w:tr>
      <w:tr w:rsidR="000D6032">
        <w:tc>
          <w:tcPr>
            <w:tcW w:w="1668" w:type="dxa"/>
          </w:tcPr>
          <w:p w:rsidR="000D6032" w:rsidRDefault="00974A7D" w:rsidP="002A19AE">
            <w:pPr>
              <w:pStyle w:val="20"/>
              <w:tabs>
                <w:tab w:val="center" w:pos="726"/>
              </w:tabs>
              <w:spacing w:line="360" w:lineRule="auto"/>
              <w:ind w:firstLineChars="0" w:firstLine="0"/>
              <w:rPr>
                <w:color w:val="000000"/>
                <w:sz w:val="24"/>
                <w:szCs w:val="24"/>
              </w:rPr>
            </w:pPr>
            <w:r>
              <w:rPr>
                <w:rFonts w:hint="eastAsia"/>
                <w:color w:val="000000"/>
                <w:sz w:val="24"/>
                <w:szCs w:val="24"/>
              </w:rPr>
              <w:t>201</w:t>
            </w:r>
            <w:r w:rsidR="002A19AE">
              <w:rPr>
                <w:rFonts w:hint="eastAsia"/>
                <w:color w:val="000000"/>
                <w:sz w:val="24"/>
                <w:szCs w:val="24"/>
              </w:rPr>
              <w:t>4</w:t>
            </w:r>
            <w:r>
              <w:rPr>
                <w:rFonts w:hint="eastAsia"/>
                <w:color w:val="000000"/>
                <w:sz w:val="24"/>
                <w:szCs w:val="24"/>
              </w:rPr>
              <w:t>年</w:t>
            </w:r>
            <w:r>
              <w:rPr>
                <w:rFonts w:hint="eastAsia"/>
                <w:color w:val="000000"/>
                <w:sz w:val="24"/>
                <w:szCs w:val="24"/>
              </w:rPr>
              <w:tab/>
            </w:r>
            <w:r w:rsidR="002A19AE">
              <w:rPr>
                <w:rFonts w:hint="eastAsia"/>
                <w:color w:val="000000"/>
                <w:sz w:val="24"/>
                <w:szCs w:val="24"/>
              </w:rPr>
              <w:t>1</w:t>
            </w:r>
            <w:r>
              <w:rPr>
                <w:rFonts w:hint="eastAsia"/>
                <w:color w:val="000000"/>
                <w:sz w:val="24"/>
                <w:szCs w:val="24"/>
              </w:rPr>
              <w:t>月</w:t>
            </w:r>
          </w:p>
        </w:tc>
        <w:tc>
          <w:tcPr>
            <w:tcW w:w="2976" w:type="dxa"/>
          </w:tcPr>
          <w:p w:rsidR="000D6032" w:rsidRDefault="00974A7D" w:rsidP="00613549">
            <w:pPr>
              <w:pStyle w:val="20"/>
              <w:spacing w:line="360" w:lineRule="auto"/>
              <w:ind w:firstLineChars="0" w:firstLine="0"/>
              <w:rPr>
                <w:color w:val="000000"/>
                <w:sz w:val="24"/>
                <w:szCs w:val="24"/>
              </w:rPr>
            </w:pPr>
            <w:r>
              <w:rPr>
                <w:color w:val="000000"/>
                <w:sz w:val="24"/>
                <w:szCs w:val="24"/>
              </w:rPr>
              <w:t>CM-0</w:t>
            </w:r>
            <w:r w:rsidR="00613549">
              <w:rPr>
                <w:rFonts w:hint="eastAsia"/>
                <w:color w:val="000000"/>
                <w:sz w:val="24"/>
                <w:szCs w:val="24"/>
              </w:rPr>
              <w:t>80</w:t>
            </w:r>
            <w:r>
              <w:rPr>
                <w:color w:val="000000"/>
                <w:sz w:val="24"/>
                <w:szCs w:val="24"/>
              </w:rPr>
              <w:t xml:space="preserve">-V01 </w:t>
            </w:r>
            <w:r w:rsidR="002A19AE" w:rsidRPr="002A19AE">
              <w:rPr>
                <w:rFonts w:hint="eastAsia"/>
                <w:color w:val="000000"/>
                <w:sz w:val="24"/>
                <w:szCs w:val="24"/>
              </w:rPr>
              <w:t>生物质废弃物用作纸浆、硬纸板、纤维</w:t>
            </w:r>
            <w:r w:rsidR="002A19AE" w:rsidRPr="002A19AE">
              <w:rPr>
                <w:rFonts w:hint="eastAsia"/>
                <w:color w:val="000000"/>
                <w:sz w:val="24"/>
                <w:szCs w:val="24"/>
              </w:rPr>
              <w:lastRenderedPageBreak/>
              <w:t>板或生物油生产原料以避免排</w:t>
            </w:r>
            <w:r w:rsidR="00963F4B">
              <w:rPr>
                <w:rFonts w:hint="eastAsia"/>
                <w:color w:val="000000"/>
                <w:sz w:val="24"/>
                <w:szCs w:val="24"/>
              </w:rPr>
              <w:t>放</w:t>
            </w:r>
          </w:p>
        </w:tc>
        <w:tc>
          <w:tcPr>
            <w:tcW w:w="3878" w:type="dxa"/>
          </w:tcPr>
          <w:p w:rsidR="000D6032" w:rsidRDefault="000D6032">
            <w:pPr>
              <w:pStyle w:val="20"/>
              <w:spacing w:line="360" w:lineRule="auto"/>
              <w:ind w:firstLineChars="0" w:firstLine="0"/>
              <w:rPr>
                <w:color w:val="000000"/>
                <w:sz w:val="24"/>
                <w:szCs w:val="24"/>
              </w:rPr>
            </w:pP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2014</w:t>
            </w:r>
            <w:r>
              <w:rPr>
                <w:rFonts w:hint="eastAsia"/>
                <w:color w:val="000000"/>
                <w:sz w:val="24"/>
                <w:szCs w:val="24"/>
              </w:rPr>
              <w:t>年</w:t>
            </w:r>
            <w:r>
              <w:rPr>
                <w:rFonts w:hint="eastAsia"/>
                <w:color w:val="000000"/>
                <w:sz w:val="24"/>
                <w:szCs w:val="24"/>
              </w:rPr>
              <w:t>9</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国家发改委印发</w:t>
            </w:r>
            <w:r>
              <w:rPr>
                <w:color w:val="000000"/>
                <w:sz w:val="24"/>
                <w:szCs w:val="24"/>
              </w:rPr>
              <w:t>《国家应对气候变化规划（</w:t>
            </w:r>
            <w:r>
              <w:rPr>
                <w:color w:val="000000"/>
                <w:sz w:val="24"/>
                <w:szCs w:val="24"/>
              </w:rPr>
              <w:t>2014-2020</w:t>
            </w:r>
            <w:r>
              <w:rPr>
                <w:color w:val="000000"/>
                <w:sz w:val="24"/>
                <w:szCs w:val="24"/>
              </w:rPr>
              <w:t>年）》</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实施工业应对气候变化行动计划，到</w:t>
            </w:r>
            <w:r>
              <w:rPr>
                <w:color w:val="000000"/>
                <w:sz w:val="24"/>
                <w:szCs w:val="24"/>
              </w:rPr>
              <w:t>2020</w:t>
            </w:r>
            <w:r>
              <w:rPr>
                <w:rFonts w:hint="eastAsia"/>
                <w:color w:val="000000"/>
                <w:sz w:val="24"/>
                <w:szCs w:val="24"/>
              </w:rPr>
              <w:t>年，单位工业增加值二氧化碳排放比</w:t>
            </w:r>
            <w:r>
              <w:rPr>
                <w:color w:val="000000"/>
                <w:sz w:val="24"/>
                <w:szCs w:val="24"/>
              </w:rPr>
              <w:t>2005</w:t>
            </w:r>
            <w:r>
              <w:rPr>
                <w:rFonts w:hint="eastAsia"/>
                <w:color w:val="000000"/>
                <w:sz w:val="24"/>
                <w:szCs w:val="24"/>
              </w:rPr>
              <w:t>年下降</w:t>
            </w:r>
            <w:r>
              <w:rPr>
                <w:color w:val="000000"/>
                <w:sz w:val="24"/>
                <w:szCs w:val="24"/>
              </w:rPr>
              <w:t>50%</w:t>
            </w:r>
            <w:r>
              <w:rPr>
                <w:rFonts w:hint="eastAsia"/>
                <w:color w:val="000000"/>
                <w:sz w:val="24"/>
                <w:szCs w:val="24"/>
              </w:rPr>
              <w:t>左右。</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2014</w:t>
            </w:r>
            <w:r>
              <w:rPr>
                <w:rFonts w:hint="eastAsia"/>
                <w:color w:val="000000"/>
                <w:sz w:val="24"/>
                <w:szCs w:val="24"/>
              </w:rPr>
              <w:t>年</w:t>
            </w:r>
            <w:r>
              <w:rPr>
                <w:rFonts w:hint="eastAsia"/>
                <w:color w:val="000000"/>
                <w:sz w:val="24"/>
                <w:szCs w:val="24"/>
              </w:rPr>
              <w:t>12</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《碳排放权交易管理暂行办法》出台</w:t>
            </w:r>
          </w:p>
        </w:tc>
        <w:tc>
          <w:tcPr>
            <w:tcW w:w="3878" w:type="dxa"/>
          </w:tcPr>
          <w:p w:rsidR="000D6032" w:rsidRDefault="000D6032">
            <w:pPr>
              <w:pStyle w:val="20"/>
              <w:spacing w:line="360" w:lineRule="auto"/>
              <w:ind w:firstLineChars="0" w:firstLine="0"/>
              <w:rPr>
                <w:color w:val="000000"/>
                <w:sz w:val="24"/>
                <w:szCs w:val="24"/>
              </w:rPr>
            </w:pP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r>
              <w:rPr>
                <w:rFonts w:hint="eastAsia"/>
                <w:color w:val="000000"/>
                <w:sz w:val="24"/>
                <w:szCs w:val="24"/>
              </w:rPr>
              <w:t>6</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中国政府向公约秘书处提交了应对气候变化国家自主贡献文件《强化应对气候变化——中国国家自主贡献》</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中国确定的到</w:t>
            </w:r>
            <w:r>
              <w:rPr>
                <w:rFonts w:hint="eastAsia"/>
                <w:color w:val="000000"/>
                <w:sz w:val="24"/>
                <w:szCs w:val="24"/>
              </w:rPr>
              <w:t>2030</w:t>
            </w:r>
            <w:r>
              <w:rPr>
                <w:rFonts w:hint="eastAsia"/>
                <w:color w:val="000000"/>
                <w:sz w:val="24"/>
                <w:szCs w:val="24"/>
              </w:rPr>
              <w:t>年的自主行动目标是：二氧化碳排放</w:t>
            </w:r>
            <w:r>
              <w:rPr>
                <w:rFonts w:hint="eastAsia"/>
                <w:color w:val="000000"/>
                <w:sz w:val="24"/>
                <w:szCs w:val="24"/>
              </w:rPr>
              <w:t>2030</w:t>
            </w:r>
            <w:r>
              <w:rPr>
                <w:rFonts w:hint="eastAsia"/>
                <w:color w:val="000000"/>
                <w:sz w:val="24"/>
                <w:szCs w:val="24"/>
              </w:rPr>
              <w:t>年左右达到峰值并争取尽早达峰；单位国内生产总值二氧化碳排放比</w:t>
            </w:r>
            <w:r>
              <w:rPr>
                <w:rFonts w:hint="eastAsia"/>
                <w:color w:val="000000"/>
                <w:sz w:val="24"/>
                <w:szCs w:val="24"/>
              </w:rPr>
              <w:t>2005</w:t>
            </w:r>
            <w:r>
              <w:rPr>
                <w:rFonts w:hint="eastAsia"/>
                <w:color w:val="000000"/>
                <w:sz w:val="24"/>
                <w:szCs w:val="24"/>
              </w:rPr>
              <w:t>年下降</w:t>
            </w:r>
            <w:r>
              <w:rPr>
                <w:rFonts w:hint="eastAsia"/>
                <w:color w:val="000000"/>
                <w:sz w:val="24"/>
                <w:szCs w:val="24"/>
              </w:rPr>
              <w:t>60%-65%</w:t>
            </w:r>
            <w:r>
              <w:rPr>
                <w:rFonts w:hint="eastAsia"/>
                <w:color w:val="000000"/>
                <w:sz w:val="24"/>
                <w:szCs w:val="24"/>
              </w:rPr>
              <w:t>。</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 xml:space="preserve">GB/T  32150-2015 </w:t>
            </w:r>
            <w:r>
              <w:rPr>
                <w:rFonts w:hint="eastAsia"/>
                <w:color w:val="000000"/>
                <w:sz w:val="24"/>
                <w:szCs w:val="24"/>
              </w:rPr>
              <w:t>工业企业温室气体排放核算和报告通则</w:t>
            </w:r>
          </w:p>
        </w:tc>
        <w:tc>
          <w:tcPr>
            <w:tcW w:w="3878" w:type="dxa"/>
          </w:tcPr>
          <w:p w:rsidR="000D6032" w:rsidRDefault="000D6032">
            <w:pPr>
              <w:pStyle w:val="20"/>
              <w:spacing w:line="360" w:lineRule="auto"/>
              <w:ind w:firstLineChars="0" w:firstLine="0"/>
              <w:rPr>
                <w:color w:val="000000"/>
                <w:sz w:val="24"/>
                <w:szCs w:val="24"/>
              </w:rPr>
            </w:pP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2016</w:t>
            </w:r>
            <w:r>
              <w:rPr>
                <w:rFonts w:hint="eastAsia"/>
                <w:color w:val="000000"/>
                <w:sz w:val="24"/>
                <w:szCs w:val="24"/>
              </w:rPr>
              <w:t>年</w:t>
            </w:r>
            <w:r>
              <w:rPr>
                <w:rFonts w:hint="eastAsia"/>
                <w:color w:val="000000"/>
                <w:sz w:val="24"/>
                <w:szCs w:val="24"/>
              </w:rPr>
              <w:t>10</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国务院《“十三五”节能减排综合性工作方案》</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提出主要目标：到</w:t>
            </w:r>
            <w:r>
              <w:rPr>
                <w:rFonts w:hint="eastAsia"/>
                <w:color w:val="000000"/>
                <w:sz w:val="24"/>
                <w:szCs w:val="24"/>
              </w:rPr>
              <w:t>2020</w:t>
            </w:r>
            <w:r>
              <w:rPr>
                <w:rFonts w:hint="eastAsia"/>
                <w:color w:val="000000"/>
                <w:sz w:val="24"/>
                <w:szCs w:val="24"/>
              </w:rPr>
              <w:t>年，单位国内生产总值二氧化碳排放比</w:t>
            </w:r>
            <w:r>
              <w:rPr>
                <w:rFonts w:hint="eastAsia"/>
                <w:color w:val="000000"/>
                <w:sz w:val="24"/>
                <w:szCs w:val="24"/>
              </w:rPr>
              <w:t>2015</w:t>
            </w:r>
            <w:r>
              <w:rPr>
                <w:rFonts w:hint="eastAsia"/>
                <w:color w:val="000000"/>
                <w:sz w:val="24"/>
                <w:szCs w:val="24"/>
              </w:rPr>
              <w:t>年下降</w:t>
            </w:r>
            <w:r>
              <w:rPr>
                <w:rFonts w:hint="eastAsia"/>
                <w:color w:val="000000"/>
                <w:sz w:val="24"/>
                <w:szCs w:val="24"/>
              </w:rPr>
              <w:t>18%</w:t>
            </w:r>
            <w:r>
              <w:rPr>
                <w:rFonts w:hint="eastAsia"/>
                <w:color w:val="000000"/>
                <w:sz w:val="24"/>
                <w:szCs w:val="24"/>
              </w:rPr>
              <w:t>，碳排放总量得到有效控制。氢氟碳化物、甲烷、氧化亚氮、全氟化碳、六氟化硫等非二氧化碳温室气体控排力度进一步加大。全国碳排放权交易市场启动运行，应对气候变化法律法规和标准体系初步建立，统计核算、评价考核和责任追究制度得到健全，低碳试点示范不断深化，减污减碳协同作用进一步加强，公众低碳意识明显提升。</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2017</w:t>
            </w:r>
            <w:r>
              <w:rPr>
                <w:rFonts w:hint="eastAsia"/>
                <w:color w:val="000000"/>
                <w:sz w:val="24"/>
                <w:szCs w:val="24"/>
              </w:rPr>
              <w:t>年</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 xml:space="preserve">GB/T  33760-2017  </w:t>
            </w:r>
            <w:r>
              <w:rPr>
                <w:rFonts w:hint="eastAsia"/>
                <w:color w:val="000000"/>
                <w:sz w:val="24"/>
                <w:szCs w:val="24"/>
              </w:rPr>
              <w:t>《基于项目的温室气体减排量</w:t>
            </w:r>
            <w:r>
              <w:rPr>
                <w:rFonts w:hint="eastAsia"/>
                <w:color w:val="000000"/>
                <w:sz w:val="24"/>
                <w:szCs w:val="24"/>
              </w:rPr>
              <w:lastRenderedPageBreak/>
              <w:t>评估技术规范》</w:t>
            </w:r>
            <w:r>
              <w:rPr>
                <w:rFonts w:hint="eastAsia"/>
                <w:color w:val="000000"/>
                <w:sz w:val="24"/>
                <w:szCs w:val="24"/>
              </w:rPr>
              <w:t xml:space="preserve">  </w:t>
            </w:r>
            <w:r>
              <w:rPr>
                <w:rFonts w:hint="eastAsia"/>
                <w:color w:val="000000"/>
                <w:sz w:val="24"/>
                <w:szCs w:val="24"/>
              </w:rPr>
              <w:t>通用要求</w:t>
            </w:r>
            <w:r>
              <w:rPr>
                <w:rFonts w:hint="eastAsia"/>
                <w:color w:val="000000"/>
                <w:sz w:val="24"/>
                <w:szCs w:val="24"/>
              </w:rPr>
              <w:t xml:space="preserve"> </w:t>
            </w:r>
            <w:r>
              <w:rPr>
                <w:rFonts w:hint="eastAsia"/>
                <w:color w:val="000000"/>
                <w:sz w:val="24"/>
                <w:szCs w:val="24"/>
              </w:rPr>
              <w:t>标准发布</w:t>
            </w:r>
          </w:p>
        </w:tc>
        <w:tc>
          <w:tcPr>
            <w:tcW w:w="3878" w:type="dxa"/>
          </w:tcPr>
          <w:p w:rsidR="000D6032" w:rsidRDefault="000D6032">
            <w:pPr>
              <w:pStyle w:val="20"/>
              <w:spacing w:line="360" w:lineRule="auto"/>
              <w:ind w:firstLineChars="0" w:firstLine="0"/>
              <w:rPr>
                <w:color w:val="000000"/>
                <w:sz w:val="24"/>
                <w:szCs w:val="24"/>
              </w:rPr>
            </w:pPr>
          </w:p>
        </w:tc>
      </w:tr>
    </w:tbl>
    <w:p w:rsidR="000D6032" w:rsidRDefault="00974A7D">
      <w:pPr>
        <w:tabs>
          <w:tab w:val="left" w:pos="720"/>
          <w:tab w:val="left" w:pos="2160"/>
          <w:tab w:val="left" w:pos="2880"/>
        </w:tabs>
        <w:spacing w:line="360" w:lineRule="auto"/>
        <w:ind w:firstLineChars="200" w:firstLine="480"/>
        <w:rPr>
          <w:sz w:val="24"/>
        </w:rPr>
      </w:pPr>
      <w:r>
        <w:rPr>
          <w:rFonts w:hint="eastAsia"/>
          <w:sz w:val="24"/>
        </w:rPr>
        <w:t>截至</w:t>
      </w:r>
      <w:r>
        <w:rPr>
          <w:rFonts w:hint="eastAsia"/>
          <w:sz w:val="24"/>
        </w:rPr>
        <w:t>2016</w:t>
      </w:r>
      <w:r>
        <w:rPr>
          <w:rFonts w:hint="eastAsia"/>
          <w:sz w:val="24"/>
        </w:rPr>
        <w:t>年</w:t>
      </w:r>
      <w:r>
        <w:rPr>
          <w:rFonts w:hint="eastAsia"/>
          <w:sz w:val="24"/>
        </w:rPr>
        <w:t>12</w:t>
      </w:r>
      <w:r>
        <w:rPr>
          <w:rFonts w:hint="eastAsia"/>
          <w:sz w:val="24"/>
        </w:rPr>
        <w:t>月，共转化了常规项目自愿减排方法学</w:t>
      </w:r>
      <w:r>
        <w:rPr>
          <w:rFonts w:hint="eastAsia"/>
          <w:sz w:val="24"/>
        </w:rPr>
        <w:t>95</w:t>
      </w:r>
      <w:r>
        <w:rPr>
          <w:rFonts w:hint="eastAsia"/>
          <w:sz w:val="24"/>
        </w:rPr>
        <w:t>个、农林项目自愿减排方法学</w:t>
      </w:r>
      <w:r>
        <w:rPr>
          <w:rFonts w:hint="eastAsia"/>
          <w:sz w:val="24"/>
        </w:rPr>
        <w:t>4</w:t>
      </w:r>
      <w:r>
        <w:rPr>
          <w:rFonts w:hint="eastAsia"/>
          <w:sz w:val="24"/>
        </w:rPr>
        <w:t>个、小型项目自愿减排方法学</w:t>
      </w:r>
      <w:r>
        <w:rPr>
          <w:rFonts w:hint="eastAsia"/>
          <w:sz w:val="24"/>
        </w:rPr>
        <w:t>78</w:t>
      </w:r>
      <w:r>
        <w:rPr>
          <w:rFonts w:hint="eastAsia"/>
          <w:sz w:val="24"/>
        </w:rPr>
        <w:t>个，新开发自愿减排方法学</w:t>
      </w:r>
      <w:r>
        <w:rPr>
          <w:rFonts w:hint="eastAsia"/>
          <w:sz w:val="24"/>
        </w:rPr>
        <w:t>23</w:t>
      </w:r>
      <w:r>
        <w:rPr>
          <w:rFonts w:hint="eastAsia"/>
          <w:sz w:val="24"/>
        </w:rPr>
        <w:t>个。</w:t>
      </w:r>
      <w:r>
        <w:rPr>
          <w:sz w:val="24"/>
        </w:rPr>
        <w:t>目前这些适用项目领域基本涵盖了所有的联合国</w:t>
      </w:r>
      <w:r>
        <w:rPr>
          <w:rFonts w:hint="eastAsia"/>
          <w:sz w:val="24"/>
        </w:rPr>
        <w:t>CDM</w:t>
      </w:r>
      <w:r>
        <w:rPr>
          <w:sz w:val="24"/>
        </w:rPr>
        <w:t>方法学范围。</w:t>
      </w:r>
      <w:r>
        <w:rPr>
          <w:rFonts w:hint="eastAsia"/>
          <w:sz w:val="24"/>
        </w:rPr>
        <w:t>可以发现，除了农林项目（</w:t>
      </w:r>
      <w:r>
        <w:rPr>
          <w:rFonts w:hint="eastAsia"/>
          <w:sz w:val="24"/>
        </w:rPr>
        <w:t>4</w:t>
      </w:r>
      <w:r>
        <w:rPr>
          <w:rFonts w:hint="eastAsia"/>
          <w:sz w:val="24"/>
        </w:rPr>
        <w:t>个）和第</w:t>
      </w:r>
      <w:r>
        <w:rPr>
          <w:rFonts w:hint="eastAsia"/>
          <w:sz w:val="24"/>
        </w:rPr>
        <w:t>4</w:t>
      </w:r>
      <w:r>
        <w:rPr>
          <w:rFonts w:hint="eastAsia"/>
          <w:sz w:val="24"/>
        </w:rPr>
        <w:t>、</w:t>
      </w:r>
      <w:r>
        <w:rPr>
          <w:rFonts w:hint="eastAsia"/>
          <w:sz w:val="24"/>
        </w:rPr>
        <w:t>5</w:t>
      </w:r>
      <w:r>
        <w:rPr>
          <w:rFonts w:hint="eastAsia"/>
          <w:sz w:val="24"/>
        </w:rPr>
        <w:t>批发布的</w:t>
      </w:r>
      <w:r>
        <w:rPr>
          <w:rFonts w:hint="eastAsia"/>
          <w:sz w:val="24"/>
        </w:rPr>
        <w:t>4</w:t>
      </w:r>
      <w:r>
        <w:rPr>
          <w:rFonts w:hint="eastAsia"/>
          <w:sz w:val="24"/>
        </w:rPr>
        <w:t>个方法学外，其他均转化自</w:t>
      </w:r>
      <w:r>
        <w:rPr>
          <w:rFonts w:hint="eastAsia"/>
          <w:sz w:val="24"/>
        </w:rPr>
        <w:t>CDM</w:t>
      </w:r>
      <w:r>
        <w:rPr>
          <w:rFonts w:hint="eastAsia"/>
          <w:sz w:val="24"/>
        </w:rPr>
        <w:t>方法学。</w:t>
      </w:r>
    </w:p>
    <w:p w:rsidR="000D6032" w:rsidRDefault="00974A7D">
      <w:pPr>
        <w:tabs>
          <w:tab w:val="left" w:pos="720"/>
          <w:tab w:val="left" w:pos="2160"/>
          <w:tab w:val="left" w:pos="2880"/>
        </w:tabs>
        <w:spacing w:line="360" w:lineRule="auto"/>
        <w:ind w:firstLineChars="200" w:firstLine="480"/>
        <w:rPr>
          <w:sz w:val="24"/>
        </w:rPr>
      </w:pPr>
      <w:r>
        <w:rPr>
          <w:rFonts w:hint="eastAsia"/>
          <w:sz w:val="24"/>
        </w:rPr>
        <w:t>具体到方法学应用方面，表</w:t>
      </w:r>
      <w:r>
        <w:rPr>
          <w:rFonts w:hint="eastAsia"/>
          <w:sz w:val="24"/>
        </w:rPr>
        <w:t>2</w:t>
      </w:r>
      <w:r>
        <w:rPr>
          <w:rFonts w:hint="eastAsia"/>
          <w:sz w:val="24"/>
        </w:rPr>
        <w:t>给出了截止</w:t>
      </w:r>
      <w:r>
        <w:rPr>
          <w:rFonts w:hint="eastAsia"/>
          <w:sz w:val="24"/>
        </w:rPr>
        <w:t>2015</w:t>
      </w:r>
      <w:r>
        <w:rPr>
          <w:rFonts w:hint="eastAsia"/>
          <w:sz w:val="24"/>
        </w:rPr>
        <w:t>年</w:t>
      </w:r>
      <w:r>
        <w:rPr>
          <w:rFonts w:hint="eastAsia"/>
          <w:sz w:val="24"/>
        </w:rPr>
        <w:t>9</w:t>
      </w:r>
      <w:r>
        <w:rPr>
          <w:rFonts w:hint="eastAsia"/>
          <w:sz w:val="24"/>
        </w:rPr>
        <w:t>月自愿减排项目方法学使用情况。总计</w:t>
      </w:r>
      <w:r>
        <w:rPr>
          <w:rFonts w:hint="eastAsia"/>
          <w:sz w:val="24"/>
        </w:rPr>
        <w:t>1153</w:t>
      </w:r>
      <w:r>
        <w:rPr>
          <w:rFonts w:hint="eastAsia"/>
          <w:sz w:val="24"/>
        </w:rPr>
        <w:t>个项目，其中常规项目方法学</w:t>
      </w:r>
      <w:r>
        <w:rPr>
          <w:rFonts w:hint="eastAsia"/>
          <w:sz w:val="24"/>
        </w:rPr>
        <w:t>771</w:t>
      </w:r>
      <w:r>
        <w:rPr>
          <w:rFonts w:hint="eastAsia"/>
          <w:sz w:val="24"/>
        </w:rPr>
        <w:t>个，小型项目方法学</w:t>
      </w:r>
      <w:r>
        <w:rPr>
          <w:rFonts w:hint="eastAsia"/>
          <w:sz w:val="24"/>
        </w:rPr>
        <w:t>382</w:t>
      </w:r>
      <w:r>
        <w:rPr>
          <w:rFonts w:hint="eastAsia"/>
          <w:sz w:val="24"/>
        </w:rPr>
        <w:t>个。可以看到，各方法学应用很不均衡。</w:t>
      </w:r>
      <w:r>
        <w:rPr>
          <w:rFonts w:hint="eastAsia"/>
          <w:sz w:val="24"/>
        </w:rPr>
        <w:t>99</w:t>
      </w:r>
      <w:r>
        <w:rPr>
          <w:rFonts w:hint="eastAsia"/>
          <w:sz w:val="24"/>
        </w:rPr>
        <w:t>个常规项目方法学只有</w:t>
      </w:r>
      <w:r>
        <w:rPr>
          <w:rFonts w:hint="eastAsia"/>
          <w:sz w:val="24"/>
        </w:rPr>
        <w:t>21</w:t>
      </w:r>
      <w:r>
        <w:rPr>
          <w:rFonts w:hint="eastAsia"/>
          <w:sz w:val="24"/>
        </w:rPr>
        <w:t>个得到应用（约占</w:t>
      </w:r>
      <w:r>
        <w:rPr>
          <w:rFonts w:hint="eastAsia"/>
          <w:sz w:val="24"/>
        </w:rPr>
        <w:t>20%</w:t>
      </w:r>
      <w:r>
        <w:rPr>
          <w:rFonts w:hint="eastAsia"/>
          <w:sz w:val="24"/>
        </w:rPr>
        <w:t>），</w:t>
      </w:r>
      <w:r>
        <w:rPr>
          <w:rFonts w:hint="eastAsia"/>
          <w:sz w:val="24"/>
        </w:rPr>
        <w:t>78</w:t>
      </w:r>
      <w:r>
        <w:rPr>
          <w:rFonts w:hint="eastAsia"/>
          <w:sz w:val="24"/>
        </w:rPr>
        <w:t>个小型项目方法学只有</w:t>
      </w:r>
      <w:r>
        <w:rPr>
          <w:rFonts w:hint="eastAsia"/>
          <w:sz w:val="24"/>
        </w:rPr>
        <w:t>9</w:t>
      </w:r>
      <w:r>
        <w:rPr>
          <w:rFonts w:hint="eastAsia"/>
          <w:sz w:val="24"/>
        </w:rPr>
        <w:t>个得到应用（约占</w:t>
      </w:r>
      <w:r>
        <w:rPr>
          <w:rFonts w:hint="eastAsia"/>
          <w:sz w:val="24"/>
        </w:rPr>
        <w:t>12%</w:t>
      </w:r>
      <w:r>
        <w:rPr>
          <w:rFonts w:hint="eastAsia"/>
          <w:sz w:val="24"/>
        </w:rPr>
        <w:t>），应用的项目数量也存在巨大差异。</w:t>
      </w:r>
    </w:p>
    <w:p w:rsidR="000D6032" w:rsidRDefault="00974A7D">
      <w:pPr>
        <w:autoSpaceDE w:val="0"/>
        <w:autoSpaceDN w:val="0"/>
        <w:adjustRightInd w:val="0"/>
        <w:spacing w:line="360" w:lineRule="auto"/>
        <w:ind w:firstLineChars="200" w:firstLine="482"/>
        <w:jc w:val="center"/>
        <w:rPr>
          <w:rFonts w:ascii="宋体" w:hAnsi="宋体"/>
          <w:b/>
          <w:sz w:val="24"/>
        </w:rPr>
      </w:pPr>
      <w:r>
        <w:rPr>
          <w:rFonts w:ascii="宋体" w:hAnsi="宋体" w:hint="eastAsia"/>
          <w:b/>
          <w:sz w:val="24"/>
        </w:rPr>
        <w:t>表2 自愿减排项目方法学使用情况汇总表</w:t>
      </w:r>
    </w:p>
    <w:tbl>
      <w:tblPr>
        <w:tblW w:w="9020" w:type="dxa"/>
        <w:tblInd w:w="103" w:type="dxa"/>
        <w:tblLayout w:type="fixed"/>
        <w:tblLook w:val="04A0" w:firstRow="1" w:lastRow="0" w:firstColumn="1" w:lastColumn="0" w:noHBand="0" w:noVBand="1"/>
      </w:tblPr>
      <w:tblGrid>
        <w:gridCol w:w="960"/>
        <w:gridCol w:w="1220"/>
        <w:gridCol w:w="1560"/>
        <w:gridCol w:w="3700"/>
        <w:gridCol w:w="1580"/>
      </w:tblGrid>
      <w:tr w:rsidR="000D6032">
        <w:trPr>
          <w:trHeight w:val="540"/>
        </w:trPr>
        <w:tc>
          <w:tcPr>
            <w:tcW w:w="960" w:type="dxa"/>
            <w:tcBorders>
              <w:top w:val="single" w:sz="4" w:space="0" w:color="auto"/>
              <w:left w:val="single" w:sz="4" w:space="0" w:color="auto"/>
              <w:bottom w:val="single" w:sz="4" w:space="0" w:color="auto"/>
              <w:right w:val="single" w:sz="4" w:space="0" w:color="auto"/>
            </w:tcBorders>
            <w:shd w:val="clear" w:color="000000" w:fill="D8D8D8"/>
            <w:vAlign w:val="center"/>
          </w:tcPr>
          <w:p w:rsidR="000D6032" w:rsidRDefault="00974A7D">
            <w:pPr>
              <w:widowControl/>
              <w:jc w:val="center"/>
              <w:rPr>
                <w:rFonts w:ascii="Arial" w:hAnsi="Arial" w:cs="Arial"/>
                <w:b/>
                <w:bCs/>
                <w:kern w:val="0"/>
                <w:sz w:val="20"/>
                <w:szCs w:val="20"/>
              </w:rPr>
            </w:pPr>
            <w:r>
              <w:rPr>
                <w:rFonts w:ascii="Arial" w:hAnsi="Arial" w:cs="Arial"/>
                <w:b/>
                <w:bCs/>
                <w:kern w:val="0"/>
                <w:sz w:val="20"/>
                <w:szCs w:val="20"/>
              </w:rPr>
              <w:t>序号</w:t>
            </w:r>
          </w:p>
        </w:tc>
        <w:tc>
          <w:tcPr>
            <w:tcW w:w="1220" w:type="dxa"/>
            <w:tcBorders>
              <w:top w:val="single" w:sz="4" w:space="0" w:color="auto"/>
              <w:left w:val="nil"/>
              <w:bottom w:val="single" w:sz="4" w:space="0" w:color="auto"/>
              <w:right w:val="single" w:sz="4" w:space="0" w:color="auto"/>
            </w:tcBorders>
            <w:shd w:val="clear" w:color="000000" w:fill="D8D8D8"/>
            <w:vAlign w:val="center"/>
          </w:tcPr>
          <w:p w:rsidR="000D6032" w:rsidRDefault="00974A7D">
            <w:pPr>
              <w:widowControl/>
              <w:jc w:val="center"/>
              <w:rPr>
                <w:rFonts w:ascii="Arial" w:hAnsi="Arial" w:cs="Arial"/>
                <w:b/>
                <w:bCs/>
                <w:kern w:val="0"/>
                <w:sz w:val="20"/>
                <w:szCs w:val="20"/>
              </w:rPr>
            </w:pPr>
            <w:r>
              <w:rPr>
                <w:rFonts w:ascii="Arial" w:hAnsi="Arial" w:cs="Arial"/>
                <w:b/>
                <w:bCs/>
                <w:kern w:val="0"/>
                <w:sz w:val="20"/>
                <w:szCs w:val="20"/>
              </w:rPr>
              <w:t>CDM</w:t>
            </w:r>
            <w:r>
              <w:rPr>
                <w:rFonts w:ascii="宋体" w:hAnsi="宋体" w:cs="Arial" w:hint="eastAsia"/>
                <w:b/>
                <w:bCs/>
                <w:kern w:val="0"/>
                <w:sz w:val="20"/>
                <w:szCs w:val="20"/>
              </w:rPr>
              <w:t>方法学编号</w:t>
            </w:r>
          </w:p>
        </w:tc>
        <w:tc>
          <w:tcPr>
            <w:tcW w:w="1560" w:type="dxa"/>
            <w:tcBorders>
              <w:top w:val="single" w:sz="4" w:space="0" w:color="auto"/>
              <w:left w:val="nil"/>
              <w:bottom w:val="single" w:sz="4" w:space="0" w:color="auto"/>
              <w:right w:val="single" w:sz="4" w:space="0" w:color="auto"/>
            </w:tcBorders>
            <w:shd w:val="clear" w:color="000000" w:fill="D8D8D8"/>
            <w:vAlign w:val="center"/>
          </w:tcPr>
          <w:p w:rsidR="000D6032" w:rsidRDefault="00974A7D">
            <w:pPr>
              <w:widowControl/>
              <w:jc w:val="center"/>
              <w:rPr>
                <w:rFonts w:ascii="Arial" w:hAnsi="Arial" w:cs="Arial"/>
                <w:b/>
                <w:bCs/>
                <w:kern w:val="0"/>
                <w:sz w:val="20"/>
                <w:szCs w:val="20"/>
              </w:rPr>
            </w:pPr>
            <w:r>
              <w:rPr>
                <w:rFonts w:ascii="宋体" w:hAnsi="宋体" w:cs="Arial" w:hint="eastAsia"/>
                <w:b/>
                <w:bCs/>
                <w:kern w:val="0"/>
                <w:sz w:val="20"/>
                <w:szCs w:val="20"/>
              </w:rPr>
              <w:t>自愿减排方法学编号</w:t>
            </w:r>
          </w:p>
        </w:tc>
        <w:tc>
          <w:tcPr>
            <w:tcW w:w="3700" w:type="dxa"/>
            <w:tcBorders>
              <w:top w:val="single" w:sz="4" w:space="0" w:color="auto"/>
              <w:left w:val="nil"/>
              <w:bottom w:val="single" w:sz="4" w:space="0" w:color="auto"/>
              <w:right w:val="single" w:sz="4" w:space="0" w:color="auto"/>
            </w:tcBorders>
            <w:shd w:val="clear" w:color="000000" w:fill="D8D8D8"/>
            <w:vAlign w:val="center"/>
          </w:tcPr>
          <w:p w:rsidR="000D6032" w:rsidRDefault="00974A7D">
            <w:pPr>
              <w:widowControl/>
              <w:jc w:val="center"/>
              <w:rPr>
                <w:rFonts w:ascii="Arial" w:hAnsi="Arial" w:cs="Arial"/>
                <w:b/>
                <w:bCs/>
                <w:kern w:val="0"/>
                <w:sz w:val="20"/>
                <w:szCs w:val="20"/>
              </w:rPr>
            </w:pPr>
            <w:r>
              <w:rPr>
                <w:rFonts w:ascii="宋体" w:hAnsi="宋体" w:cs="Arial" w:hint="eastAsia"/>
                <w:b/>
                <w:bCs/>
                <w:kern w:val="0"/>
                <w:sz w:val="20"/>
                <w:szCs w:val="20"/>
              </w:rPr>
              <w:t>中文名</w:t>
            </w:r>
          </w:p>
        </w:tc>
        <w:tc>
          <w:tcPr>
            <w:tcW w:w="1580" w:type="dxa"/>
            <w:tcBorders>
              <w:top w:val="single" w:sz="4" w:space="0" w:color="auto"/>
              <w:left w:val="nil"/>
              <w:bottom w:val="single" w:sz="4" w:space="0" w:color="auto"/>
              <w:right w:val="single" w:sz="4" w:space="0" w:color="auto"/>
            </w:tcBorders>
            <w:shd w:val="clear" w:color="000000" w:fill="D8D8D8"/>
            <w:vAlign w:val="center"/>
          </w:tcPr>
          <w:p w:rsidR="000D6032" w:rsidRDefault="00974A7D">
            <w:pPr>
              <w:widowControl/>
              <w:jc w:val="center"/>
              <w:rPr>
                <w:rFonts w:ascii="宋体" w:hAnsi="宋体" w:cs="Arial"/>
                <w:b/>
                <w:bCs/>
                <w:kern w:val="0"/>
                <w:sz w:val="20"/>
                <w:szCs w:val="20"/>
              </w:rPr>
            </w:pPr>
            <w:r>
              <w:rPr>
                <w:rFonts w:ascii="宋体" w:hAnsi="宋体" w:cs="Arial" w:hint="eastAsia"/>
                <w:b/>
                <w:bCs/>
                <w:kern w:val="0"/>
                <w:sz w:val="20"/>
                <w:szCs w:val="20"/>
              </w:rPr>
              <w:t>使用该方法学的项目数量</w:t>
            </w:r>
          </w:p>
        </w:tc>
      </w:tr>
      <w:tr w:rsidR="000D6032">
        <w:trPr>
          <w:trHeight w:val="540"/>
        </w:trPr>
        <w:tc>
          <w:tcPr>
            <w:tcW w:w="960" w:type="dxa"/>
            <w:tcBorders>
              <w:top w:val="nil"/>
              <w:left w:val="single" w:sz="4" w:space="0" w:color="auto"/>
              <w:bottom w:val="single" w:sz="4" w:space="0" w:color="auto"/>
              <w:right w:val="single" w:sz="4" w:space="0" w:color="auto"/>
            </w:tcBorders>
            <w:shd w:val="clear" w:color="000000" w:fill="F2F2F2"/>
            <w:vAlign w:val="center"/>
          </w:tcPr>
          <w:p w:rsidR="000D6032" w:rsidRDefault="00974A7D">
            <w:pPr>
              <w:widowControl/>
              <w:jc w:val="left"/>
              <w:rPr>
                <w:rFonts w:ascii="Arial" w:hAnsi="Arial" w:cs="Arial"/>
                <w:b/>
                <w:bCs/>
                <w:kern w:val="0"/>
                <w:sz w:val="20"/>
                <w:szCs w:val="20"/>
              </w:rPr>
            </w:pPr>
            <w:r>
              <w:rPr>
                <w:rFonts w:ascii="Arial" w:hAnsi="Arial" w:cs="Arial"/>
                <w:b/>
                <w:bCs/>
                <w:kern w:val="0"/>
                <w:sz w:val="20"/>
                <w:szCs w:val="20"/>
              </w:rPr>
              <w:t xml:space="preserve">　</w:t>
            </w:r>
          </w:p>
        </w:tc>
        <w:tc>
          <w:tcPr>
            <w:tcW w:w="6480" w:type="dxa"/>
            <w:gridSpan w:val="3"/>
            <w:tcBorders>
              <w:top w:val="single" w:sz="4" w:space="0" w:color="auto"/>
              <w:left w:val="nil"/>
              <w:bottom w:val="single" w:sz="4" w:space="0" w:color="auto"/>
              <w:right w:val="single" w:sz="4" w:space="0" w:color="auto"/>
            </w:tcBorders>
            <w:shd w:val="clear" w:color="000000" w:fill="F2F2F2"/>
            <w:vAlign w:val="center"/>
          </w:tcPr>
          <w:p w:rsidR="000D6032" w:rsidRDefault="00974A7D">
            <w:pPr>
              <w:widowControl/>
              <w:jc w:val="left"/>
              <w:rPr>
                <w:rFonts w:ascii="Arial" w:hAnsi="Arial" w:cs="Arial"/>
                <w:b/>
                <w:bCs/>
                <w:kern w:val="0"/>
                <w:sz w:val="20"/>
                <w:szCs w:val="20"/>
              </w:rPr>
            </w:pPr>
            <w:r>
              <w:rPr>
                <w:rFonts w:ascii="宋体" w:hAnsi="宋体" w:cs="Arial" w:hint="eastAsia"/>
                <w:b/>
                <w:bCs/>
                <w:kern w:val="0"/>
                <w:sz w:val="20"/>
                <w:szCs w:val="20"/>
              </w:rPr>
              <w:t>常规项目方法学（</w:t>
            </w:r>
            <w:r>
              <w:rPr>
                <w:rFonts w:ascii="Arial" w:hAnsi="Arial" w:cs="Arial"/>
                <w:b/>
                <w:bCs/>
                <w:kern w:val="0"/>
                <w:sz w:val="20"/>
                <w:szCs w:val="20"/>
              </w:rPr>
              <w:t>99</w:t>
            </w:r>
            <w:r>
              <w:rPr>
                <w:rFonts w:ascii="宋体" w:hAnsi="宋体" w:cs="Arial" w:hint="eastAsia"/>
                <w:b/>
                <w:bCs/>
                <w:kern w:val="0"/>
                <w:sz w:val="20"/>
                <w:szCs w:val="20"/>
              </w:rPr>
              <w:t>个）</w:t>
            </w:r>
          </w:p>
        </w:tc>
        <w:tc>
          <w:tcPr>
            <w:tcW w:w="1580" w:type="dxa"/>
            <w:tcBorders>
              <w:top w:val="nil"/>
              <w:left w:val="nil"/>
              <w:bottom w:val="single" w:sz="4" w:space="0" w:color="auto"/>
              <w:right w:val="single" w:sz="4" w:space="0" w:color="auto"/>
            </w:tcBorders>
            <w:shd w:val="clear" w:color="000000" w:fill="F2F2F2"/>
            <w:vAlign w:val="center"/>
          </w:tcPr>
          <w:p w:rsidR="000D6032" w:rsidRDefault="00974A7D">
            <w:pPr>
              <w:widowControl/>
              <w:jc w:val="left"/>
              <w:rPr>
                <w:rFonts w:ascii="Arial" w:hAnsi="Arial" w:cs="Arial"/>
                <w:b/>
                <w:bCs/>
                <w:kern w:val="0"/>
                <w:sz w:val="20"/>
                <w:szCs w:val="20"/>
              </w:rPr>
            </w:pPr>
            <w:r>
              <w:rPr>
                <w:rFonts w:ascii="Arial" w:hAnsi="Arial" w:cs="Arial"/>
                <w:b/>
                <w:bCs/>
                <w:kern w:val="0"/>
                <w:sz w:val="20"/>
                <w:szCs w:val="20"/>
              </w:rPr>
              <w:t xml:space="preserve">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ACM0002</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CM-001-V01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可再生能源联网发电</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614 </w:t>
            </w:r>
          </w:p>
        </w:tc>
      </w:tr>
      <w:tr w:rsidR="000D6032">
        <w:trPr>
          <w:trHeight w:val="49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ACM0008</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CM-003-V01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回收煤层气、煤矿瓦斯和通风瓦斯用于发电、动力、供热和</w:t>
            </w:r>
            <w:r>
              <w:rPr>
                <w:rFonts w:ascii="宋体" w:hAnsi="宋体" w:cs="Arial"/>
                <w:kern w:val="0"/>
                <w:sz w:val="20"/>
              </w:rPr>
              <w:t>/</w:t>
            </w:r>
            <w:r>
              <w:rPr>
                <w:rFonts w:ascii="宋体" w:hAnsi="宋体" w:cs="Arial" w:hint="eastAsia"/>
                <w:kern w:val="0"/>
                <w:sz w:val="20"/>
              </w:rPr>
              <w:t>或通过火炬或无焰氧化分解</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23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3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ACM0011</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CM-004-V01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现有电厂从煤和</w:t>
            </w:r>
            <w:r>
              <w:rPr>
                <w:rFonts w:ascii="宋体" w:hAnsi="宋体" w:cs="Arial"/>
                <w:kern w:val="0"/>
                <w:sz w:val="20"/>
              </w:rPr>
              <w:t>/</w:t>
            </w:r>
            <w:r>
              <w:rPr>
                <w:rFonts w:ascii="宋体" w:hAnsi="宋体" w:cs="Arial" w:hint="eastAsia"/>
                <w:kern w:val="0"/>
                <w:sz w:val="20"/>
              </w:rPr>
              <w:t>或燃油到天然气的燃料转换</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4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ACM0012</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CM-005-V01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通过废能回收减排温室气体</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24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5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ACM0014</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CM-007-V01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工业废水处理过程中温室气体减排</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6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ACM0015</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CM-008-V01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应用非碳酸盐原料生产水泥熟料</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7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AM0029</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CM-012-V01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并网的天然气发电</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6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8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AM0049</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CM-016-V01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在工业设施中利用气体燃料生产能源</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9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AM0058</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CM-019-V01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引入新的集中供热一次热网系统</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10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AM0072</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CM-022-V01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供热中使用地热替代化石燃料</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3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11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ACM0016</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CM-028-V01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快速公交项目</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12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AM0031</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CM-032-V01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快速公交系统</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13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AM0088</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CM-035-V01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利用液化天然气气化中的冷能进行空气分离</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14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AM0107</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CM-038-V01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新建天然气热电联产电厂</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5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15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AM0059</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CM-062-V01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减少原铝冶炼炉中的温室气体排放</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16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ACM0022</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CM-072-V01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多选垃圾处理方式</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26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17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AM0036</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CM-073-V01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供热锅炉使用生物质废弃物替代化石燃料</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18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ACM0006</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CM-075-V01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生物质废弃物热电联产项目</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19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19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ACM0001</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CM-077-V01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垃圾填埋气项目</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20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ACM0010</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CM-090-V01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粪便管理系统中的温室气体减排</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lastRenderedPageBreak/>
              <w:t xml:space="preserve">21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ACM0018</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CM-092-V01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纯发电厂利用生物废弃物发电</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25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22</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AM0035</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CM-033-V01 </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电网中的SF6 减排</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1</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小计</w:t>
            </w:r>
          </w:p>
        </w:tc>
        <w:tc>
          <w:tcPr>
            <w:tcW w:w="1220" w:type="dxa"/>
            <w:tcBorders>
              <w:top w:val="nil"/>
              <w:left w:val="nil"/>
              <w:bottom w:val="single" w:sz="4" w:space="0" w:color="auto"/>
              <w:right w:val="single" w:sz="4" w:space="0" w:color="auto"/>
            </w:tcBorders>
            <w:shd w:val="clear" w:color="000000" w:fill="FFFFFF"/>
            <w:vAlign w:val="center"/>
          </w:tcPr>
          <w:p w:rsidR="000D6032" w:rsidRDefault="000D6032">
            <w:pPr>
              <w:widowControl/>
              <w:jc w:val="center"/>
              <w:rPr>
                <w:rFonts w:ascii="Arial" w:hAnsi="Arial" w:cs="Arial"/>
                <w:kern w:val="0"/>
                <w:sz w:val="20"/>
                <w:szCs w:val="20"/>
              </w:rPr>
            </w:pPr>
          </w:p>
        </w:tc>
        <w:tc>
          <w:tcPr>
            <w:tcW w:w="1560" w:type="dxa"/>
            <w:tcBorders>
              <w:top w:val="nil"/>
              <w:left w:val="nil"/>
              <w:bottom w:val="single" w:sz="4" w:space="0" w:color="auto"/>
              <w:right w:val="single" w:sz="4" w:space="0" w:color="auto"/>
            </w:tcBorders>
            <w:shd w:val="clear" w:color="000000" w:fill="FFFFFF"/>
            <w:vAlign w:val="center"/>
          </w:tcPr>
          <w:p w:rsidR="000D6032" w:rsidRDefault="000D6032">
            <w:pPr>
              <w:widowControl/>
              <w:jc w:val="center"/>
              <w:rPr>
                <w:rFonts w:ascii="Arial" w:hAnsi="Arial" w:cs="Arial"/>
                <w:kern w:val="0"/>
                <w:sz w:val="20"/>
                <w:szCs w:val="20"/>
              </w:rPr>
            </w:pPr>
          </w:p>
        </w:tc>
        <w:tc>
          <w:tcPr>
            <w:tcW w:w="3700" w:type="dxa"/>
            <w:tcBorders>
              <w:top w:val="nil"/>
              <w:left w:val="nil"/>
              <w:bottom w:val="single" w:sz="4" w:space="0" w:color="auto"/>
              <w:right w:val="single" w:sz="4" w:space="0" w:color="auto"/>
            </w:tcBorders>
            <w:shd w:val="clear" w:color="000000" w:fill="FFFFFF"/>
            <w:vAlign w:val="center"/>
          </w:tcPr>
          <w:p w:rsidR="000D6032" w:rsidRDefault="000D6032">
            <w:pPr>
              <w:widowControl/>
              <w:jc w:val="left"/>
              <w:rPr>
                <w:rFonts w:ascii="宋体" w:hAnsi="宋体" w:cs="Arial"/>
                <w:kern w:val="0"/>
                <w:sz w:val="20"/>
              </w:rPr>
            </w:pP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771</w:t>
            </w:r>
          </w:p>
        </w:tc>
      </w:tr>
      <w:tr w:rsidR="000D6032">
        <w:trPr>
          <w:trHeight w:val="540"/>
        </w:trPr>
        <w:tc>
          <w:tcPr>
            <w:tcW w:w="960" w:type="dxa"/>
            <w:tcBorders>
              <w:top w:val="nil"/>
              <w:left w:val="single" w:sz="4" w:space="0" w:color="auto"/>
              <w:bottom w:val="single" w:sz="4" w:space="0" w:color="auto"/>
              <w:right w:val="single" w:sz="4" w:space="0" w:color="auto"/>
            </w:tcBorders>
            <w:shd w:val="clear" w:color="000000" w:fill="F2F2F2"/>
            <w:vAlign w:val="center"/>
          </w:tcPr>
          <w:p w:rsidR="000D6032" w:rsidRDefault="00974A7D">
            <w:pPr>
              <w:widowControl/>
              <w:jc w:val="left"/>
              <w:rPr>
                <w:rFonts w:ascii="Arial" w:hAnsi="Arial" w:cs="Arial"/>
                <w:b/>
                <w:bCs/>
                <w:kern w:val="0"/>
                <w:sz w:val="20"/>
                <w:szCs w:val="20"/>
              </w:rPr>
            </w:pPr>
            <w:r>
              <w:rPr>
                <w:rFonts w:ascii="Arial" w:hAnsi="Arial" w:cs="Arial"/>
                <w:b/>
                <w:bCs/>
                <w:kern w:val="0"/>
                <w:sz w:val="20"/>
                <w:szCs w:val="20"/>
              </w:rPr>
              <w:t xml:space="preserve">　</w:t>
            </w:r>
          </w:p>
        </w:tc>
        <w:tc>
          <w:tcPr>
            <w:tcW w:w="6480" w:type="dxa"/>
            <w:gridSpan w:val="3"/>
            <w:tcBorders>
              <w:top w:val="single" w:sz="4" w:space="0" w:color="auto"/>
              <w:left w:val="nil"/>
              <w:bottom w:val="single" w:sz="4" w:space="0" w:color="auto"/>
              <w:right w:val="single" w:sz="4" w:space="0" w:color="auto"/>
            </w:tcBorders>
            <w:shd w:val="clear" w:color="000000" w:fill="F2F2F2"/>
            <w:vAlign w:val="center"/>
          </w:tcPr>
          <w:p w:rsidR="000D6032" w:rsidRDefault="00974A7D">
            <w:pPr>
              <w:widowControl/>
              <w:jc w:val="left"/>
              <w:rPr>
                <w:rFonts w:ascii="宋体" w:hAnsi="宋体" w:cs="Arial"/>
                <w:kern w:val="0"/>
                <w:sz w:val="20"/>
              </w:rPr>
            </w:pPr>
            <w:r>
              <w:rPr>
                <w:rFonts w:ascii="宋体" w:hAnsi="宋体" w:cs="Arial" w:hint="eastAsia"/>
                <w:kern w:val="0"/>
                <w:sz w:val="20"/>
              </w:rPr>
              <w:t>小型项目方法学</w:t>
            </w:r>
            <w:r>
              <w:rPr>
                <w:rFonts w:ascii="宋体" w:hAnsi="宋体" w:cs="Arial"/>
                <w:kern w:val="0"/>
                <w:sz w:val="20"/>
              </w:rPr>
              <w:t>(78</w:t>
            </w:r>
            <w:r>
              <w:rPr>
                <w:rFonts w:ascii="宋体" w:hAnsi="宋体" w:cs="Arial" w:hint="eastAsia"/>
                <w:kern w:val="0"/>
                <w:sz w:val="20"/>
              </w:rPr>
              <w:t>个）</w:t>
            </w:r>
          </w:p>
        </w:tc>
        <w:tc>
          <w:tcPr>
            <w:tcW w:w="1580" w:type="dxa"/>
            <w:tcBorders>
              <w:top w:val="nil"/>
              <w:left w:val="nil"/>
              <w:bottom w:val="single" w:sz="4" w:space="0" w:color="auto"/>
              <w:right w:val="single" w:sz="4" w:space="0" w:color="auto"/>
            </w:tcBorders>
            <w:shd w:val="clear" w:color="000000" w:fill="F2F2F2"/>
            <w:vAlign w:val="center"/>
          </w:tcPr>
          <w:p w:rsidR="000D6032" w:rsidRDefault="00974A7D">
            <w:pPr>
              <w:widowControl/>
              <w:jc w:val="left"/>
              <w:rPr>
                <w:rFonts w:ascii="Arial" w:hAnsi="Arial" w:cs="Arial"/>
                <w:b/>
                <w:bCs/>
                <w:kern w:val="0"/>
                <w:sz w:val="20"/>
                <w:szCs w:val="20"/>
              </w:rPr>
            </w:pPr>
            <w:r>
              <w:rPr>
                <w:rFonts w:ascii="Arial" w:hAnsi="Arial" w:cs="Arial"/>
                <w:b/>
                <w:bCs/>
                <w:kern w:val="0"/>
                <w:sz w:val="20"/>
                <w:szCs w:val="20"/>
              </w:rPr>
              <w:t xml:space="preserve">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AMS-I.C.</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CMS-001-V01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用户使用的热能，可包括或不包括电能</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153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AMS-I.D.</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CMS-002-V01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联网的可再生能源发电</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38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3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AMS-III.D</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CMS-021-V01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动物粪便管理系统甲烷回收</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23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4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AMS-III.G</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CMS-022-V01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垃圾填埋气回收</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5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AMS-III.Q.</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CMS-025-V01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废能回收利用（废气</w:t>
            </w:r>
            <w:r>
              <w:rPr>
                <w:rFonts w:ascii="宋体" w:hAnsi="宋体" w:cs="Arial"/>
                <w:kern w:val="0"/>
                <w:sz w:val="20"/>
              </w:rPr>
              <w:t>/</w:t>
            </w:r>
            <w:r>
              <w:rPr>
                <w:rFonts w:ascii="宋体" w:hAnsi="宋体" w:cs="Arial" w:hint="eastAsia"/>
                <w:kern w:val="0"/>
                <w:sz w:val="20"/>
              </w:rPr>
              <w:t>废热</w:t>
            </w:r>
            <w:r>
              <w:rPr>
                <w:rFonts w:ascii="宋体" w:hAnsi="宋体" w:cs="Arial"/>
                <w:kern w:val="0"/>
                <w:sz w:val="20"/>
              </w:rPr>
              <w:t>/</w:t>
            </w:r>
            <w:r>
              <w:rPr>
                <w:rFonts w:ascii="宋体" w:hAnsi="宋体" w:cs="Arial" w:hint="eastAsia"/>
                <w:kern w:val="0"/>
                <w:sz w:val="20"/>
              </w:rPr>
              <w:t>废压）项目</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6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AMS-III.R</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CMS-026-V01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家庭或小农场农业活动甲烷回收</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152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7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AMS-II.E</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CMS-029-V01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针对建筑的提高能效和燃料转换措施</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8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AMS-III.AY</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CMS-034-V01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现有和新建公交线路中引入液化天然气汽车</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9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AMS-III.H.</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CMS-076-V01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Arial" w:hAnsi="Arial" w:cs="Arial"/>
                <w:kern w:val="0"/>
                <w:sz w:val="20"/>
                <w:szCs w:val="20"/>
              </w:rPr>
            </w:pPr>
            <w:r>
              <w:rPr>
                <w:rFonts w:ascii="宋体" w:hAnsi="宋体" w:cs="Arial" w:hint="eastAsia"/>
                <w:kern w:val="0"/>
                <w:sz w:val="20"/>
              </w:rPr>
              <w:t>废水处理中的甲烷回收</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小计</w:t>
            </w:r>
          </w:p>
        </w:tc>
        <w:tc>
          <w:tcPr>
            <w:tcW w:w="1220" w:type="dxa"/>
            <w:tcBorders>
              <w:top w:val="nil"/>
              <w:left w:val="nil"/>
              <w:bottom w:val="single" w:sz="4" w:space="0" w:color="auto"/>
              <w:right w:val="single" w:sz="4" w:space="0" w:color="auto"/>
            </w:tcBorders>
            <w:shd w:val="clear" w:color="000000" w:fill="FFFFFF"/>
            <w:vAlign w:val="center"/>
          </w:tcPr>
          <w:p w:rsidR="000D6032" w:rsidRDefault="000D6032">
            <w:pPr>
              <w:widowControl/>
              <w:jc w:val="center"/>
              <w:rPr>
                <w:rFonts w:ascii="Arial" w:hAnsi="Arial" w:cs="Arial"/>
                <w:kern w:val="0"/>
                <w:sz w:val="20"/>
                <w:szCs w:val="20"/>
              </w:rPr>
            </w:pPr>
          </w:p>
        </w:tc>
        <w:tc>
          <w:tcPr>
            <w:tcW w:w="1560" w:type="dxa"/>
            <w:tcBorders>
              <w:top w:val="nil"/>
              <w:left w:val="nil"/>
              <w:bottom w:val="single" w:sz="4" w:space="0" w:color="auto"/>
              <w:right w:val="single" w:sz="4" w:space="0" w:color="auto"/>
            </w:tcBorders>
            <w:shd w:val="clear" w:color="000000" w:fill="FFFFFF"/>
            <w:vAlign w:val="center"/>
          </w:tcPr>
          <w:p w:rsidR="000D6032" w:rsidRDefault="000D6032">
            <w:pPr>
              <w:widowControl/>
              <w:jc w:val="center"/>
              <w:rPr>
                <w:rFonts w:ascii="Arial" w:hAnsi="Arial" w:cs="Arial"/>
                <w:kern w:val="0"/>
                <w:sz w:val="20"/>
                <w:szCs w:val="20"/>
              </w:rPr>
            </w:pPr>
          </w:p>
        </w:tc>
        <w:tc>
          <w:tcPr>
            <w:tcW w:w="3700" w:type="dxa"/>
            <w:tcBorders>
              <w:top w:val="nil"/>
              <w:left w:val="nil"/>
              <w:bottom w:val="single" w:sz="4" w:space="0" w:color="auto"/>
              <w:right w:val="single" w:sz="4" w:space="0" w:color="auto"/>
            </w:tcBorders>
            <w:shd w:val="clear" w:color="000000" w:fill="FFFFFF"/>
            <w:vAlign w:val="center"/>
          </w:tcPr>
          <w:p w:rsidR="000D6032" w:rsidRDefault="000D6032">
            <w:pPr>
              <w:widowControl/>
              <w:jc w:val="left"/>
              <w:rPr>
                <w:rFonts w:ascii="Arial" w:hAnsi="Arial" w:cs="Arial"/>
                <w:kern w:val="0"/>
                <w:sz w:val="20"/>
                <w:szCs w:val="20"/>
              </w:rPr>
            </w:pP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382</w:t>
            </w:r>
          </w:p>
        </w:tc>
      </w:tr>
    </w:tbl>
    <w:p w:rsidR="000D6032" w:rsidRDefault="000D6032">
      <w:pPr>
        <w:tabs>
          <w:tab w:val="left" w:pos="720"/>
          <w:tab w:val="left" w:pos="2160"/>
          <w:tab w:val="left" w:pos="2880"/>
        </w:tabs>
        <w:spacing w:line="360" w:lineRule="auto"/>
        <w:ind w:firstLineChars="200" w:firstLine="480"/>
        <w:rPr>
          <w:sz w:val="24"/>
        </w:rPr>
      </w:pPr>
    </w:p>
    <w:p w:rsidR="000D6032" w:rsidRDefault="00974A7D">
      <w:pPr>
        <w:spacing w:line="360" w:lineRule="auto"/>
        <w:ind w:firstLineChars="200" w:firstLine="482"/>
        <w:rPr>
          <w:rFonts w:ascii="宋体"/>
          <w:b/>
          <w:bCs/>
          <w:kern w:val="0"/>
          <w:sz w:val="24"/>
        </w:rPr>
      </w:pPr>
      <w:r>
        <w:rPr>
          <w:rFonts w:ascii="宋体" w:hAnsi="宋体" w:hint="eastAsia"/>
          <w:b/>
          <w:bCs/>
          <w:kern w:val="0"/>
          <w:sz w:val="24"/>
        </w:rPr>
        <w:t>（</w:t>
      </w:r>
      <w:r>
        <w:rPr>
          <w:rFonts w:ascii="宋体" w:hAnsi="宋体"/>
          <w:b/>
          <w:bCs/>
          <w:kern w:val="0"/>
          <w:sz w:val="24"/>
        </w:rPr>
        <w:t>2</w:t>
      </w:r>
      <w:r>
        <w:rPr>
          <w:rFonts w:ascii="宋体" w:hAnsi="宋体" w:hint="eastAsia"/>
          <w:b/>
          <w:bCs/>
          <w:kern w:val="0"/>
          <w:sz w:val="24"/>
        </w:rPr>
        <w:t>）正式启动</w:t>
      </w:r>
    </w:p>
    <w:p w:rsidR="000D6032" w:rsidRDefault="00974A7D">
      <w:pPr>
        <w:spacing w:line="360" w:lineRule="auto"/>
        <w:ind w:firstLineChars="200" w:firstLine="480"/>
        <w:rPr>
          <w:rFonts w:ascii="宋体"/>
          <w:bCs/>
          <w:kern w:val="0"/>
          <w:sz w:val="24"/>
        </w:rPr>
      </w:pPr>
      <w:r>
        <w:rPr>
          <w:rFonts w:ascii="宋体" w:hAnsi="宋体" w:hint="eastAsia"/>
          <w:bCs/>
          <w:kern w:val="0"/>
          <w:sz w:val="24"/>
        </w:rPr>
        <w:t xml:space="preserve"> 起草组在完成前期的国内外相关标准、文献调研和技术准备工作后，开始了标准的起草工作。</w:t>
      </w:r>
    </w:p>
    <w:p w:rsidR="000D6032" w:rsidRDefault="00974A7D">
      <w:pPr>
        <w:numPr>
          <w:ilvl w:val="0"/>
          <w:numId w:val="13"/>
        </w:numPr>
        <w:spacing w:line="360" w:lineRule="auto"/>
        <w:ind w:firstLineChars="200" w:firstLine="482"/>
        <w:rPr>
          <w:rFonts w:ascii="宋体" w:hAnsi="宋体"/>
          <w:b/>
          <w:bCs/>
          <w:kern w:val="0"/>
          <w:sz w:val="24"/>
        </w:rPr>
      </w:pPr>
      <w:r>
        <w:rPr>
          <w:rFonts w:ascii="宋体" w:hAnsi="宋体" w:hint="eastAsia"/>
          <w:b/>
          <w:bCs/>
          <w:kern w:val="0"/>
          <w:sz w:val="24"/>
        </w:rPr>
        <w:t>形成标准草案</w:t>
      </w:r>
    </w:p>
    <w:p w:rsidR="000D6032" w:rsidRDefault="00974A7D">
      <w:pPr>
        <w:spacing w:line="360" w:lineRule="auto"/>
        <w:ind w:firstLine="539"/>
        <w:rPr>
          <w:sz w:val="24"/>
        </w:rPr>
      </w:pPr>
      <w:r>
        <w:rPr>
          <w:rFonts w:hint="eastAsia"/>
          <w:sz w:val="24"/>
        </w:rPr>
        <w:t>2017</w:t>
      </w:r>
      <w:r>
        <w:rPr>
          <w:rFonts w:hint="eastAsia"/>
          <w:sz w:val="24"/>
        </w:rPr>
        <w:t>年</w:t>
      </w:r>
      <w:r>
        <w:rPr>
          <w:rFonts w:hint="eastAsia"/>
          <w:sz w:val="24"/>
        </w:rPr>
        <w:t>2</w:t>
      </w:r>
      <w:r>
        <w:rPr>
          <w:rFonts w:hint="eastAsia"/>
          <w:sz w:val="24"/>
        </w:rPr>
        <w:t>月</w:t>
      </w:r>
      <w:r>
        <w:rPr>
          <w:rFonts w:hint="eastAsia"/>
          <w:sz w:val="24"/>
        </w:rPr>
        <w:t>17</w:t>
      </w:r>
      <w:r>
        <w:rPr>
          <w:rFonts w:hint="eastAsia"/>
          <w:sz w:val="24"/>
        </w:rPr>
        <w:t>日召开课题启动会，技术规范大纲编制工作得到与会专家的肯定。标准编制工作进入标准草案编写阶段。</w:t>
      </w:r>
    </w:p>
    <w:p w:rsidR="000D6032" w:rsidRDefault="00974A7D">
      <w:pPr>
        <w:spacing w:line="360" w:lineRule="auto"/>
        <w:ind w:firstLine="539"/>
        <w:rPr>
          <w:sz w:val="24"/>
        </w:rPr>
      </w:pPr>
      <w:r>
        <w:rPr>
          <w:rFonts w:hint="eastAsia"/>
          <w:sz w:val="24"/>
        </w:rPr>
        <w:t>2017</w:t>
      </w:r>
      <w:r>
        <w:rPr>
          <w:rFonts w:hint="eastAsia"/>
          <w:sz w:val="24"/>
        </w:rPr>
        <w:t>年，《基于项目的温室气体减排量评估技术规范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）发布后，为了与其协调统一，起草组在编写草案的过程中，参考了其中的相关术语和通用部分的内容，于</w:t>
      </w:r>
      <w:r>
        <w:rPr>
          <w:rFonts w:hint="eastAsia"/>
          <w:sz w:val="24"/>
        </w:rPr>
        <w:t>2017</w:t>
      </w:r>
      <w:r>
        <w:rPr>
          <w:rFonts w:hint="eastAsia"/>
          <w:sz w:val="24"/>
        </w:rPr>
        <w:t>年</w:t>
      </w:r>
      <w:r>
        <w:rPr>
          <w:rFonts w:hint="eastAsia"/>
          <w:sz w:val="24"/>
        </w:rPr>
        <w:t>7</w:t>
      </w:r>
      <w:r>
        <w:rPr>
          <w:rFonts w:hint="eastAsia"/>
          <w:sz w:val="24"/>
        </w:rPr>
        <w:t>月完成了标准草案。</w:t>
      </w:r>
    </w:p>
    <w:p w:rsidR="000D6032" w:rsidRDefault="00974A7D">
      <w:pPr>
        <w:spacing w:line="360" w:lineRule="auto"/>
        <w:ind w:firstLine="539"/>
        <w:rPr>
          <w:sz w:val="24"/>
        </w:rPr>
      </w:pPr>
      <w:r>
        <w:rPr>
          <w:rFonts w:hint="eastAsia"/>
          <w:sz w:val="24"/>
        </w:rPr>
        <w:t>2018</w:t>
      </w:r>
      <w:r>
        <w:rPr>
          <w:rFonts w:hint="eastAsia"/>
          <w:sz w:val="24"/>
        </w:rPr>
        <w:t>年</w:t>
      </w:r>
      <w:r>
        <w:rPr>
          <w:rFonts w:hint="eastAsia"/>
          <w:sz w:val="24"/>
        </w:rPr>
        <w:t>4</w:t>
      </w:r>
      <w:r>
        <w:rPr>
          <w:rFonts w:hint="eastAsia"/>
          <w:sz w:val="24"/>
        </w:rPr>
        <w:t>月</w:t>
      </w:r>
      <w:r>
        <w:rPr>
          <w:rFonts w:hint="eastAsia"/>
          <w:sz w:val="24"/>
        </w:rPr>
        <w:t>27</w:t>
      </w:r>
      <w:r>
        <w:rPr>
          <w:rFonts w:hint="eastAsia"/>
          <w:sz w:val="24"/>
        </w:rPr>
        <w:t>日标准草案专家讨论会召开。标准草案的编写工作得到与会人员的肯定，经由专家评审会议汇审，在采纳多方意见之后，最终定稿。标准编制工作进入征求意见稿编写阶段。</w:t>
      </w:r>
    </w:p>
    <w:p w:rsidR="000D6032" w:rsidRDefault="00974A7D">
      <w:pPr>
        <w:spacing w:line="360" w:lineRule="auto"/>
        <w:ind w:firstLine="539"/>
        <w:rPr>
          <w:b/>
          <w:bCs/>
          <w:sz w:val="24"/>
        </w:rPr>
      </w:pPr>
      <w:r>
        <w:rPr>
          <w:rFonts w:hint="eastAsia"/>
          <w:b/>
          <w:bCs/>
          <w:sz w:val="24"/>
        </w:rPr>
        <w:t>（</w:t>
      </w:r>
      <w:r>
        <w:rPr>
          <w:rFonts w:hint="eastAsia"/>
          <w:b/>
          <w:bCs/>
          <w:sz w:val="24"/>
        </w:rPr>
        <w:t>4</w:t>
      </w:r>
      <w:r>
        <w:rPr>
          <w:rFonts w:hint="eastAsia"/>
          <w:b/>
          <w:bCs/>
          <w:sz w:val="24"/>
        </w:rPr>
        <w:t>）</w:t>
      </w:r>
      <w:r w:rsidR="002251B0">
        <w:rPr>
          <w:rFonts w:hint="eastAsia"/>
          <w:b/>
          <w:bCs/>
          <w:sz w:val="24"/>
        </w:rPr>
        <w:t>形</w:t>
      </w:r>
      <w:r>
        <w:rPr>
          <w:rFonts w:hint="eastAsia"/>
          <w:b/>
          <w:bCs/>
          <w:sz w:val="24"/>
        </w:rPr>
        <w:t>成标准征求意见稿</w:t>
      </w:r>
    </w:p>
    <w:p w:rsidR="002251B0" w:rsidRDefault="002251B0" w:rsidP="002251B0">
      <w:pPr>
        <w:spacing w:line="360" w:lineRule="auto"/>
        <w:ind w:firstLine="539"/>
        <w:rPr>
          <w:sz w:val="24"/>
        </w:rPr>
      </w:pPr>
      <w:r>
        <w:rPr>
          <w:rFonts w:hint="eastAsia"/>
          <w:sz w:val="24"/>
        </w:rPr>
        <w:t>2018</w:t>
      </w:r>
      <w:r>
        <w:rPr>
          <w:rFonts w:hint="eastAsia"/>
          <w:sz w:val="24"/>
        </w:rPr>
        <w:t>年</w:t>
      </w:r>
      <w:r>
        <w:rPr>
          <w:sz w:val="24"/>
        </w:rPr>
        <w:t>10</w:t>
      </w:r>
      <w:r>
        <w:rPr>
          <w:rFonts w:hint="eastAsia"/>
          <w:sz w:val="24"/>
        </w:rPr>
        <w:t>月</w:t>
      </w:r>
      <w:r>
        <w:rPr>
          <w:rFonts w:hint="eastAsia"/>
          <w:sz w:val="24"/>
        </w:rPr>
        <w:t>30</w:t>
      </w:r>
      <w:r>
        <w:rPr>
          <w:rFonts w:hint="eastAsia"/>
          <w:sz w:val="24"/>
        </w:rPr>
        <w:t>日标准编制</w:t>
      </w:r>
      <w:r>
        <w:rPr>
          <w:sz w:val="24"/>
        </w:rPr>
        <w:t>组</w:t>
      </w:r>
      <w:r>
        <w:rPr>
          <w:rFonts w:hint="eastAsia"/>
          <w:sz w:val="24"/>
        </w:rPr>
        <w:t>召开</w:t>
      </w:r>
      <w:r w:rsidRPr="00500D28">
        <w:rPr>
          <w:rFonts w:hint="eastAsia"/>
          <w:sz w:val="24"/>
        </w:rPr>
        <w:t>标准征求意见稿专家评审会</w:t>
      </w:r>
      <w:r>
        <w:rPr>
          <w:rFonts w:hint="eastAsia"/>
          <w:sz w:val="24"/>
        </w:rPr>
        <w:t>。经由专家组讨论，一致</w:t>
      </w:r>
      <w:r>
        <w:rPr>
          <w:sz w:val="24"/>
        </w:rPr>
        <w:t>同意标准</w:t>
      </w:r>
      <w:r w:rsidRPr="00500D28">
        <w:rPr>
          <w:rFonts w:hint="eastAsia"/>
          <w:sz w:val="24"/>
        </w:rPr>
        <w:t>通过评审，修改后可进入征求意见阶段。</w:t>
      </w:r>
      <w:r>
        <w:rPr>
          <w:rFonts w:hint="eastAsia"/>
          <w:sz w:val="24"/>
        </w:rPr>
        <w:t>起草组根据专家意见对标准进行了充分的修改和完善，形成了征求意见稿。</w:t>
      </w:r>
    </w:p>
    <w:p w:rsidR="000D6032" w:rsidRDefault="00974A7D">
      <w:pPr>
        <w:spacing w:line="360" w:lineRule="auto"/>
        <w:ind w:firstLine="539"/>
        <w:rPr>
          <w:sz w:val="24"/>
        </w:rPr>
      </w:pPr>
      <w:bookmarkStart w:id="0" w:name="_GoBack"/>
      <w:bookmarkEnd w:id="0"/>
      <w:r>
        <w:rPr>
          <w:rFonts w:hint="eastAsia"/>
          <w:sz w:val="24"/>
        </w:rPr>
        <w:t>2018</w:t>
      </w:r>
      <w:r>
        <w:rPr>
          <w:rFonts w:hint="eastAsia"/>
          <w:sz w:val="24"/>
        </w:rPr>
        <w:t>年</w:t>
      </w:r>
      <w:r>
        <w:rPr>
          <w:rFonts w:hint="eastAsia"/>
          <w:sz w:val="24"/>
        </w:rPr>
        <w:t>X</w:t>
      </w:r>
      <w:r>
        <w:rPr>
          <w:rFonts w:hint="eastAsia"/>
          <w:sz w:val="24"/>
        </w:rPr>
        <w:t>月</w:t>
      </w:r>
      <w:r>
        <w:rPr>
          <w:rFonts w:hint="eastAsia"/>
          <w:sz w:val="24"/>
        </w:rPr>
        <w:t>XX</w:t>
      </w:r>
      <w:r>
        <w:rPr>
          <w:rFonts w:hint="eastAsia"/>
          <w:sz w:val="24"/>
        </w:rPr>
        <w:t>日，按照国家标准制修订程序，向多家单位征集了意见。共征集到来自</w:t>
      </w:r>
      <w:r>
        <w:rPr>
          <w:rFonts w:hint="eastAsia"/>
          <w:sz w:val="24"/>
        </w:rPr>
        <w:t>X</w:t>
      </w:r>
      <w:r>
        <w:rPr>
          <w:rFonts w:hint="eastAsia"/>
          <w:sz w:val="24"/>
        </w:rPr>
        <w:t>家单位的意见</w:t>
      </w:r>
      <w:r>
        <w:rPr>
          <w:rFonts w:hint="eastAsia"/>
          <w:sz w:val="24"/>
        </w:rPr>
        <w:t>XX</w:t>
      </w:r>
      <w:r>
        <w:rPr>
          <w:rFonts w:hint="eastAsia"/>
          <w:sz w:val="24"/>
        </w:rPr>
        <w:t>条。意见处理情况见意见汇总表。</w:t>
      </w:r>
    </w:p>
    <w:p w:rsidR="000D6032" w:rsidRDefault="00974A7D">
      <w:pPr>
        <w:spacing w:line="360" w:lineRule="auto"/>
        <w:ind w:firstLine="539"/>
        <w:rPr>
          <w:sz w:val="24"/>
        </w:rPr>
      </w:pPr>
      <w:r>
        <w:rPr>
          <w:rFonts w:hint="eastAsia"/>
          <w:sz w:val="24"/>
        </w:rPr>
        <w:t>2018</w:t>
      </w:r>
      <w:r>
        <w:rPr>
          <w:rFonts w:hint="eastAsia"/>
          <w:sz w:val="24"/>
        </w:rPr>
        <w:t>年</w:t>
      </w:r>
      <w:r>
        <w:rPr>
          <w:rFonts w:hint="eastAsia"/>
          <w:sz w:val="24"/>
        </w:rPr>
        <w:t>xx</w:t>
      </w:r>
      <w:r>
        <w:rPr>
          <w:rFonts w:hint="eastAsia"/>
          <w:sz w:val="24"/>
        </w:rPr>
        <w:t>月起草组组织专家在北京召开该标准的征求意见研讨会，对征集</w:t>
      </w:r>
      <w:r>
        <w:rPr>
          <w:rFonts w:hint="eastAsia"/>
          <w:sz w:val="24"/>
        </w:rPr>
        <w:lastRenderedPageBreak/>
        <w:t>的相关意见进行了讨论，对标准进行了进一步的修改和完善。</w:t>
      </w:r>
    </w:p>
    <w:p w:rsidR="000D6032" w:rsidRDefault="00974A7D">
      <w:pPr>
        <w:spacing w:line="360" w:lineRule="auto"/>
        <w:ind w:firstLineChars="200" w:firstLine="482"/>
        <w:rPr>
          <w:rFonts w:ascii="宋体" w:hAnsi="宋体"/>
          <w:b/>
          <w:bCs/>
          <w:kern w:val="0"/>
          <w:sz w:val="24"/>
        </w:rPr>
      </w:pPr>
      <w:r>
        <w:rPr>
          <w:rFonts w:ascii="宋体" w:hAnsi="宋体" w:hint="eastAsia"/>
          <w:b/>
          <w:bCs/>
          <w:kern w:val="0"/>
          <w:sz w:val="24"/>
        </w:rPr>
        <w:t>（4）形成送审稿</w:t>
      </w:r>
    </w:p>
    <w:p w:rsidR="000D6032" w:rsidRDefault="00974A7D">
      <w:pPr>
        <w:spacing w:line="360" w:lineRule="auto"/>
        <w:ind w:firstLine="539"/>
        <w:rPr>
          <w:sz w:val="24"/>
        </w:rPr>
      </w:pPr>
      <w:r>
        <w:rPr>
          <w:rFonts w:hint="eastAsia"/>
          <w:sz w:val="24"/>
        </w:rPr>
        <w:t>201X</w:t>
      </w:r>
      <w:r>
        <w:rPr>
          <w:rFonts w:hint="eastAsia"/>
          <w:sz w:val="24"/>
        </w:rPr>
        <w:t>年</w:t>
      </w:r>
      <w:r>
        <w:rPr>
          <w:rFonts w:hint="eastAsia"/>
          <w:sz w:val="24"/>
        </w:rPr>
        <w:t>X</w:t>
      </w:r>
      <w:r>
        <w:rPr>
          <w:rFonts w:hint="eastAsia"/>
          <w:sz w:val="24"/>
        </w:rPr>
        <w:t>月</w:t>
      </w:r>
      <w:r>
        <w:rPr>
          <w:rFonts w:hint="eastAsia"/>
          <w:sz w:val="24"/>
        </w:rPr>
        <w:t>XX</w:t>
      </w:r>
      <w:r>
        <w:rPr>
          <w:rFonts w:hint="eastAsia"/>
          <w:sz w:val="24"/>
        </w:rPr>
        <w:t>日，全国碳排放管理标准化技术委员会组织召开了标准预审会，对标准名称、术语、基准线情景确定、资料性附录等提出了针对性意见。会后起草组按照专家意见，如</w:t>
      </w:r>
      <w:r>
        <w:rPr>
          <w:rFonts w:hint="eastAsia"/>
          <w:sz w:val="24"/>
        </w:rPr>
        <w:t>XXXXXXX</w:t>
      </w:r>
      <w:r>
        <w:rPr>
          <w:rFonts w:hint="eastAsia"/>
          <w:sz w:val="24"/>
        </w:rPr>
        <w:t>。其他相关内容也进行了修改完善，形成标准送审稿（第二稿）。</w:t>
      </w:r>
    </w:p>
    <w:p w:rsidR="000D6032" w:rsidRDefault="00974A7D">
      <w:pPr>
        <w:spacing w:line="360" w:lineRule="auto"/>
        <w:ind w:firstLineChars="200" w:firstLine="482"/>
        <w:rPr>
          <w:rFonts w:ascii="宋体" w:hAnsi="宋体"/>
          <w:b/>
          <w:bCs/>
          <w:kern w:val="0"/>
          <w:sz w:val="24"/>
        </w:rPr>
      </w:pPr>
      <w:r>
        <w:rPr>
          <w:rFonts w:ascii="宋体" w:hAnsi="宋体" w:hint="eastAsia"/>
          <w:b/>
          <w:bCs/>
          <w:kern w:val="0"/>
          <w:sz w:val="24"/>
        </w:rPr>
        <w:t>（5）形成报批稿</w:t>
      </w:r>
    </w:p>
    <w:p w:rsidR="000D6032" w:rsidRDefault="00974A7D">
      <w:pPr>
        <w:spacing w:line="360" w:lineRule="auto"/>
        <w:ind w:firstLine="539"/>
        <w:rPr>
          <w:sz w:val="24"/>
        </w:rPr>
      </w:pPr>
      <w:r>
        <w:rPr>
          <w:sz w:val="24"/>
        </w:rPr>
        <w:t>201</w:t>
      </w:r>
      <w:r>
        <w:rPr>
          <w:rFonts w:hint="eastAsia"/>
          <w:sz w:val="24"/>
        </w:rPr>
        <w:t>X</w:t>
      </w:r>
      <w:r>
        <w:rPr>
          <w:sz w:val="24"/>
        </w:rPr>
        <w:t>年</w:t>
      </w:r>
      <w:r>
        <w:rPr>
          <w:rFonts w:hint="eastAsia"/>
          <w:sz w:val="24"/>
        </w:rPr>
        <w:t>XX</w:t>
      </w:r>
      <w:r>
        <w:rPr>
          <w:sz w:val="24"/>
        </w:rPr>
        <w:t>月</w:t>
      </w:r>
      <w:r>
        <w:rPr>
          <w:rFonts w:hint="eastAsia"/>
          <w:sz w:val="24"/>
        </w:rPr>
        <w:t>XX</w:t>
      </w:r>
      <w:r>
        <w:rPr>
          <w:sz w:val="24"/>
        </w:rPr>
        <w:t>日</w:t>
      </w:r>
      <w:r>
        <w:rPr>
          <w:rFonts w:hint="eastAsia"/>
          <w:sz w:val="24"/>
        </w:rPr>
        <w:t>全国碳排放管理标准化技术委员会</w:t>
      </w:r>
      <w:r>
        <w:rPr>
          <w:sz w:val="24"/>
        </w:rPr>
        <w:t>在北京组织召开了</w:t>
      </w:r>
      <w:r>
        <w:rPr>
          <w:rFonts w:hint="eastAsia"/>
          <w:sz w:val="24"/>
        </w:rPr>
        <w:t>国家</w:t>
      </w:r>
      <w:r>
        <w:rPr>
          <w:sz w:val="24"/>
        </w:rPr>
        <w:t>标准审查会。</w:t>
      </w:r>
      <w:r>
        <w:rPr>
          <w:rFonts w:hint="eastAsia"/>
          <w:sz w:val="24"/>
        </w:rPr>
        <w:t>会议上，审查组专家提出的主要意见如下：</w:t>
      </w:r>
    </w:p>
    <w:p w:rsidR="000D6032" w:rsidRDefault="00974A7D">
      <w:pPr>
        <w:pStyle w:val="13"/>
        <w:numPr>
          <w:ilvl w:val="0"/>
          <w:numId w:val="14"/>
        </w:numPr>
        <w:spacing w:line="360" w:lineRule="auto"/>
        <w:ind w:firstLineChars="0"/>
        <w:rPr>
          <w:sz w:val="24"/>
        </w:rPr>
      </w:pPr>
      <w:r>
        <w:rPr>
          <w:rFonts w:hint="eastAsia"/>
          <w:sz w:val="24"/>
        </w:rPr>
        <w:t>XXXXXXXXXXXXXXX</w:t>
      </w:r>
      <w:r>
        <w:rPr>
          <w:rFonts w:hint="eastAsia"/>
          <w:sz w:val="24"/>
        </w:rPr>
        <w:t>；</w:t>
      </w:r>
    </w:p>
    <w:p w:rsidR="000D6032" w:rsidRDefault="00974A7D">
      <w:pPr>
        <w:pStyle w:val="13"/>
        <w:numPr>
          <w:ilvl w:val="0"/>
          <w:numId w:val="14"/>
        </w:numPr>
        <w:spacing w:line="360" w:lineRule="auto"/>
        <w:ind w:firstLineChars="0"/>
        <w:rPr>
          <w:sz w:val="24"/>
        </w:rPr>
      </w:pPr>
      <w:r>
        <w:rPr>
          <w:rFonts w:hint="eastAsia"/>
          <w:sz w:val="24"/>
        </w:rPr>
        <w:t>XXXXXXXXXXXXXXX</w:t>
      </w:r>
      <w:r>
        <w:rPr>
          <w:rFonts w:hint="eastAsia"/>
          <w:sz w:val="24"/>
        </w:rPr>
        <w:t>；</w:t>
      </w:r>
    </w:p>
    <w:p w:rsidR="000D6032" w:rsidRDefault="00974A7D">
      <w:pPr>
        <w:pStyle w:val="13"/>
        <w:numPr>
          <w:ilvl w:val="0"/>
          <w:numId w:val="14"/>
        </w:numPr>
        <w:spacing w:line="360" w:lineRule="auto"/>
        <w:ind w:firstLineChars="0"/>
        <w:rPr>
          <w:sz w:val="24"/>
        </w:rPr>
      </w:pPr>
      <w:r>
        <w:rPr>
          <w:rFonts w:hint="eastAsia"/>
          <w:sz w:val="24"/>
        </w:rPr>
        <w:t>XXXXXXXXXXXXXXX</w:t>
      </w:r>
      <w:r>
        <w:rPr>
          <w:rFonts w:hint="eastAsia"/>
          <w:sz w:val="24"/>
        </w:rPr>
        <w:t>；</w:t>
      </w:r>
    </w:p>
    <w:p w:rsidR="000D6032" w:rsidRDefault="00974A7D">
      <w:pPr>
        <w:spacing w:line="360" w:lineRule="auto"/>
        <w:ind w:firstLine="539"/>
        <w:rPr>
          <w:sz w:val="24"/>
        </w:rPr>
      </w:pPr>
      <w:r>
        <w:rPr>
          <w:rFonts w:hint="eastAsia"/>
          <w:sz w:val="24"/>
        </w:rPr>
        <w:t>审查会后起草组根据专家意见对标准文本进行了修改，形成了报批稿。</w:t>
      </w:r>
    </w:p>
    <w:p w:rsidR="000D6032" w:rsidRDefault="00974A7D">
      <w:pPr>
        <w:numPr>
          <w:ilvl w:val="0"/>
          <w:numId w:val="1"/>
        </w:numPr>
        <w:spacing w:line="360" w:lineRule="auto"/>
        <w:rPr>
          <w:b/>
          <w:bCs/>
          <w:sz w:val="28"/>
        </w:rPr>
      </w:pPr>
      <w:r>
        <w:rPr>
          <w:rFonts w:hint="eastAsia"/>
          <w:b/>
          <w:bCs/>
          <w:sz w:val="28"/>
        </w:rPr>
        <w:t>标准制定的依据与指导思想</w:t>
      </w:r>
    </w:p>
    <w:p w:rsidR="00B87B73" w:rsidRDefault="00974A7D" w:rsidP="00E33DED">
      <w:pPr>
        <w:numPr>
          <w:ilvl w:val="1"/>
          <w:numId w:val="1"/>
        </w:numPr>
        <w:adjustRightInd w:val="0"/>
        <w:snapToGrid w:val="0"/>
        <w:spacing w:beforeLines="50" w:before="156" w:afterLines="50" w:after="156" w:line="324" w:lineRule="auto"/>
        <w:rPr>
          <w:sz w:val="24"/>
        </w:rPr>
      </w:pPr>
      <w:r>
        <w:rPr>
          <w:rFonts w:hint="eastAsia"/>
          <w:sz w:val="24"/>
        </w:rPr>
        <w:t>按照</w:t>
      </w:r>
      <w:r>
        <w:rPr>
          <w:sz w:val="24"/>
        </w:rPr>
        <w:t>GB/T1.1-2009</w:t>
      </w:r>
      <w:r>
        <w:rPr>
          <w:rFonts w:hint="eastAsia"/>
          <w:sz w:val="24"/>
        </w:rPr>
        <w:t>的要求和规定编写本标准内容；</w:t>
      </w:r>
    </w:p>
    <w:p w:rsidR="00B87B73" w:rsidRDefault="00974A7D" w:rsidP="00E33DED">
      <w:pPr>
        <w:numPr>
          <w:ilvl w:val="1"/>
          <w:numId w:val="1"/>
        </w:numPr>
        <w:adjustRightInd w:val="0"/>
        <w:snapToGrid w:val="0"/>
        <w:spacing w:beforeLines="50" w:before="156" w:afterLines="50" w:after="156" w:line="324" w:lineRule="auto"/>
        <w:rPr>
          <w:sz w:val="24"/>
        </w:rPr>
      </w:pPr>
      <w:r>
        <w:rPr>
          <w:rFonts w:hint="eastAsia"/>
          <w:sz w:val="24"/>
        </w:rPr>
        <w:t>与现有的有关温室气体管理方面的国际标准、国际组织标准以及国家标准相协调。</w:t>
      </w:r>
    </w:p>
    <w:p w:rsidR="000D6032" w:rsidRDefault="00974A7D">
      <w:pPr>
        <w:numPr>
          <w:ilvl w:val="0"/>
          <w:numId w:val="1"/>
        </w:numPr>
        <w:spacing w:line="360" w:lineRule="auto"/>
        <w:rPr>
          <w:b/>
          <w:bCs/>
          <w:sz w:val="28"/>
        </w:rPr>
      </w:pPr>
      <w:r>
        <w:rPr>
          <w:rFonts w:hint="eastAsia"/>
          <w:b/>
          <w:bCs/>
          <w:sz w:val="28"/>
        </w:rPr>
        <w:t>技术内容说明</w:t>
      </w:r>
    </w:p>
    <w:p w:rsidR="000D6032" w:rsidRDefault="00974A7D">
      <w:pPr>
        <w:tabs>
          <w:tab w:val="left" w:pos="720"/>
          <w:tab w:val="left" w:pos="2160"/>
          <w:tab w:val="left" w:pos="2880"/>
        </w:tabs>
        <w:spacing w:line="360" w:lineRule="auto"/>
        <w:ind w:firstLineChars="200" w:firstLine="480"/>
        <w:rPr>
          <w:sz w:val="24"/>
        </w:rPr>
      </w:pPr>
      <w:r>
        <w:rPr>
          <w:rFonts w:hint="eastAsia"/>
          <w:sz w:val="24"/>
        </w:rPr>
        <w:t>标准共包括</w:t>
      </w:r>
      <w:r>
        <w:rPr>
          <w:rFonts w:hint="eastAsia"/>
          <w:sz w:val="24"/>
        </w:rPr>
        <w:t>4</w:t>
      </w:r>
      <w:r>
        <w:rPr>
          <w:rFonts w:hint="eastAsia"/>
          <w:sz w:val="24"/>
        </w:rPr>
        <w:t>部分内容，即：范围、规范性引用文件、术语和定义、温室气体减排量评估内容。</w:t>
      </w:r>
    </w:p>
    <w:p w:rsidR="00B87B73" w:rsidRDefault="00974A7D" w:rsidP="00E33DED">
      <w:pPr>
        <w:numPr>
          <w:ilvl w:val="1"/>
          <w:numId w:val="1"/>
        </w:numPr>
        <w:adjustRightInd w:val="0"/>
        <w:snapToGrid w:val="0"/>
        <w:spacing w:beforeLines="50" w:before="156" w:afterLines="50" w:after="156" w:line="324" w:lineRule="auto"/>
        <w:rPr>
          <w:b/>
          <w:sz w:val="24"/>
        </w:rPr>
      </w:pPr>
      <w:r>
        <w:rPr>
          <w:rFonts w:hint="eastAsia"/>
          <w:b/>
          <w:sz w:val="24"/>
        </w:rPr>
        <w:t>范围</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 </w:t>
      </w:r>
      <w:r>
        <w:rPr>
          <w:rFonts w:hint="eastAsia"/>
          <w:sz w:val="24"/>
        </w:rPr>
        <w:t>本标准规定了</w:t>
      </w:r>
      <w:r w:rsidR="002F57F7">
        <w:rPr>
          <w:rFonts w:hint="eastAsia"/>
          <w:sz w:val="24"/>
        </w:rPr>
        <w:t>生物质废弃物（食品生产及加工）</w:t>
      </w:r>
      <w:r w:rsidR="00963F4B" w:rsidRPr="00963F4B">
        <w:rPr>
          <w:rFonts w:hint="eastAsia"/>
          <w:sz w:val="24"/>
        </w:rPr>
        <w:t>用作原材料项目</w:t>
      </w:r>
      <w:r>
        <w:rPr>
          <w:rFonts w:hint="eastAsia"/>
          <w:sz w:val="24"/>
        </w:rPr>
        <w:t>的温室气体减排量评估的术语和定义、评估内容、情景确定及排放源识别、减排量计算、监测及数据质量管理、减排量评估报告编制等内容。</w:t>
      </w:r>
    </w:p>
    <w:p w:rsidR="000D6032" w:rsidRDefault="00D1419F" w:rsidP="00D1419F">
      <w:pPr>
        <w:tabs>
          <w:tab w:val="left" w:pos="720"/>
          <w:tab w:val="left" w:pos="2160"/>
          <w:tab w:val="left" w:pos="2880"/>
        </w:tabs>
        <w:spacing w:line="360" w:lineRule="auto"/>
        <w:ind w:firstLineChars="200" w:firstLine="480"/>
        <w:rPr>
          <w:sz w:val="24"/>
        </w:rPr>
      </w:pPr>
      <w:r w:rsidRPr="00D1419F">
        <w:rPr>
          <w:rFonts w:hint="eastAsia"/>
          <w:sz w:val="24"/>
        </w:rPr>
        <w:t>本标准适用于</w:t>
      </w:r>
      <w:r w:rsidR="002F57F7">
        <w:rPr>
          <w:rFonts w:hint="eastAsia"/>
          <w:sz w:val="24"/>
        </w:rPr>
        <w:t>生物质废弃物（食品生产及加工）</w:t>
      </w:r>
      <w:r w:rsidRPr="00D1419F">
        <w:rPr>
          <w:rFonts w:hint="eastAsia"/>
          <w:sz w:val="24"/>
        </w:rPr>
        <w:t>用作原材料项目的温室气体减排量评估。</w:t>
      </w:r>
    </w:p>
    <w:p w:rsidR="00B87B73" w:rsidRDefault="00974A7D" w:rsidP="00E33DED">
      <w:pPr>
        <w:numPr>
          <w:ilvl w:val="1"/>
          <w:numId w:val="1"/>
        </w:numPr>
        <w:adjustRightInd w:val="0"/>
        <w:snapToGrid w:val="0"/>
        <w:spacing w:beforeLines="50" w:before="156" w:afterLines="50" w:after="156" w:line="324" w:lineRule="auto"/>
        <w:rPr>
          <w:b/>
          <w:sz w:val="24"/>
        </w:rPr>
      </w:pPr>
      <w:r>
        <w:rPr>
          <w:rFonts w:hint="eastAsia"/>
          <w:b/>
          <w:sz w:val="24"/>
        </w:rPr>
        <w:t>术语</w:t>
      </w:r>
    </w:p>
    <w:p w:rsidR="000D6032" w:rsidRDefault="00974A7D">
      <w:pPr>
        <w:tabs>
          <w:tab w:val="left" w:pos="720"/>
          <w:tab w:val="left" w:pos="2160"/>
          <w:tab w:val="left" w:pos="2880"/>
        </w:tabs>
        <w:spacing w:line="360" w:lineRule="auto"/>
        <w:ind w:firstLineChars="200" w:firstLine="480"/>
        <w:rPr>
          <w:sz w:val="24"/>
        </w:rPr>
      </w:pPr>
      <w:r>
        <w:rPr>
          <w:rFonts w:hint="eastAsia"/>
          <w:sz w:val="24"/>
        </w:rPr>
        <w:lastRenderedPageBreak/>
        <w:t>标准围绕</w:t>
      </w:r>
      <w:r>
        <w:rPr>
          <w:sz w:val="24"/>
        </w:rPr>
        <w:t>GHG</w:t>
      </w:r>
      <w:r>
        <w:rPr>
          <w:rFonts w:hint="eastAsia"/>
          <w:sz w:val="24"/>
        </w:rPr>
        <w:t>、减排项目相关内容共给出了</w:t>
      </w:r>
      <w:r w:rsidR="00D1419F">
        <w:rPr>
          <w:rFonts w:hint="eastAsia"/>
          <w:sz w:val="24"/>
        </w:rPr>
        <w:t>7</w:t>
      </w:r>
      <w:r>
        <w:rPr>
          <w:rFonts w:hint="eastAsia"/>
          <w:sz w:val="24"/>
        </w:rPr>
        <w:t>条术语，例如：温室气体、</w:t>
      </w:r>
      <w:r w:rsidR="002F57F7">
        <w:rPr>
          <w:rFonts w:hint="eastAsia"/>
          <w:sz w:val="24"/>
        </w:rPr>
        <w:t>生物质废弃物（食品生产及加工）</w:t>
      </w:r>
      <w:r>
        <w:rPr>
          <w:rFonts w:hint="eastAsia"/>
          <w:sz w:val="24"/>
        </w:rPr>
        <w:t>、</w:t>
      </w:r>
      <w:r w:rsidR="00D1419F">
        <w:rPr>
          <w:rFonts w:hint="eastAsia"/>
          <w:sz w:val="24"/>
        </w:rPr>
        <w:t>高温分解</w:t>
      </w:r>
      <w:r>
        <w:rPr>
          <w:rFonts w:hint="eastAsia"/>
          <w:sz w:val="24"/>
        </w:rPr>
        <w:t>，与项目有关的温室气体减排量、基准线情景等。对于有些基础术语，直接采用</w:t>
      </w:r>
      <w:r>
        <w:rPr>
          <w:rFonts w:hint="eastAsia"/>
          <w:sz w:val="24"/>
        </w:rPr>
        <w:t>GB/T32150-2015</w:t>
      </w:r>
      <w:r>
        <w:rPr>
          <w:rFonts w:hint="eastAsia"/>
          <w:sz w:val="24"/>
        </w:rPr>
        <w:t>中的解释。</w:t>
      </w:r>
    </w:p>
    <w:p w:rsidR="00B87B73" w:rsidRDefault="00974A7D" w:rsidP="00E33DED">
      <w:pPr>
        <w:numPr>
          <w:ilvl w:val="1"/>
          <w:numId w:val="1"/>
        </w:numPr>
        <w:adjustRightInd w:val="0"/>
        <w:snapToGrid w:val="0"/>
        <w:spacing w:beforeLines="50" w:before="156" w:afterLines="50" w:after="156" w:line="324" w:lineRule="auto"/>
        <w:rPr>
          <w:b/>
          <w:sz w:val="24"/>
        </w:rPr>
      </w:pPr>
      <w:r>
        <w:rPr>
          <w:rFonts w:hint="eastAsia"/>
          <w:b/>
          <w:sz w:val="24"/>
        </w:rPr>
        <w:t xml:space="preserve"> </w:t>
      </w:r>
      <w:r>
        <w:rPr>
          <w:rFonts w:hint="eastAsia"/>
          <w:b/>
          <w:sz w:val="24"/>
        </w:rPr>
        <w:t>温室气体减排量评估内容</w:t>
      </w:r>
    </w:p>
    <w:p w:rsidR="000D6032" w:rsidRDefault="00974A7D">
      <w:pPr>
        <w:spacing w:line="360" w:lineRule="auto"/>
        <w:rPr>
          <w:b/>
          <w:sz w:val="24"/>
        </w:rPr>
      </w:pPr>
      <w:r>
        <w:rPr>
          <w:rFonts w:hint="eastAsia"/>
          <w:b/>
          <w:sz w:val="24"/>
        </w:rPr>
        <w:t xml:space="preserve"> </w:t>
      </w:r>
      <w:r>
        <w:rPr>
          <w:rFonts w:hint="eastAsia"/>
          <w:b/>
          <w:sz w:val="24"/>
        </w:rPr>
        <w:t>（</w:t>
      </w:r>
      <w:r>
        <w:rPr>
          <w:rFonts w:hint="eastAsia"/>
          <w:b/>
          <w:sz w:val="24"/>
        </w:rPr>
        <w:t>1</w:t>
      </w:r>
      <w:r>
        <w:rPr>
          <w:rFonts w:hint="eastAsia"/>
          <w:b/>
          <w:sz w:val="24"/>
        </w:rPr>
        <w:t>）</w:t>
      </w:r>
      <w:r>
        <w:rPr>
          <w:rFonts w:hint="eastAsia"/>
          <w:b/>
          <w:sz w:val="24"/>
        </w:rPr>
        <w:t xml:space="preserve"> </w:t>
      </w:r>
      <w:r>
        <w:rPr>
          <w:rFonts w:hint="eastAsia"/>
          <w:b/>
          <w:sz w:val="24"/>
        </w:rPr>
        <w:t>概述</w:t>
      </w:r>
    </w:p>
    <w:p w:rsidR="000D6032" w:rsidRDefault="00974A7D">
      <w:pPr>
        <w:tabs>
          <w:tab w:val="left" w:pos="720"/>
          <w:tab w:val="left" w:pos="2160"/>
          <w:tab w:val="left" w:pos="2880"/>
        </w:tabs>
        <w:spacing w:line="360" w:lineRule="auto"/>
        <w:rPr>
          <w:sz w:val="24"/>
        </w:rPr>
      </w:pPr>
      <w:r>
        <w:rPr>
          <w:rFonts w:hint="eastAsia"/>
          <w:sz w:val="24"/>
        </w:rPr>
        <w:t xml:space="preserve">    </w:t>
      </w:r>
      <w:r>
        <w:rPr>
          <w:rFonts w:hint="eastAsia"/>
          <w:sz w:val="24"/>
        </w:rPr>
        <w:t>本节简要概括了温室气体减排量评估的主要内容，并对项目的适用条件进行了规定。</w:t>
      </w:r>
    </w:p>
    <w:p w:rsidR="000D6032" w:rsidRDefault="00974A7D">
      <w:pPr>
        <w:tabs>
          <w:tab w:val="left" w:pos="720"/>
          <w:tab w:val="left" w:pos="2160"/>
          <w:tab w:val="left" w:pos="2880"/>
        </w:tabs>
        <w:spacing w:line="360" w:lineRule="auto"/>
        <w:rPr>
          <w:b/>
          <w:sz w:val="24"/>
        </w:rPr>
      </w:pPr>
      <w:r>
        <w:rPr>
          <w:rFonts w:hint="eastAsia"/>
          <w:b/>
          <w:sz w:val="24"/>
        </w:rPr>
        <w:t xml:space="preserve"> </w:t>
      </w:r>
      <w:r>
        <w:rPr>
          <w:rFonts w:hint="eastAsia"/>
          <w:b/>
          <w:sz w:val="24"/>
        </w:rPr>
        <w:t>（</w:t>
      </w:r>
      <w:r>
        <w:rPr>
          <w:rFonts w:hint="eastAsia"/>
          <w:b/>
          <w:sz w:val="24"/>
        </w:rPr>
        <w:t>2</w:t>
      </w:r>
      <w:r>
        <w:rPr>
          <w:rFonts w:hint="eastAsia"/>
          <w:b/>
          <w:sz w:val="24"/>
        </w:rPr>
        <w:t>）边界及排放源识别</w:t>
      </w:r>
    </w:p>
    <w:p w:rsidR="000D6032" w:rsidRDefault="00974A7D">
      <w:pPr>
        <w:tabs>
          <w:tab w:val="left" w:pos="720"/>
          <w:tab w:val="left" w:pos="2160"/>
          <w:tab w:val="left" w:pos="2880"/>
        </w:tabs>
        <w:spacing w:line="360" w:lineRule="auto"/>
        <w:ind w:firstLineChars="200" w:firstLine="480"/>
        <w:rPr>
          <w:sz w:val="24"/>
        </w:rPr>
      </w:pPr>
      <w:r>
        <w:rPr>
          <w:rFonts w:hint="eastAsia"/>
          <w:sz w:val="24"/>
        </w:rPr>
        <w:t>项目边界的确定较为明确，即与项目有关的和受项目影响的设备、设施（系统）或组织等。</w:t>
      </w:r>
    </w:p>
    <w:p w:rsidR="000D6032" w:rsidRDefault="00974A7D">
      <w:pPr>
        <w:tabs>
          <w:tab w:val="left" w:pos="720"/>
          <w:tab w:val="left" w:pos="2160"/>
          <w:tab w:val="left" w:pos="2880"/>
        </w:tabs>
        <w:spacing w:line="360" w:lineRule="auto"/>
        <w:ind w:firstLineChars="200" w:firstLine="480"/>
        <w:rPr>
          <w:sz w:val="24"/>
        </w:rPr>
      </w:pPr>
      <w:r>
        <w:rPr>
          <w:rFonts w:hint="eastAsia"/>
          <w:sz w:val="24"/>
        </w:rPr>
        <w:t>本节参考了我国温室气体自愿减排项目方法学</w:t>
      </w:r>
      <w:r>
        <w:rPr>
          <w:rFonts w:hint="eastAsia"/>
          <w:sz w:val="24"/>
        </w:rPr>
        <w:t>CM-0</w:t>
      </w:r>
      <w:r w:rsidR="00D1419F">
        <w:rPr>
          <w:rFonts w:hint="eastAsia"/>
          <w:sz w:val="24"/>
        </w:rPr>
        <w:t>80</w:t>
      </w:r>
      <w:r>
        <w:rPr>
          <w:rFonts w:hint="eastAsia"/>
          <w:sz w:val="24"/>
        </w:rPr>
        <w:t>-V01</w:t>
      </w:r>
      <w:r>
        <w:rPr>
          <w:rFonts w:hint="eastAsia"/>
          <w:sz w:val="24"/>
        </w:rPr>
        <w:t>《</w:t>
      </w:r>
      <w:r w:rsidR="00D1419F" w:rsidRPr="00D1419F">
        <w:rPr>
          <w:rFonts w:hint="eastAsia"/>
          <w:sz w:val="24"/>
        </w:rPr>
        <w:t>生物质废弃物用作纸浆、硬纸板、纤维板或生物油生产原料以避免排放</w:t>
      </w:r>
      <w:r>
        <w:rPr>
          <w:rFonts w:hint="eastAsia"/>
          <w:sz w:val="24"/>
        </w:rPr>
        <w:t>》中关于项目边界的要求，给出了减排量核算时候的边界范围以及基准线和项目的排放源</w:t>
      </w:r>
      <w:r w:rsidR="00E33DED">
        <w:rPr>
          <w:rFonts w:hint="eastAsia"/>
          <w:sz w:val="24"/>
        </w:rPr>
        <w:t>，</w:t>
      </w:r>
      <w:r>
        <w:rPr>
          <w:rFonts w:hint="eastAsia"/>
          <w:sz w:val="24"/>
        </w:rPr>
        <w:t>与方法学的规定保持一致。</w:t>
      </w:r>
    </w:p>
    <w:p w:rsidR="00D1419F" w:rsidRPr="00D1419F" w:rsidRDefault="00D1419F" w:rsidP="00D1419F">
      <w:pPr>
        <w:tabs>
          <w:tab w:val="left" w:pos="720"/>
          <w:tab w:val="left" w:pos="2160"/>
          <w:tab w:val="left" w:pos="2880"/>
        </w:tabs>
        <w:spacing w:line="360" w:lineRule="auto"/>
        <w:ind w:firstLineChars="200" w:firstLine="480"/>
        <w:rPr>
          <w:sz w:val="24"/>
        </w:rPr>
      </w:pPr>
      <w:r w:rsidRPr="00D1419F">
        <w:rPr>
          <w:rFonts w:hint="eastAsia"/>
          <w:sz w:val="24"/>
        </w:rPr>
        <w:t>项目边界包括处理</w:t>
      </w:r>
      <w:r w:rsidR="002F57F7">
        <w:rPr>
          <w:rFonts w:hint="eastAsia"/>
          <w:sz w:val="24"/>
        </w:rPr>
        <w:t>生物质废弃物（食品生产及加工）</w:t>
      </w:r>
      <w:r w:rsidRPr="00D1419F">
        <w:rPr>
          <w:rFonts w:hint="eastAsia"/>
          <w:sz w:val="24"/>
        </w:rPr>
        <w:t>、任何现场发电和</w:t>
      </w:r>
      <w:r w:rsidRPr="00D1419F">
        <w:rPr>
          <w:rFonts w:hint="eastAsia"/>
          <w:sz w:val="24"/>
        </w:rPr>
        <w:t>/</w:t>
      </w:r>
      <w:r w:rsidRPr="00D1419F">
        <w:rPr>
          <w:rFonts w:hint="eastAsia"/>
          <w:sz w:val="24"/>
        </w:rPr>
        <w:t>或耗电、现场</w:t>
      </w:r>
      <w:r w:rsidR="00D75EBE">
        <w:rPr>
          <w:rFonts w:hint="eastAsia"/>
          <w:sz w:val="24"/>
        </w:rPr>
        <w:t>化石燃料</w:t>
      </w:r>
      <w:r w:rsidRPr="00D1419F">
        <w:rPr>
          <w:rFonts w:hint="eastAsia"/>
          <w:sz w:val="24"/>
        </w:rPr>
        <w:t>消耗及产生热能的设施。</w:t>
      </w:r>
    </w:p>
    <w:p w:rsidR="000D6032" w:rsidRDefault="00D1419F" w:rsidP="00D1419F">
      <w:pPr>
        <w:tabs>
          <w:tab w:val="left" w:pos="720"/>
          <w:tab w:val="left" w:pos="2160"/>
          <w:tab w:val="left" w:pos="2880"/>
        </w:tabs>
        <w:spacing w:line="360" w:lineRule="auto"/>
        <w:ind w:firstLineChars="200" w:firstLine="480"/>
        <w:rPr>
          <w:sz w:val="24"/>
        </w:rPr>
      </w:pPr>
      <w:r w:rsidRPr="00D1419F">
        <w:rPr>
          <w:rFonts w:hint="eastAsia"/>
          <w:sz w:val="24"/>
        </w:rPr>
        <w:t>因与传统废弃物处理相比，项目活动增加了运输距离，因此项目边界还应包括将</w:t>
      </w:r>
      <w:r w:rsidR="002F57F7">
        <w:rPr>
          <w:rFonts w:hint="eastAsia"/>
          <w:sz w:val="24"/>
        </w:rPr>
        <w:t>生物质废弃物（食品生产及加工）</w:t>
      </w:r>
      <w:r w:rsidRPr="00D1419F">
        <w:rPr>
          <w:rFonts w:hint="eastAsia"/>
          <w:sz w:val="24"/>
        </w:rPr>
        <w:t>送至生产工厂的运输</w:t>
      </w:r>
      <w:r w:rsidR="002F57F7">
        <w:rPr>
          <w:rFonts w:hint="eastAsia"/>
          <w:sz w:val="24"/>
        </w:rPr>
        <w:t>及生产工厂产生的固体废弃物送至处理场的运输</w:t>
      </w:r>
      <w:r w:rsidRPr="00D1419F">
        <w:rPr>
          <w:rFonts w:hint="eastAsia"/>
          <w:sz w:val="24"/>
        </w:rPr>
        <w:t>。</w:t>
      </w:r>
    </w:p>
    <w:p w:rsidR="000D6032" w:rsidRDefault="00974A7D">
      <w:pPr>
        <w:tabs>
          <w:tab w:val="left" w:pos="720"/>
          <w:tab w:val="left" w:pos="2160"/>
          <w:tab w:val="left" w:pos="2880"/>
        </w:tabs>
        <w:spacing w:line="360" w:lineRule="auto"/>
        <w:ind w:firstLineChars="200" w:firstLine="480"/>
        <w:rPr>
          <w:sz w:val="24"/>
        </w:rPr>
      </w:pPr>
      <w:r>
        <w:rPr>
          <w:rFonts w:hint="eastAsia"/>
          <w:sz w:val="24"/>
        </w:rPr>
        <w:t>在基于项目层面，</w:t>
      </w:r>
      <w:r w:rsidR="00D1419F">
        <w:rPr>
          <w:rFonts w:hint="eastAsia"/>
          <w:sz w:val="24"/>
        </w:rPr>
        <w:t>本标准</w:t>
      </w:r>
      <w:r>
        <w:rPr>
          <w:rFonts w:hint="eastAsia"/>
          <w:sz w:val="24"/>
        </w:rPr>
        <w:t>的</w:t>
      </w:r>
      <w:r w:rsidR="00E33DED">
        <w:rPr>
          <w:rFonts w:hint="eastAsia"/>
          <w:sz w:val="24"/>
        </w:rPr>
        <w:t>基准线情景排放不考虑生物质废弃物（食品生产及加工）分解排放的</w:t>
      </w:r>
      <w:r w:rsidR="00E33DED">
        <w:rPr>
          <w:rFonts w:hint="eastAsia"/>
          <w:sz w:val="24"/>
        </w:rPr>
        <w:t>CO2</w:t>
      </w:r>
      <w:r w:rsidR="00E33DED">
        <w:rPr>
          <w:rFonts w:hint="eastAsia"/>
          <w:sz w:val="24"/>
        </w:rPr>
        <w:t>以及</w:t>
      </w:r>
      <w:r w:rsidR="00E33DED">
        <w:rPr>
          <w:rFonts w:hint="eastAsia"/>
          <w:sz w:val="24"/>
        </w:rPr>
        <w:t>N2O</w:t>
      </w:r>
      <w:r w:rsidR="00E33DED">
        <w:rPr>
          <w:rFonts w:hint="eastAsia"/>
          <w:sz w:val="24"/>
        </w:rPr>
        <w:t>，主要排放源是</w:t>
      </w:r>
      <w:r w:rsidR="00E33DED">
        <w:rPr>
          <w:rFonts w:hint="eastAsia"/>
          <w:sz w:val="24"/>
        </w:rPr>
        <w:t>CH4</w:t>
      </w:r>
      <w:r w:rsidR="00E33DED">
        <w:rPr>
          <w:rFonts w:hint="eastAsia"/>
          <w:sz w:val="24"/>
        </w:rPr>
        <w:t>。项目活动中运输活动、现场发电</w:t>
      </w:r>
      <w:r w:rsidR="00E33DED">
        <w:rPr>
          <w:rFonts w:hint="eastAsia"/>
          <w:sz w:val="24"/>
        </w:rPr>
        <w:t>/</w:t>
      </w:r>
      <w:r w:rsidR="00E33DED">
        <w:rPr>
          <w:rFonts w:hint="eastAsia"/>
          <w:sz w:val="24"/>
        </w:rPr>
        <w:t>耗电、现场化石燃料消耗等产生的排放为</w:t>
      </w:r>
      <w:r w:rsidR="00E33DED">
        <w:rPr>
          <w:rFonts w:hint="eastAsia"/>
          <w:sz w:val="24"/>
        </w:rPr>
        <w:t>CO2</w:t>
      </w:r>
      <w:r w:rsidR="00E33DED">
        <w:rPr>
          <w:rFonts w:hint="eastAsia"/>
          <w:sz w:val="24"/>
        </w:rPr>
        <w:t>，热解过程中产生的排放为</w:t>
      </w:r>
      <w:r w:rsidR="00E33DED">
        <w:rPr>
          <w:rFonts w:hint="eastAsia"/>
          <w:sz w:val="24"/>
        </w:rPr>
        <w:t>CH4</w:t>
      </w:r>
      <w:r w:rsidR="00E33DED">
        <w:rPr>
          <w:rFonts w:hint="eastAsia"/>
          <w:sz w:val="24"/>
        </w:rPr>
        <w:t>和</w:t>
      </w:r>
      <w:r w:rsidR="00E33DED">
        <w:rPr>
          <w:rFonts w:hint="eastAsia"/>
          <w:sz w:val="24"/>
        </w:rPr>
        <w:t>N2O</w:t>
      </w:r>
      <w:r>
        <w:rPr>
          <w:rFonts w:hint="eastAsia"/>
          <w:sz w:val="24"/>
        </w:rPr>
        <w:t>，与方法学</w:t>
      </w:r>
      <w:r>
        <w:rPr>
          <w:rFonts w:hint="eastAsia"/>
          <w:sz w:val="24"/>
        </w:rPr>
        <w:t>CM-0</w:t>
      </w:r>
      <w:r w:rsidR="00D1419F">
        <w:rPr>
          <w:rFonts w:hint="eastAsia"/>
          <w:sz w:val="24"/>
        </w:rPr>
        <w:t>80</w:t>
      </w:r>
      <w:r>
        <w:rPr>
          <w:rFonts w:hint="eastAsia"/>
          <w:sz w:val="24"/>
        </w:rPr>
        <w:t>-V01</w:t>
      </w:r>
      <w:r>
        <w:rPr>
          <w:rFonts w:hint="eastAsia"/>
          <w:sz w:val="24"/>
        </w:rPr>
        <w:t>中排放源的规定保持一致。</w:t>
      </w:r>
    </w:p>
    <w:p w:rsidR="000D6032" w:rsidRDefault="000D6032">
      <w:pPr>
        <w:tabs>
          <w:tab w:val="left" w:pos="720"/>
          <w:tab w:val="left" w:pos="2160"/>
          <w:tab w:val="left" w:pos="2880"/>
        </w:tabs>
        <w:spacing w:line="360" w:lineRule="auto"/>
        <w:ind w:firstLineChars="200" w:firstLine="480"/>
        <w:rPr>
          <w:sz w:val="24"/>
        </w:rPr>
      </w:pPr>
    </w:p>
    <w:p w:rsidR="000D6032" w:rsidRDefault="00974A7D">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3</w:t>
      </w:r>
      <w:r>
        <w:rPr>
          <w:rFonts w:hint="eastAsia"/>
          <w:b/>
          <w:sz w:val="24"/>
        </w:rPr>
        <w:t>）</w:t>
      </w:r>
      <w:r>
        <w:rPr>
          <w:rFonts w:hint="eastAsia"/>
          <w:b/>
          <w:sz w:val="24"/>
        </w:rPr>
        <w:t xml:space="preserve"> </w:t>
      </w:r>
      <w:r>
        <w:rPr>
          <w:rFonts w:hint="eastAsia"/>
          <w:b/>
          <w:sz w:val="24"/>
        </w:rPr>
        <w:t>温室气体种类的确定</w:t>
      </w:r>
    </w:p>
    <w:p w:rsidR="000D6032" w:rsidRDefault="00974A7D">
      <w:pPr>
        <w:tabs>
          <w:tab w:val="left" w:pos="720"/>
          <w:tab w:val="left" w:pos="2160"/>
          <w:tab w:val="left" w:pos="2880"/>
        </w:tabs>
        <w:spacing w:line="360" w:lineRule="auto"/>
        <w:ind w:firstLineChars="200" w:firstLine="480"/>
        <w:rPr>
          <w:sz w:val="24"/>
        </w:rPr>
      </w:pPr>
      <w:r>
        <w:rPr>
          <w:rFonts w:hint="eastAsia"/>
          <w:sz w:val="24"/>
        </w:rPr>
        <w:t>按照温室气体定义，</w:t>
      </w:r>
      <w:r>
        <w:rPr>
          <w:rFonts w:hint="eastAsia"/>
          <w:sz w:val="24"/>
        </w:rPr>
        <w:t>GB//T32150-2015</w:t>
      </w:r>
      <w:r>
        <w:rPr>
          <w:rFonts w:hint="eastAsia"/>
          <w:sz w:val="24"/>
        </w:rPr>
        <w:t>给出了</w:t>
      </w:r>
      <w:r>
        <w:rPr>
          <w:rFonts w:hint="eastAsia"/>
          <w:sz w:val="24"/>
        </w:rPr>
        <w:t>7</w:t>
      </w:r>
      <w:r>
        <w:rPr>
          <w:rFonts w:hint="eastAsia"/>
          <w:sz w:val="24"/>
        </w:rPr>
        <w:t>类温室气体，即：二氧化碳（</w:t>
      </w:r>
      <w:r>
        <w:rPr>
          <w:rFonts w:hint="eastAsia"/>
          <w:sz w:val="24"/>
        </w:rPr>
        <w:t>CO</w:t>
      </w:r>
      <w:r>
        <w:rPr>
          <w:rFonts w:hint="eastAsia"/>
          <w:sz w:val="24"/>
          <w:vertAlign w:val="subscript"/>
        </w:rPr>
        <w:t>2</w:t>
      </w:r>
      <w:r>
        <w:rPr>
          <w:rFonts w:hint="eastAsia"/>
          <w:sz w:val="24"/>
        </w:rPr>
        <w:t>）、甲烷（</w:t>
      </w:r>
      <w:r>
        <w:rPr>
          <w:rFonts w:hint="eastAsia"/>
          <w:sz w:val="24"/>
        </w:rPr>
        <w:t>CH</w:t>
      </w:r>
      <w:r>
        <w:rPr>
          <w:rFonts w:hint="eastAsia"/>
          <w:sz w:val="24"/>
          <w:vertAlign w:val="subscript"/>
        </w:rPr>
        <w:t>4</w:t>
      </w:r>
      <w:r>
        <w:rPr>
          <w:rFonts w:hint="eastAsia"/>
          <w:sz w:val="24"/>
        </w:rPr>
        <w:t>）、氧化亚氮（</w:t>
      </w:r>
      <w:r>
        <w:rPr>
          <w:rFonts w:hint="eastAsia"/>
          <w:sz w:val="24"/>
        </w:rPr>
        <w:t>N</w:t>
      </w:r>
      <w:r>
        <w:rPr>
          <w:rFonts w:hint="eastAsia"/>
          <w:sz w:val="24"/>
          <w:vertAlign w:val="subscript"/>
        </w:rPr>
        <w:t>2</w:t>
      </w:r>
      <w:r>
        <w:rPr>
          <w:rFonts w:hint="eastAsia"/>
          <w:sz w:val="24"/>
        </w:rPr>
        <w:t>O</w:t>
      </w:r>
      <w:r>
        <w:rPr>
          <w:rFonts w:hint="eastAsia"/>
          <w:sz w:val="24"/>
        </w:rPr>
        <w:t>）、氢氟碳化物（</w:t>
      </w:r>
      <w:r>
        <w:rPr>
          <w:rFonts w:hint="eastAsia"/>
          <w:sz w:val="24"/>
        </w:rPr>
        <w:t>HFCs</w:t>
      </w:r>
      <w:r>
        <w:rPr>
          <w:rFonts w:hint="eastAsia"/>
          <w:sz w:val="24"/>
        </w:rPr>
        <w:t>）、全氟碳化物（</w:t>
      </w:r>
      <w:r>
        <w:rPr>
          <w:rFonts w:hint="eastAsia"/>
          <w:sz w:val="24"/>
        </w:rPr>
        <w:t>PFCs</w:t>
      </w:r>
      <w:r>
        <w:rPr>
          <w:rFonts w:hint="eastAsia"/>
          <w:sz w:val="24"/>
        </w:rPr>
        <w:t>）、六氟化硫（</w:t>
      </w:r>
      <w:r>
        <w:rPr>
          <w:rFonts w:hint="eastAsia"/>
          <w:sz w:val="24"/>
        </w:rPr>
        <w:t>SF</w:t>
      </w:r>
      <w:r>
        <w:rPr>
          <w:rFonts w:hint="eastAsia"/>
          <w:sz w:val="24"/>
          <w:vertAlign w:val="subscript"/>
        </w:rPr>
        <w:t>6</w:t>
      </w:r>
      <w:r>
        <w:rPr>
          <w:rFonts w:hint="eastAsia"/>
          <w:sz w:val="24"/>
        </w:rPr>
        <w:t>）与三氟化氮（</w:t>
      </w:r>
      <w:r>
        <w:rPr>
          <w:rFonts w:hint="eastAsia"/>
          <w:sz w:val="24"/>
        </w:rPr>
        <w:t>NF</w:t>
      </w:r>
      <w:r>
        <w:rPr>
          <w:sz w:val="24"/>
          <w:vertAlign w:val="subscript"/>
        </w:rPr>
        <w:t>3</w:t>
      </w:r>
      <w:r>
        <w:rPr>
          <w:rFonts w:hint="eastAsia"/>
          <w:sz w:val="24"/>
        </w:rPr>
        <w:t>）。</w:t>
      </w:r>
      <w:r w:rsidR="00D1419F">
        <w:rPr>
          <w:rFonts w:hint="eastAsia"/>
          <w:sz w:val="24"/>
        </w:rPr>
        <w:t>本标准</w:t>
      </w:r>
      <w:r w:rsidR="00D1419F" w:rsidRPr="00D1419F">
        <w:rPr>
          <w:rFonts w:hint="eastAsia"/>
          <w:sz w:val="24"/>
        </w:rPr>
        <w:t>涉及的温室气体包含二氧化碳（</w:t>
      </w:r>
      <w:r w:rsidR="00D1419F" w:rsidRPr="00D1419F">
        <w:rPr>
          <w:rFonts w:hint="eastAsia"/>
          <w:sz w:val="24"/>
        </w:rPr>
        <w:t>CO2</w:t>
      </w:r>
      <w:r w:rsidR="00D1419F" w:rsidRPr="00D1419F">
        <w:rPr>
          <w:rFonts w:hint="eastAsia"/>
          <w:sz w:val="24"/>
        </w:rPr>
        <w:t>）、甲烷（</w:t>
      </w:r>
      <w:r w:rsidR="00D1419F" w:rsidRPr="00D1419F">
        <w:rPr>
          <w:rFonts w:hint="eastAsia"/>
          <w:sz w:val="24"/>
        </w:rPr>
        <w:t>CH4</w:t>
      </w:r>
      <w:r w:rsidR="00D1419F" w:rsidRPr="00D1419F">
        <w:rPr>
          <w:rFonts w:hint="eastAsia"/>
          <w:sz w:val="24"/>
        </w:rPr>
        <w:t>）及氧化亚氮（</w:t>
      </w:r>
      <w:r w:rsidR="00D1419F" w:rsidRPr="00D1419F">
        <w:rPr>
          <w:rFonts w:hint="eastAsia"/>
          <w:sz w:val="24"/>
        </w:rPr>
        <w:t>N2O</w:t>
      </w:r>
      <w:r w:rsidR="00D1419F" w:rsidRPr="00D1419F">
        <w:rPr>
          <w:rFonts w:hint="eastAsia"/>
          <w:sz w:val="24"/>
        </w:rPr>
        <w:t>）。</w:t>
      </w:r>
    </w:p>
    <w:p w:rsidR="000D6032" w:rsidRDefault="000D6032">
      <w:pPr>
        <w:tabs>
          <w:tab w:val="left" w:pos="720"/>
          <w:tab w:val="left" w:pos="2160"/>
          <w:tab w:val="left" w:pos="2880"/>
        </w:tabs>
        <w:spacing w:line="360" w:lineRule="auto"/>
        <w:ind w:firstLineChars="200" w:firstLine="480"/>
        <w:rPr>
          <w:sz w:val="24"/>
        </w:rPr>
      </w:pPr>
    </w:p>
    <w:p w:rsidR="00B87B73" w:rsidRDefault="00974A7D">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4</w:t>
      </w:r>
      <w:r>
        <w:rPr>
          <w:rFonts w:hint="eastAsia"/>
          <w:b/>
          <w:sz w:val="24"/>
        </w:rPr>
        <w:t>）项目及基准线情景确定</w:t>
      </w:r>
    </w:p>
    <w:p w:rsidR="000D6032" w:rsidRDefault="005373E6" w:rsidP="005373E6">
      <w:pPr>
        <w:tabs>
          <w:tab w:val="left" w:pos="720"/>
          <w:tab w:val="left" w:pos="2160"/>
          <w:tab w:val="left" w:pos="2880"/>
        </w:tabs>
        <w:spacing w:line="360" w:lineRule="auto"/>
        <w:ind w:firstLineChars="200" w:firstLine="480"/>
        <w:rPr>
          <w:sz w:val="24"/>
        </w:rPr>
      </w:pPr>
      <w:r w:rsidRPr="005373E6">
        <w:rPr>
          <w:rFonts w:hint="eastAsia"/>
          <w:sz w:val="24"/>
        </w:rPr>
        <w:t>项目确定的基准线情景是</w:t>
      </w:r>
      <w:r w:rsidR="002F57F7">
        <w:rPr>
          <w:rFonts w:hint="eastAsia"/>
          <w:sz w:val="24"/>
        </w:rPr>
        <w:t>生物质废弃物（食品生产及加工）</w:t>
      </w:r>
      <w:r w:rsidRPr="005373E6">
        <w:rPr>
          <w:rFonts w:hint="eastAsia"/>
          <w:sz w:val="24"/>
        </w:rPr>
        <w:t>在垃圾填埋场进行废弃物处理；项目情景采用</w:t>
      </w:r>
      <w:r w:rsidR="002F57F7">
        <w:rPr>
          <w:rFonts w:hint="eastAsia"/>
          <w:sz w:val="24"/>
        </w:rPr>
        <w:t>生物质废弃物（食品生产及加工）</w:t>
      </w:r>
      <w:r w:rsidRPr="005373E6">
        <w:rPr>
          <w:rFonts w:hint="eastAsia"/>
          <w:sz w:val="24"/>
        </w:rPr>
        <w:t>作为原材料生产纸浆和纸、纸板、纤维板或生物油等产品。</w:t>
      </w:r>
    </w:p>
    <w:p w:rsidR="00B87B73" w:rsidRDefault="00B87B73">
      <w:pPr>
        <w:tabs>
          <w:tab w:val="left" w:pos="720"/>
          <w:tab w:val="left" w:pos="2160"/>
          <w:tab w:val="left" w:pos="2880"/>
        </w:tabs>
        <w:spacing w:line="360" w:lineRule="auto"/>
        <w:ind w:firstLineChars="200" w:firstLine="482"/>
        <w:rPr>
          <w:b/>
          <w:sz w:val="24"/>
        </w:rPr>
      </w:pPr>
    </w:p>
    <w:p w:rsidR="000D6032" w:rsidRDefault="00974A7D">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5</w:t>
      </w:r>
      <w:r>
        <w:rPr>
          <w:rFonts w:hint="eastAsia"/>
          <w:b/>
          <w:sz w:val="24"/>
        </w:rPr>
        <w:t>）减排量计算</w:t>
      </w:r>
    </w:p>
    <w:p w:rsidR="000D6032" w:rsidRDefault="00974A7D">
      <w:pPr>
        <w:tabs>
          <w:tab w:val="left" w:pos="720"/>
          <w:tab w:val="left" w:pos="2160"/>
          <w:tab w:val="left" w:pos="2880"/>
        </w:tabs>
        <w:spacing w:line="360" w:lineRule="auto"/>
        <w:ind w:firstLineChars="200" w:firstLine="480"/>
        <w:rPr>
          <w:rFonts w:ascii="宋体"/>
          <w:sz w:val="24"/>
        </w:rPr>
      </w:pPr>
      <w:bookmarkStart w:id="1" w:name="_Toc292725054"/>
      <w:r>
        <w:rPr>
          <w:rFonts w:hint="eastAsia"/>
          <w:sz w:val="24"/>
        </w:rPr>
        <w:t>计算思路分两步，一是分别计算项目排放量</w:t>
      </w:r>
      <w:r w:rsidR="005373E6">
        <w:rPr>
          <w:rFonts w:hint="eastAsia"/>
          <w:sz w:val="24"/>
        </w:rPr>
        <w:t>、泄露</w:t>
      </w:r>
      <w:r>
        <w:rPr>
          <w:rFonts w:hint="eastAsia"/>
          <w:sz w:val="24"/>
        </w:rPr>
        <w:t>和基准线排放量，二是计算</w:t>
      </w:r>
      <w:r w:rsidR="005373E6">
        <w:rPr>
          <w:rFonts w:hint="eastAsia"/>
          <w:sz w:val="24"/>
        </w:rPr>
        <w:t>基准线排放量与项目排放量及泄露之和</w:t>
      </w:r>
      <w:r>
        <w:rPr>
          <w:rFonts w:hint="eastAsia"/>
          <w:sz w:val="24"/>
        </w:rPr>
        <w:t>的差值，得到减排量。标准参照备案的温室气体自愿减排项目方法学</w:t>
      </w:r>
      <w:r>
        <w:rPr>
          <w:rFonts w:hint="eastAsia"/>
          <w:sz w:val="24"/>
        </w:rPr>
        <w:t>CM-0</w:t>
      </w:r>
      <w:r w:rsidR="005373E6">
        <w:rPr>
          <w:rFonts w:hint="eastAsia"/>
          <w:sz w:val="24"/>
        </w:rPr>
        <w:t>80</w:t>
      </w:r>
      <w:r>
        <w:rPr>
          <w:rFonts w:hint="eastAsia"/>
          <w:sz w:val="24"/>
        </w:rPr>
        <w:t>-V01</w:t>
      </w:r>
      <w:r>
        <w:rPr>
          <w:rFonts w:hint="eastAsia"/>
          <w:sz w:val="24"/>
        </w:rPr>
        <w:t>规定了适用于</w:t>
      </w:r>
      <w:r w:rsidR="005373E6">
        <w:rPr>
          <w:rFonts w:hint="eastAsia"/>
          <w:sz w:val="24"/>
        </w:rPr>
        <w:t>生物质废弃物用作纸浆、硬纸板、纤维板或生物油生产原料以避免排放</w:t>
      </w:r>
      <w:r>
        <w:rPr>
          <w:rFonts w:hint="eastAsia"/>
          <w:sz w:val="24"/>
        </w:rPr>
        <w:t>减排项目的评估方法，</w:t>
      </w:r>
      <w:r>
        <w:rPr>
          <w:rFonts w:ascii="宋体" w:hint="eastAsia"/>
          <w:sz w:val="24"/>
        </w:rPr>
        <w:t>分别对项目和基准线情景下的</w:t>
      </w:r>
      <w:r>
        <w:rPr>
          <w:rFonts w:ascii="宋体"/>
          <w:sz w:val="24"/>
        </w:rPr>
        <w:t>温室气体</w:t>
      </w:r>
      <w:r>
        <w:rPr>
          <w:rFonts w:ascii="宋体" w:hint="eastAsia"/>
          <w:sz w:val="24"/>
        </w:rPr>
        <w:t>在一定时期内的排放量（以</w:t>
      </w:r>
      <w:r>
        <w:rPr>
          <w:sz w:val="24"/>
        </w:rPr>
        <w:t>CO</w:t>
      </w:r>
      <w:r>
        <w:rPr>
          <w:sz w:val="24"/>
          <w:vertAlign w:val="subscript"/>
        </w:rPr>
        <w:t>2</w:t>
      </w:r>
      <w:r>
        <w:rPr>
          <w:sz w:val="24"/>
        </w:rPr>
        <w:t>e</w:t>
      </w:r>
      <w:r>
        <w:rPr>
          <w:sz w:val="24"/>
        </w:rPr>
        <w:t>计</w:t>
      </w:r>
      <w:r>
        <w:rPr>
          <w:rFonts w:ascii="宋体" w:hint="eastAsia"/>
          <w:sz w:val="24"/>
        </w:rPr>
        <w:t>）进行计算，经汇总得到项目排放量和基准线排放量。</w:t>
      </w:r>
    </w:p>
    <w:p w:rsidR="000D6032" w:rsidRDefault="00974A7D">
      <w:pPr>
        <w:tabs>
          <w:tab w:val="left" w:pos="720"/>
          <w:tab w:val="left" w:pos="2160"/>
          <w:tab w:val="left" w:pos="2880"/>
        </w:tabs>
        <w:spacing w:line="360" w:lineRule="auto"/>
        <w:ind w:firstLineChars="200" w:firstLine="480"/>
        <w:rPr>
          <w:rFonts w:ascii="宋体"/>
          <w:sz w:val="24"/>
        </w:rPr>
      </w:pPr>
      <w:r>
        <w:rPr>
          <w:rFonts w:ascii="宋体" w:hint="eastAsia"/>
          <w:sz w:val="24"/>
        </w:rPr>
        <w:t>对于第一步，标准给出了计算公式。详见标准的附录A。</w:t>
      </w:r>
    </w:p>
    <w:bookmarkEnd w:id="1"/>
    <w:p w:rsidR="000D6032" w:rsidRDefault="000D6032">
      <w:pPr>
        <w:tabs>
          <w:tab w:val="left" w:pos="720"/>
          <w:tab w:val="left" w:pos="2160"/>
          <w:tab w:val="left" w:pos="2880"/>
        </w:tabs>
        <w:spacing w:line="360" w:lineRule="auto"/>
        <w:ind w:firstLineChars="200" w:firstLine="480"/>
        <w:rPr>
          <w:rFonts w:ascii="宋体"/>
          <w:sz w:val="24"/>
        </w:rPr>
      </w:pPr>
    </w:p>
    <w:p w:rsidR="000D6032" w:rsidRDefault="00974A7D">
      <w:pPr>
        <w:numPr>
          <w:ilvl w:val="0"/>
          <w:numId w:val="15"/>
        </w:numPr>
        <w:tabs>
          <w:tab w:val="left" w:pos="720"/>
          <w:tab w:val="left" w:pos="2160"/>
          <w:tab w:val="left" w:pos="2880"/>
        </w:tabs>
        <w:spacing w:line="360" w:lineRule="auto"/>
        <w:ind w:firstLineChars="200" w:firstLine="482"/>
        <w:rPr>
          <w:b/>
          <w:sz w:val="24"/>
        </w:rPr>
      </w:pPr>
      <w:r>
        <w:rPr>
          <w:rFonts w:hint="eastAsia"/>
          <w:b/>
          <w:sz w:val="24"/>
        </w:rPr>
        <w:t>监测及数据质量管理</w:t>
      </w:r>
    </w:p>
    <w:p w:rsidR="000D6032" w:rsidRDefault="00974A7D">
      <w:pPr>
        <w:tabs>
          <w:tab w:val="left" w:pos="720"/>
          <w:tab w:val="left" w:pos="2160"/>
          <w:tab w:val="left" w:pos="2880"/>
        </w:tabs>
        <w:spacing w:line="360" w:lineRule="auto"/>
        <w:ind w:firstLineChars="200" w:firstLine="480"/>
        <w:rPr>
          <w:sz w:val="24"/>
        </w:rPr>
      </w:pPr>
      <w:r>
        <w:rPr>
          <w:rFonts w:hint="eastAsia"/>
          <w:sz w:val="24"/>
        </w:rPr>
        <w:t>分为两部分，分别为监测计划制定及数据监测，以及数据质量管理。其中，</w:t>
      </w:r>
      <w:r w:rsidR="002F57F7">
        <w:rPr>
          <w:rFonts w:hint="eastAsia"/>
          <w:sz w:val="24"/>
        </w:rPr>
        <w:t>生物质废弃物（食品生产及加工）</w:t>
      </w:r>
      <w:r w:rsidR="005373E6">
        <w:rPr>
          <w:rFonts w:hint="eastAsia"/>
          <w:sz w:val="24"/>
        </w:rPr>
        <w:t>用作纸浆、硬纸板、纤维板或生物油生产原料以避免排放</w:t>
      </w:r>
      <w:r>
        <w:rPr>
          <w:rFonts w:hint="eastAsia"/>
          <w:sz w:val="24"/>
        </w:rPr>
        <w:t>项目温室气体减排量评估的监测计划制定应按照</w:t>
      </w:r>
      <w:r>
        <w:rPr>
          <w:rFonts w:hint="eastAsia"/>
          <w:sz w:val="24"/>
        </w:rPr>
        <w:t>GB/T 33760-2017</w:t>
      </w:r>
      <w:r>
        <w:rPr>
          <w:rFonts w:hint="eastAsia"/>
          <w:sz w:val="24"/>
        </w:rPr>
        <w:t>中</w:t>
      </w:r>
      <w:r>
        <w:rPr>
          <w:rFonts w:hint="eastAsia"/>
          <w:sz w:val="24"/>
        </w:rPr>
        <w:t>5.10</w:t>
      </w:r>
      <w:r>
        <w:rPr>
          <w:rFonts w:hint="eastAsia"/>
          <w:sz w:val="24"/>
        </w:rPr>
        <w:t>执行。在监测方面，与国际标准的思路较为一致，即借鉴企业管理体系（质量、环境等），以</w:t>
      </w:r>
      <w:r>
        <w:rPr>
          <w:rFonts w:hint="eastAsia"/>
          <w:sz w:val="24"/>
        </w:rPr>
        <w:t>GHG</w:t>
      </w:r>
      <w:r>
        <w:rPr>
          <w:rFonts w:hint="eastAsia"/>
          <w:sz w:val="24"/>
        </w:rPr>
        <w:t>信息体系进行控制，对</w:t>
      </w:r>
      <w:r>
        <w:rPr>
          <w:rFonts w:hint="eastAsia"/>
          <w:sz w:val="24"/>
        </w:rPr>
        <w:t>8</w:t>
      </w:r>
      <w:r>
        <w:rPr>
          <w:rFonts w:hint="eastAsia"/>
          <w:sz w:val="24"/>
        </w:rPr>
        <w:t>方面的内容进行了规定。具体内容为：项目业主应建立监测计划用于指导取得、记录和分析项目和基准线情景的温室气体排放量的数据和信息（即温室气体信息体系）。监测计划应包含但不限于：</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监测目的；</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数据和信息的类型及计量单位；</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数据来源；</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监测方法，包括估算、测量或计算方式；</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监测次数和周期（考虑目标用户的需求）；</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lastRenderedPageBreak/>
        <w:t>数据和信息的质量保证和质量控制；</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监测职责；</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温室气体信息系统，包括数据的保存和存放位置。</w:t>
      </w:r>
    </w:p>
    <w:p w:rsidR="000D6032" w:rsidRDefault="00974A7D">
      <w:pPr>
        <w:tabs>
          <w:tab w:val="left" w:pos="720"/>
          <w:tab w:val="left" w:pos="2160"/>
          <w:tab w:val="left" w:pos="2880"/>
        </w:tabs>
        <w:spacing w:line="360" w:lineRule="auto"/>
        <w:rPr>
          <w:sz w:val="24"/>
        </w:rPr>
      </w:pPr>
      <w:r>
        <w:rPr>
          <w:rFonts w:hint="eastAsia"/>
          <w:sz w:val="24"/>
        </w:rPr>
        <w:t xml:space="preserve">    </w:t>
      </w:r>
      <w:r>
        <w:rPr>
          <w:rFonts w:hint="eastAsia"/>
          <w:sz w:val="24"/>
        </w:rPr>
        <w:t>项目业主应采取必要措施，确保监测计划有效实施。</w:t>
      </w:r>
    </w:p>
    <w:p w:rsidR="000D6032" w:rsidRDefault="00974A7D">
      <w:pPr>
        <w:tabs>
          <w:tab w:val="left" w:pos="720"/>
          <w:tab w:val="left" w:pos="2160"/>
          <w:tab w:val="left" w:pos="2880"/>
        </w:tabs>
        <w:spacing w:line="360" w:lineRule="auto"/>
        <w:ind w:firstLineChars="200" w:firstLine="480"/>
        <w:rPr>
          <w:sz w:val="24"/>
        </w:rPr>
      </w:pPr>
      <w:r>
        <w:rPr>
          <w:rFonts w:hint="eastAsia"/>
          <w:sz w:val="24"/>
        </w:rPr>
        <w:t>项目减排需要监测的数据及要求，标准起草组参考我国温室气体自愿减排项目方法学《</w:t>
      </w:r>
      <w:r w:rsidR="005373E6" w:rsidRPr="005373E6">
        <w:rPr>
          <w:rFonts w:hint="eastAsia"/>
          <w:sz w:val="24"/>
        </w:rPr>
        <w:t>生物质废弃物用作纸浆、硬纸板、纤维板或生物油生产原料以避免排放》</w:t>
      </w:r>
      <w:r>
        <w:rPr>
          <w:rFonts w:hint="eastAsia"/>
          <w:sz w:val="24"/>
        </w:rPr>
        <w:t>（</w:t>
      </w:r>
      <w:r>
        <w:rPr>
          <w:rFonts w:hint="eastAsia"/>
          <w:sz w:val="24"/>
        </w:rPr>
        <w:t>CM-0</w:t>
      </w:r>
      <w:r w:rsidR="005373E6">
        <w:rPr>
          <w:rFonts w:hint="eastAsia"/>
          <w:sz w:val="24"/>
        </w:rPr>
        <w:t>80</w:t>
      </w:r>
      <w:r>
        <w:rPr>
          <w:rFonts w:hint="eastAsia"/>
          <w:sz w:val="24"/>
        </w:rPr>
        <w:t>-V01</w:t>
      </w:r>
      <w:r>
        <w:rPr>
          <w:rFonts w:hint="eastAsia"/>
          <w:sz w:val="24"/>
        </w:rPr>
        <w:t>）进行了编制，详见标准的附录</w:t>
      </w:r>
      <w:r>
        <w:rPr>
          <w:rFonts w:hint="eastAsia"/>
          <w:sz w:val="24"/>
        </w:rPr>
        <w:t>A</w:t>
      </w:r>
      <w:r>
        <w:rPr>
          <w:rFonts w:hint="eastAsia"/>
          <w:sz w:val="24"/>
        </w:rPr>
        <w:t>。</w:t>
      </w:r>
    </w:p>
    <w:p w:rsidR="000D6032" w:rsidRDefault="00974A7D">
      <w:pPr>
        <w:tabs>
          <w:tab w:val="left" w:pos="720"/>
          <w:tab w:val="left" w:pos="2160"/>
          <w:tab w:val="left" w:pos="2880"/>
        </w:tabs>
        <w:spacing w:line="360" w:lineRule="auto"/>
        <w:ind w:firstLineChars="200" w:firstLine="480"/>
        <w:rPr>
          <w:sz w:val="24"/>
        </w:rPr>
      </w:pPr>
      <w:r>
        <w:rPr>
          <w:rFonts w:hint="eastAsia"/>
          <w:sz w:val="24"/>
        </w:rPr>
        <w:t>对于数据质量管理方面，标准附录</w:t>
      </w:r>
      <w:r>
        <w:rPr>
          <w:rFonts w:hint="eastAsia"/>
          <w:sz w:val="24"/>
        </w:rPr>
        <w:t>B</w:t>
      </w:r>
      <w:r>
        <w:rPr>
          <w:rFonts w:hint="eastAsia"/>
          <w:sz w:val="24"/>
        </w:rPr>
        <w:t>中监测数据和参数为企业实际测量值，通常具有较小的不确定性。其它数据质量管理要求按照</w:t>
      </w:r>
      <w:r>
        <w:rPr>
          <w:rFonts w:hint="eastAsia"/>
          <w:sz w:val="24"/>
        </w:rPr>
        <w:t>GB/T 33760-2017</w:t>
      </w:r>
      <w:r>
        <w:rPr>
          <w:rFonts w:hint="eastAsia"/>
          <w:sz w:val="24"/>
        </w:rPr>
        <w:t>中</w:t>
      </w:r>
      <w:r>
        <w:rPr>
          <w:rFonts w:hint="eastAsia"/>
          <w:sz w:val="24"/>
        </w:rPr>
        <w:t>5.11</w:t>
      </w:r>
      <w:r>
        <w:rPr>
          <w:rFonts w:hint="eastAsia"/>
          <w:sz w:val="24"/>
        </w:rPr>
        <w:t>执行。具体内容如下：</w:t>
      </w:r>
    </w:p>
    <w:p w:rsidR="000D6032" w:rsidRDefault="00974A7D">
      <w:pPr>
        <w:tabs>
          <w:tab w:val="left" w:pos="720"/>
          <w:tab w:val="left" w:pos="2160"/>
          <w:tab w:val="left" w:pos="2880"/>
        </w:tabs>
        <w:spacing w:line="360" w:lineRule="auto"/>
        <w:ind w:firstLineChars="200" w:firstLine="480"/>
        <w:rPr>
          <w:sz w:val="24"/>
        </w:rPr>
      </w:pPr>
      <w:r>
        <w:rPr>
          <w:rFonts w:hint="eastAsia"/>
          <w:sz w:val="24"/>
        </w:rPr>
        <w:t>项目业主应对与项目和基准线情景有关的数据和信息进行管理，包括但不限于：</w:t>
      </w:r>
    </w:p>
    <w:p w:rsidR="000D6032" w:rsidRDefault="00974A7D">
      <w:pPr>
        <w:numPr>
          <w:ilvl w:val="0"/>
          <w:numId w:val="17"/>
        </w:numPr>
        <w:tabs>
          <w:tab w:val="left" w:pos="720"/>
          <w:tab w:val="left" w:pos="2160"/>
          <w:tab w:val="left" w:pos="2880"/>
        </w:tabs>
        <w:spacing w:line="360" w:lineRule="auto"/>
        <w:ind w:firstLineChars="200" w:firstLine="480"/>
        <w:rPr>
          <w:sz w:val="24"/>
        </w:rPr>
      </w:pPr>
      <w:r>
        <w:rPr>
          <w:rFonts w:hint="eastAsia"/>
          <w:sz w:val="24"/>
        </w:rPr>
        <w:t>建立并保持一个完整的温室气体信息体系；</w:t>
      </w:r>
    </w:p>
    <w:p w:rsidR="000D6032" w:rsidRDefault="00974A7D">
      <w:pPr>
        <w:numPr>
          <w:ilvl w:val="0"/>
          <w:numId w:val="17"/>
        </w:numPr>
        <w:tabs>
          <w:tab w:val="left" w:pos="720"/>
          <w:tab w:val="left" w:pos="2160"/>
          <w:tab w:val="left" w:pos="2880"/>
        </w:tabs>
        <w:spacing w:line="360" w:lineRule="auto"/>
        <w:ind w:firstLineChars="200" w:firstLine="480"/>
        <w:rPr>
          <w:sz w:val="24"/>
        </w:rPr>
      </w:pPr>
      <w:r>
        <w:rPr>
          <w:rFonts w:hint="eastAsia"/>
          <w:sz w:val="24"/>
        </w:rPr>
        <w:t>对准确性进行常规检查。定期对计量器具、检测设备和在线监测仪表进行维护管理，并记录存档；</w:t>
      </w:r>
    </w:p>
    <w:p w:rsidR="000D6032" w:rsidRDefault="00974A7D">
      <w:pPr>
        <w:numPr>
          <w:ilvl w:val="0"/>
          <w:numId w:val="17"/>
        </w:numPr>
        <w:tabs>
          <w:tab w:val="left" w:pos="720"/>
          <w:tab w:val="left" w:pos="2160"/>
          <w:tab w:val="left" w:pos="2880"/>
        </w:tabs>
        <w:spacing w:line="360" w:lineRule="auto"/>
        <w:ind w:firstLineChars="200" w:firstLine="480"/>
        <w:rPr>
          <w:sz w:val="24"/>
        </w:rPr>
      </w:pPr>
      <w:r>
        <w:rPr>
          <w:rFonts w:hint="eastAsia"/>
          <w:sz w:val="24"/>
        </w:rPr>
        <w:t>定期进行内部审核和技术评审。定期对温室气体排放数据进行交叉校验，对可能产生的数据误差风险进行识别，并提出相应的解决方案；</w:t>
      </w:r>
    </w:p>
    <w:p w:rsidR="000D6032" w:rsidRDefault="00974A7D">
      <w:pPr>
        <w:numPr>
          <w:ilvl w:val="0"/>
          <w:numId w:val="17"/>
        </w:numPr>
        <w:tabs>
          <w:tab w:val="left" w:pos="720"/>
          <w:tab w:val="left" w:pos="2160"/>
          <w:tab w:val="left" w:pos="2880"/>
        </w:tabs>
        <w:spacing w:line="360" w:lineRule="auto"/>
        <w:ind w:firstLineChars="200" w:firstLine="480"/>
        <w:rPr>
          <w:sz w:val="24"/>
        </w:rPr>
      </w:pPr>
      <w:r>
        <w:rPr>
          <w:rFonts w:hint="eastAsia"/>
          <w:sz w:val="24"/>
        </w:rPr>
        <w:t>对项目组成员进行适当的培训；</w:t>
      </w:r>
    </w:p>
    <w:p w:rsidR="000D6032" w:rsidRDefault="00974A7D">
      <w:pPr>
        <w:numPr>
          <w:ilvl w:val="0"/>
          <w:numId w:val="17"/>
        </w:numPr>
        <w:tabs>
          <w:tab w:val="left" w:pos="720"/>
          <w:tab w:val="left" w:pos="2160"/>
          <w:tab w:val="left" w:pos="2880"/>
        </w:tabs>
        <w:spacing w:line="360" w:lineRule="auto"/>
        <w:ind w:firstLineChars="200" w:firstLine="480"/>
        <w:rPr>
          <w:sz w:val="24"/>
        </w:rPr>
      </w:pPr>
      <w:r>
        <w:rPr>
          <w:rFonts w:hint="eastAsia"/>
          <w:sz w:val="24"/>
        </w:rPr>
        <w:t>进行不确定性评估。</w:t>
      </w:r>
    </w:p>
    <w:p w:rsidR="000D6032" w:rsidRDefault="000D6032">
      <w:pPr>
        <w:tabs>
          <w:tab w:val="left" w:pos="720"/>
          <w:tab w:val="left" w:pos="2160"/>
          <w:tab w:val="left" w:pos="2880"/>
        </w:tabs>
        <w:spacing w:line="360" w:lineRule="auto"/>
        <w:ind w:firstLineChars="200" w:firstLine="480"/>
        <w:rPr>
          <w:sz w:val="24"/>
        </w:rPr>
      </w:pPr>
    </w:p>
    <w:p w:rsidR="000D6032" w:rsidRDefault="00974A7D">
      <w:pPr>
        <w:tabs>
          <w:tab w:val="left" w:pos="720"/>
          <w:tab w:val="left" w:pos="2160"/>
          <w:tab w:val="left" w:pos="2880"/>
        </w:tabs>
        <w:spacing w:line="360" w:lineRule="auto"/>
        <w:ind w:firstLineChars="200" w:firstLine="482"/>
        <w:rPr>
          <w:b/>
          <w:sz w:val="24"/>
        </w:rPr>
      </w:pPr>
      <w:bookmarkStart w:id="2" w:name="_Toc211938827"/>
      <w:bookmarkStart w:id="3" w:name="_Toc292725060"/>
      <w:r>
        <w:rPr>
          <w:rFonts w:hint="eastAsia"/>
          <w:b/>
          <w:sz w:val="24"/>
        </w:rPr>
        <w:t>（</w:t>
      </w:r>
      <w:r>
        <w:rPr>
          <w:rFonts w:hint="eastAsia"/>
          <w:b/>
          <w:sz w:val="24"/>
        </w:rPr>
        <w:t>7</w:t>
      </w:r>
      <w:r>
        <w:rPr>
          <w:rFonts w:hint="eastAsia"/>
          <w:b/>
          <w:sz w:val="24"/>
        </w:rPr>
        <w:t>）</w:t>
      </w:r>
      <w:bookmarkEnd w:id="2"/>
      <w:bookmarkEnd w:id="3"/>
      <w:r>
        <w:rPr>
          <w:rFonts w:hint="eastAsia"/>
          <w:b/>
          <w:sz w:val="24"/>
        </w:rPr>
        <w:t>减排量评估报告的编制</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 </w:t>
      </w:r>
      <w:r>
        <w:rPr>
          <w:rFonts w:hint="eastAsia"/>
          <w:sz w:val="24"/>
        </w:rPr>
        <w:t>减排量评估报告的编制参考《基于项目的温室气体减排量评估技术规范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）第</w:t>
      </w:r>
      <w:r>
        <w:rPr>
          <w:rFonts w:hint="eastAsia"/>
          <w:sz w:val="24"/>
        </w:rPr>
        <w:t>5.12</w:t>
      </w:r>
      <w:r>
        <w:rPr>
          <w:rFonts w:hint="eastAsia"/>
          <w:sz w:val="24"/>
        </w:rPr>
        <w:t>条的规定执行。该标准规定开展减排量评估应形成文件，并使目标用户可获取。本条对减排量评估报告的核心内容共</w:t>
      </w:r>
      <w:r>
        <w:rPr>
          <w:rFonts w:hint="eastAsia"/>
          <w:sz w:val="24"/>
        </w:rPr>
        <w:t>12</w:t>
      </w:r>
      <w:r>
        <w:rPr>
          <w:rFonts w:hint="eastAsia"/>
          <w:sz w:val="24"/>
        </w:rPr>
        <w:t>项进行了规定。报告内容要求参考了</w:t>
      </w:r>
      <w:r>
        <w:rPr>
          <w:rFonts w:hint="eastAsia"/>
          <w:sz w:val="24"/>
        </w:rPr>
        <w:t xml:space="preserve">ISO14064-2 </w:t>
      </w:r>
      <w:r>
        <w:rPr>
          <w:rFonts w:hint="eastAsia"/>
          <w:sz w:val="24"/>
        </w:rPr>
        <w:t>、我国自愿减排项目文件的要求。具体内容如下：</w:t>
      </w:r>
      <w:r>
        <w:rPr>
          <w:rFonts w:hint="eastAsia"/>
          <w:sz w:val="24"/>
        </w:rPr>
        <w:br/>
        <w:t xml:space="preserve">    </w:t>
      </w:r>
      <w:r>
        <w:rPr>
          <w:rFonts w:hint="eastAsia"/>
          <w:sz w:val="24"/>
        </w:rPr>
        <w:t>项目业主应编制项目温室气体减排量评估报告，并使目标用户可获取。报告应知名预订用途和目标用户，确保格式和内容与目标用户的需要相一致。</w:t>
      </w:r>
    </w:p>
    <w:p w:rsidR="000D6032" w:rsidRDefault="00974A7D">
      <w:pPr>
        <w:tabs>
          <w:tab w:val="left" w:pos="720"/>
          <w:tab w:val="left" w:pos="2160"/>
          <w:tab w:val="left" w:pos="2880"/>
        </w:tabs>
        <w:spacing w:line="360" w:lineRule="auto"/>
        <w:ind w:firstLineChars="200" w:firstLine="480"/>
        <w:rPr>
          <w:sz w:val="24"/>
        </w:rPr>
      </w:pPr>
      <w:r>
        <w:rPr>
          <w:rFonts w:hint="eastAsia"/>
          <w:sz w:val="24"/>
        </w:rPr>
        <w:t>减排量评估报告包括但不限于：</w:t>
      </w:r>
    </w:p>
    <w:p w:rsidR="000D6032" w:rsidRDefault="00974A7D">
      <w:pPr>
        <w:tabs>
          <w:tab w:val="left" w:pos="720"/>
          <w:tab w:val="left" w:pos="2160"/>
          <w:tab w:val="left" w:pos="2880"/>
        </w:tabs>
        <w:spacing w:line="360" w:lineRule="auto"/>
        <w:ind w:firstLineChars="200" w:firstLine="480"/>
        <w:rPr>
          <w:sz w:val="24"/>
        </w:rPr>
      </w:pPr>
      <w:r>
        <w:rPr>
          <w:rFonts w:hint="eastAsia"/>
          <w:sz w:val="24"/>
        </w:rPr>
        <w:lastRenderedPageBreak/>
        <w:t xml:space="preserve">a) </w:t>
      </w:r>
      <w:r>
        <w:rPr>
          <w:rFonts w:hint="eastAsia"/>
          <w:sz w:val="24"/>
        </w:rPr>
        <w:t>项目业主信息；</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b) </w:t>
      </w:r>
      <w:r>
        <w:rPr>
          <w:rFonts w:hint="eastAsia"/>
          <w:sz w:val="24"/>
        </w:rPr>
        <w:t>项目的目的；</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c) </w:t>
      </w:r>
      <w:r>
        <w:rPr>
          <w:rFonts w:hint="eastAsia"/>
          <w:sz w:val="24"/>
        </w:rPr>
        <w:t>对项目的简述，包括规模、地点、持续时间和活动类型；</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d) </w:t>
      </w:r>
      <w:r>
        <w:rPr>
          <w:rFonts w:hint="eastAsia"/>
          <w:sz w:val="24"/>
        </w:rPr>
        <w:t>项目的工艺技术简介；</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e) </w:t>
      </w:r>
      <w:r>
        <w:rPr>
          <w:rFonts w:hint="eastAsia"/>
          <w:sz w:val="24"/>
        </w:rPr>
        <w:t>对基准线情景的说明；</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d) </w:t>
      </w:r>
      <w:r>
        <w:rPr>
          <w:rFonts w:hint="eastAsia"/>
          <w:sz w:val="24"/>
        </w:rPr>
        <w:t>计算项目的温室气体减排量所采用的准则、程序、数据及数据来源的说明；</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e) </w:t>
      </w:r>
      <w:r>
        <w:rPr>
          <w:rFonts w:hint="eastAsia"/>
          <w:sz w:val="24"/>
        </w:rPr>
        <w:t>必要时，提供监测记录；</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f) </w:t>
      </w:r>
      <w:r>
        <w:rPr>
          <w:rFonts w:hint="eastAsia"/>
          <w:sz w:val="24"/>
        </w:rPr>
        <w:t>报告的日期及其所覆盖的时间段；</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g) </w:t>
      </w:r>
      <w:r>
        <w:rPr>
          <w:rFonts w:hint="eastAsia"/>
          <w:sz w:val="24"/>
        </w:rPr>
        <w:t>说明在相关时间段内，项目温室气体源所引起的温室气体排放量的总计，以</w:t>
      </w:r>
      <w:r>
        <w:rPr>
          <w:rFonts w:hint="eastAsia"/>
          <w:sz w:val="24"/>
        </w:rPr>
        <w:t xml:space="preserve">tCO2e </w:t>
      </w:r>
      <w:r>
        <w:rPr>
          <w:rFonts w:hint="eastAsia"/>
          <w:sz w:val="24"/>
        </w:rPr>
        <w:t>表示；</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h) </w:t>
      </w:r>
      <w:r>
        <w:rPr>
          <w:rFonts w:hint="eastAsia"/>
          <w:sz w:val="24"/>
        </w:rPr>
        <w:t>说明在相关时间段内，基准线情景下的温室气体源所引起的温室气体排放量的总计，以</w:t>
      </w:r>
      <w:r>
        <w:rPr>
          <w:rFonts w:hint="eastAsia"/>
          <w:sz w:val="24"/>
        </w:rPr>
        <w:t xml:space="preserve">tCO2e </w:t>
      </w:r>
      <w:r>
        <w:rPr>
          <w:rFonts w:hint="eastAsia"/>
          <w:sz w:val="24"/>
        </w:rPr>
        <w:t>表示；</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i) </w:t>
      </w:r>
      <w:r>
        <w:rPr>
          <w:rFonts w:hint="eastAsia"/>
          <w:sz w:val="24"/>
        </w:rPr>
        <w:t>温室气体减排量，以</w:t>
      </w:r>
      <w:r>
        <w:rPr>
          <w:rFonts w:hint="eastAsia"/>
          <w:sz w:val="24"/>
        </w:rPr>
        <w:t xml:space="preserve">tCO2e </w:t>
      </w:r>
      <w:r>
        <w:rPr>
          <w:rFonts w:hint="eastAsia"/>
          <w:sz w:val="24"/>
        </w:rPr>
        <w:t>表示；</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j) </w:t>
      </w:r>
      <w:r>
        <w:rPr>
          <w:rFonts w:hint="eastAsia"/>
          <w:sz w:val="24"/>
        </w:rPr>
        <w:t>项目有关的数据和信息不确定性的评估。</w:t>
      </w:r>
    </w:p>
    <w:p w:rsidR="000D6032" w:rsidRDefault="000D6032">
      <w:pPr>
        <w:tabs>
          <w:tab w:val="left" w:pos="720"/>
          <w:tab w:val="left" w:pos="2160"/>
          <w:tab w:val="left" w:pos="2880"/>
        </w:tabs>
        <w:spacing w:line="360" w:lineRule="auto"/>
        <w:ind w:firstLineChars="200" w:firstLine="480"/>
        <w:rPr>
          <w:sz w:val="24"/>
        </w:rPr>
      </w:pPr>
    </w:p>
    <w:p w:rsidR="000D6032" w:rsidRDefault="00974A7D">
      <w:pPr>
        <w:numPr>
          <w:ilvl w:val="0"/>
          <w:numId w:val="1"/>
        </w:numPr>
        <w:spacing w:line="360" w:lineRule="auto"/>
        <w:rPr>
          <w:b/>
          <w:bCs/>
          <w:sz w:val="28"/>
        </w:rPr>
      </w:pPr>
      <w:r>
        <w:rPr>
          <w:rFonts w:hint="eastAsia"/>
          <w:b/>
          <w:bCs/>
          <w:sz w:val="28"/>
        </w:rPr>
        <w:t>与有关的现行法律、法规和国家标准的关系</w:t>
      </w:r>
    </w:p>
    <w:p w:rsidR="000D6032" w:rsidRDefault="00974A7D">
      <w:pPr>
        <w:tabs>
          <w:tab w:val="left" w:pos="720"/>
          <w:tab w:val="left" w:pos="2160"/>
          <w:tab w:val="left" w:pos="2880"/>
        </w:tabs>
        <w:spacing w:line="360" w:lineRule="auto"/>
        <w:ind w:firstLineChars="200" w:firstLine="480"/>
        <w:rPr>
          <w:sz w:val="24"/>
        </w:rPr>
      </w:pPr>
      <w:r>
        <w:rPr>
          <w:rFonts w:hint="eastAsia"/>
          <w:sz w:val="24"/>
        </w:rPr>
        <w:t>该标准中的术语、数据质量要求等与已发布的《工业企业温室气体排放核算和报告通则》（</w:t>
      </w:r>
      <w:r>
        <w:rPr>
          <w:rFonts w:hint="eastAsia"/>
          <w:sz w:val="24"/>
        </w:rPr>
        <w:t>GB/T 32150</w:t>
      </w:r>
      <w:r>
        <w:rPr>
          <w:rFonts w:hint="eastAsia"/>
          <w:sz w:val="24"/>
        </w:rPr>
        <w:t>）以及《基于项目的温室气体减排量评估技术规范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）是一致的。关于项目边界、基准线以及减排量计算等参考了国家温室气体自愿减排方法学《</w:t>
      </w:r>
      <w:r w:rsidR="005373E6" w:rsidRPr="005373E6">
        <w:rPr>
          <w:rFonts w:hint="eastAsia"/>
          <w:sz w:val="24"/>
        </w:rPr>
        <w:t>生物质废弃物用作纸浆、硬纸板、纤维板或生物油生产原料以避免排放》</w:t>
      </w:r>
      <w:r>
        <w:rPr>
          <w:rFonts w:hint="eastAsia"/>
          <w:sz w:val="24"/>
        </w:rPr>
        <w:t>（</w:t>
      </w:r>
      <w:r>
        <w:rPr>
          <w:rFonts w:hint="eastAsia"/>
          <w:sz w:val="24"/>
        </w:rPr>
        <w:t>CM-0</w:t>
      </w:r>
      <w:r w:rsidR="005373E6">
        <w:rPr>
          <w:rFonts w:hint="eastAsia"/>
          <w:sz w:val="24"/>
        </w:rPr>
        <w:t>80</w:t>
      </w:r>
      <w:r>
        <w:rPr>
          <w:rFonts w:hint="eastAsia"/>
          <w:sz w:val="24"/>
        </w:rPr>
        <w:t>-V01</w:t>
      </w:r>
      <w:r>
        <w:rPr>
          <w:rFonts w:hint="eastAsia"/>
          <w:sz w:val="24"/>
        </w:rPr>
        <w:t>）。</w:t>
      </w:r>
    </w:p>
    <w:p w:rsidR="000D6032" w:rsidRDefault="000D6032">
      <w:pPr>
        <w:tabs>
          <w:tab w:val="left" w:pos="720"/>
          <w:tab w:val="left" w:pos="2160"/>
          <w:tab w:val="left" w:pos="2880"/>
        </w:tabs>
        <w:spacing w:line="360" w:lineRule="auto"/>
        <w:ind w:firstLineChars="200" w:firstLine="480"/>
        <w:rPr>
          <w:sz w:val="24"/>
        </w:rPr>
      </w:pPr>
    </w:p>
    <w:p w:rsidR="000D6032" w:rsidRDefault="00974A7D">
      <w:pPr>
        <w:numPr>
          <w:ilvl w:val="0"/>
          <w:numId w:val="1"/>
        </w:numPr>
        <w:spacing w:line="360" w:lineRule="auto"/>
        <w:rPr>
          <w:b/>
          <w:bCs/>
          <w:sz w:val="28"/>
        </w:rPr>
      </w:pPr>
      <w:r>
        <w:rPr>
          <w:rFonts w:hint="eastAsia"/>
          <w:b/>
          <w:bCs/>
          <w:sz w:val="28"/>
        </w:rPr>
        <w:t>贯彻标准的要求和措施建议</w:t>
      </w:r>
    </w:p>
    <w:p w:rsidR="000D6032" w:rsidRDefault="00974A7D">
      <w:pPr>
        <w:tabs>
          <w:tab w:val="left" w:pos="720"/>
          <w:tab w:val="left" w:pos="2160"/>
          <w:tab w:val="left" w:pos="2880"/>
        </w:tabs>
        <w:spacing w:line="360" w:lineRule="auto"/>
        <w:ind w:firstLineChars="200" w:firstLine="480"/>
        <w:rPr>
          <w:sz w:val="24"/>
        </w:rPr>
      </w:pPr>
      <w:r>
        <w:rPr>
          <w:rFonts w:hint="eastAsia"/>
          <w:sz w:val="24"/>
        </w:rPr>
        <w:t>本标准是计算</w:t>
      </w:r>
      <w:r w:rsidR="002F57F7">
        <w:rPr>
          <w:rFonts w:hint="eastAsia"/>
          <w:sz w:val="24"/>
        </w:rPr>
        <w:t>生物质废弃物（食品生产及加工）</w:t>
      </w:r>
      <w:r w:rsidR="005373E6" w:rsidRPr="005373E6">
        <w:rPr>
          <w:rFonts w:hint="eastAsia"/>
          <w:sz w:val="24"/>
        </w:rPr>
        <w:t>用作原料以避免排放</w:t>
      </w:r>
      <w:r>
        <w:rPr>
          <w:rFonts w:hint="eastAsia"/>
          <w:sz w:val="24"/>
        </w:rPr>
        <w:t>的评估技术标准，建议标准的性质为推荐性国家标准。建议标准发布后设立</w:t>
      </w:r>
      <w:r>
        <w:rPr>
          <w:rFonts w:hint="eastAsia"/>
          <w:sz w:val="24"/>
        </w:rPr>
        <w:t>6</w:t>
      </w:r>
      <w:r>
        <w:rPr>
          <w:rFonts w:hint="eastAsia"/>
          <w:sz w:val="24"/>
        </w:rPr>
        <w:t>个月的过渡期。</w:t>
      </w:r>
    </w:p>
    <w:p w:rsidR="000D6032" w:rsidRDefault="00974A7D">
      <w:pPr>
        <w:tabs>
          <w:tab w:val="left" w:pos="720"/>
          <w:tab w:val="left" w:pos="2160"/>
          <w:tab w:val="left" w:pos="2880"/>
        </w:tabs>
        <w:spacing w:line="360" w:lineRule="auto"/>
        <w:ind w:firstLineChars="200" w:firstLine="480"/>
        <w:rPr>
          <w:sz w:val="24"/>
        </w:rPr>
      </w:pPr>
      <w:r>
        <w:rPr>
          <w:rFonts w:hint="eastAsia"/>
          <w:sz w:val="24"/>
        </w:rPr>
        <w:t>2018</w:t>
      </w:r>
      <w:r>
        <w:rPr>
          <w:rFonts w:hint="eastAsia"/>
          <w:sz w:val="24"/>
        </w:rPr>
        <w:t>年，我国已建成全国性碳市场，政府每年也在考核温室气体减排目标的完成情况。因此，本标准作为行业减排的技术评估规范，可以用于指导电网行</w:t>
      </w:r>
      <w:r>
        <w:rPr>
          <w:rFonts w:hint="eastAsia"/>
          <w:sz w:val="24"/>
        </w:rPr>
        <w:lastRenderedPageBreak/>
        <w:t>业减排项目的温室气体减排量评估技术标准的制定，或帮助电网企业开展项目温室气体减排成效评价工作。</w:t>
      </w:r>
    </w:p>
    <w:p w:rsidR="000D6032" w:rsidRDefault="000D6032">
      <w:pPr>
        <w:tabs>
          <w:tab w:val="left" w:pos="720"/>
          <w:tab w:val="left" w:pos="2160"/>
          <w:tab w:val="left" w:pos="2880"/>
        </w:tabs>
        <w:spacing w:line="360" w:lineRule="auto"/>
        <w:ind w:firstLineChars="200" w:firstLine="480"/>
        <w:rPr>
          <w:sz w:val="24"/>
        </w:rPr>
      </w:pPr>
    </w:p>
    <w:sectPr w:rsidR="000D6032" w:rsidSect="000D6032">
      <w:head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C86" w:rsidRDefault="00FE4C86" w:rsidP="000D6032">
      <w:r>
        <w:separator/>
      </w:r>
    </w:p>
  </w:endnote>
  <w:endnote w:type="continuationSeparator" w:id="0">
    <w:p w:rsidR="00FE4C86" w:rsidRDefault="00FE4C86" w:rsidP="000D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1" w:usb1="080E0000" w:usb2="00000010" w:usb3="00000000" w:csb0="00040000" w:csb1="00000000"/>
  </w:font>
  <w:font w:name="”“Times New Roman”“">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隶书">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DF2842">
    <w:pPr>
      <w:pStyle w:val="af5"/>
      <w:framePr w:wrap="around" w:vAnchor="text" w:hAnchor="margin" w:xAlign="center" w:y="1"/>
      <w:rPr>
        <w:rStyle w:val="15"/>
      </w:rPr>
    </w:pPr>
    <w:r>
      <w:fldChar w:fldCharType="begin"/>
    </w:r>
    <w:r w:rsidR="00974A7D">
      <w:rPr>
        <w:rStyle w:val="15"/>
      </w:rPr>
      <w:instrText xml:space="preserve">PAGE  </w:instrText>
    </w:r>
    <w:r>
      <w:fldChar w:fldCharType="end"/>
    </w:r>
  </w:p>
  <w:p w:rsidR="000D6032" w:rsidRDefault="000D603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DF2842">
    <w:pPr>
      <w:pStyle w:val="af5"/>
      <w:framePr w:wrap="around" w:vAnchor="text" w:hAnchor="margin" w:xAlign="center" w:y="1"/>
      <w:rPr>
        <w:rStyle w:val="15"/>
      </w:rPr>
    </w:pPr>
    <w:r>
      <w:fldChar w:fldCharType="begin"/>
    </w:r>
    <w:r w:rsidR="00974A7D">
      <w:rPr>
        <w:rStyle w:val="15"/>
      </w:rPr>
      <w:instrText xml:space="preserve"> PAGE </w:instrText>
    </w:r>
    <w:r>
      <w:fldChar w:fldCharType="separate"/>
    </w:r>
    <w:r w:rsidR="002251B0">
      <w:rPr>
        <w:rStyle w:val="15"/>
        <w:noProof/>
      </w:rPr>
      <w:t>6</w:t>
    </w:r>
    <w:r>
      <w:fldChar w:fldCharType="end"/>
    </w:r>
  </w:p>
  <w:p w:rsidR="000D6032" w:rsidRDefault="000D6032">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0D603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C86" w:rsidRDefault="00FE4C86" w:rsidP="000D6032">
      <w:r>
        <w:separator/>
      </w:r>
    </w:p>
  </w:footnote>
  <w:footnote w:type="continuationSeparator" w:id="0">
    <w:p w:rsidR="00FE4C86" w:rsidRDefault="00FE4C86" w:rsidP="000D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0D6032">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0D6032">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0D6032">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0D6032">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899" w:hanging="360"/>
      </w:pPr>
      <w:rPr>
        <w:rFonts w:hint="default"/>
      </w:rPr>
    </w:lvl>
    <w:lvl w:ilvl="1" w:tentative="1">
      <w:start w:val="1"/>
      <w:numFmt w:val="lowerLetter"/>
      <w:lvlText w:val="%2)"/>
      <w:lvlJc w:val="left"/>
      <w:pPr>
        <w:ind w:left="1379" w:hanging="420"/>
      </w:pPr>
    </w:lvl>
    <w:lvl w:ilvl="2" w:tentative="1">
      <w:start w:val="1"/>
      <w:numFmt w:val="lowerRoman"/>
      <w:lvlText w:val="%3."/>
      <w:lvlJc w:val="right"/>
      <w:pPr>
        <w:ind w:left="1799" w:hanging="420"/>
      </w:pPr>
    </w:lvl>
    <w:lvl w:ilvl="3" w:tentative="1">
      <w:start w:val="1"/>
      <w:numFmt w:val="decimal"/>
      <w:lvlText w:val="%4."/>
      <w:lvlJc w:val="left"/>
      <w:pPr>
        <w:ind w:left="2219" w:hanging="420"/>
      </w:pPr>
    </w:lvl>
    <w:lvl w:ilvl="4" w:tentative="1">
      <w:start w:val="1"/>
      <w:numFmt w:val="lowerLetter"/>
      <w:lvlText w:val="%5)"/>
      <w:lvlJc w:val="left"/>
      <w:pPr>
        <w:ind w:left="2639" w:hanging="420"/>
      </w:pPr>
    </w:lvl>
    <w:lvl w:ilvl="5" w:tentative="1">
      <w:start w:val="1"/>
      <w:numFmt w:val="lowerRoman"/>
      <w:lvlText w:val="%6."/>
      <w:lvlJc w:val="right"/>
      <w:pPr>
        <w:ind w:left="3059" w:hanging="420"/>
      </w:pPr>
    </w:lvl>
    <w:lvl w:ilvl="6" w:tentative="1">
      <w:start w:val="1"/>
      <w:numFmt w:val="decimal"/>
      <w:lvlText w:val="%7."/>
      <w:lvlJc w:val="left"/>
      <w:pPr>
        <w:ind w:left="3479" w:hanging="420"/>
      </w:pPr>
    </w:lvl>
    <w:lvl w:ilvl="7" w:tentative="1">
      <w:start w:val="1"/>
      <w:numFmt w:val="lowerLetter"/>
      <w:lvlText w:val="%8)"/>
      <w:lvlJc w:val="left"/>
      <w:pPr>
        <w:ind w:left="3899" w:hanging="420"/>
      </w:pPr>
    </w:lvl>
    <w:lvl w:ilvl="8" w:tentative="1">
      <w:start w:val="1"/>
      <w:numFmt w:val="lowerRoman"/>
      <w:lvlText w:val="%9."/>
      <w:lvlJc w:val="right"/>
      <w:pPr>
        <w:ind w:left="4319" w:hanging="420"/>
      </w:pPr>
    </w:lvl>
  </w:abstractNum>
  <w:abstractNum w:abstractNumId="1" w15:restartNumberingAfterBreak="0">
    <w:nsid w:val="00000002"/>
    <w:multiLevelType w:val="multilevel"/>
    <w:tmpl w:val="00000002"/>
    <w:lvl w:ilvl="0">
      <w:start w:val="1"/>
      <w:numFmt w:val="bullet"/>
      <w:lvlText w:val="·"/>
      <w:lvlJc w:val="left"/>
      <w:pPr>
        <w:ind w:left="959" w:hanging="420"/>
      </w:pPr>
      <w:rPr>
        <w:rFonts w:ascii="宋体" w:eastAsia="宋体" w:hAnsi="宋体" w:hint="eastAsia"/>
      </w:rPr>
    </w:lvl>
    <w:lvl w:ilvl="1" w:tentative="1">
      <w:start w:val="1"/>
      <w:numFmt w:val="bullet"/>
      <w:lvlText w:val=""/>
      <w:lvlJc w:val="left"/>
      <w:pPr>
        <w:ind w:left="1379" w:hanging="420"/>
      </w:pPr>
      <w:rPr>
        <w:rFonts w:ascii="Wingdings" w:hAnsi="Wingdings" w:hint="default"/>
      </w:rPr>
    </w:lvl>
    <w:lvl w:ilvl="2" w:tentative="1">
      <w:start w:val="1"/>
      <w:numFmt w:val="bullet"/>
      <w:lvlText w:val=""/>
      <w:lvlJc w:val="left"/>
      <w:pPr>
        <w:ind w:left="1799" w:hanging="420"/>
      </w:pPr>
      <w:rPr>
        <w:rFonts w:ascii="Wingdings" w:hAnsi="Wingdings" w:hint="default"/>
      </w:rPr>
    </w:lvl>
    <w:lvl w:ilvl="3" w:tentative="1">
      <w:start w:val="1"/>
      <w:numFmt w:val="bullet"/>
      <w:lvlText w:val=""/>
      <w:lvlJc w:val="left"/>
      <w:pPr>
        <w:ind w:left="2219" w:hanging="420"/>
      </w:pPr>
      <w:rPr>
        <w:rFonts w:ascii="Wingdings" w:hAnsi="Wingdings" w:hint="default"/>
      </w:rPr>
    </w:lvl>
    <w:lvl w:ilvl="4" w:tentative="1">
      <w:start w:val="1"/>
      <w:numFmt w:val="bullet"/>
      <w:lvlText w:val=""/>
      <w:lvlJc w:val="left"/>
      <w:pPr>
        <w:ind w:left="2639" w:hanging="420"/>
      </w:pPr>
      <w:rPr>
        <w:rFonts w:ascii="Wingdings" w:hAnsi="Wingdings" w:hint="default"/>
      </w:rPr>
    </w:lvl>
    <w:lvl w:ilvl="5" w:tentative="1">
      <w:start w:val="1"/>
      <w:numFmt w:val="bullet"/>
      <w:lvlText w:val=""/>
      <w:lvlJc w:val="left"/>
      <w:pPr>
        <w:ind w:left="3059" w:hanging="420"/>
      </w:pPr>
      <w:rPr>
        <w:rFonts w:ascii="Wingdings" w:hAnsi="Wingdings" w:hint="default"/>
      </w:rPr>
    </w:lvl>
    <w:lvl w:ilvl="6" w:tentative="1">
      <w:start w:val="1"/>
      <w:numFmt w:val="bullet"/>
      <w:lvlText w:val=""/>
      <w:lvlJc w:val="left"/>
      <w:pPr>
        <w:ind w:left="3479" w:hanging="420"/>
      </w:pPr>
      <w:rPr>
        <w:rFonts w:ascii="Wingdings" w:hAnsi="Wingdings" w:hint="default"/>
      </w:rPr>
    </w:lvl>
    <w:lvl w:ilvl="7" w:tentative="1">
      <w:start w:val="1"/>
      <w:numFmt w:val="bullet"/>
      <w:lvlText w:val=""/>
      <w:lvlJc w:val="left"/>
      <w:pPr>
        <w:ind w:left="3899" w:hanging="420"/>
      </w:pPr>
      <w:rPr>
        <w:rFonts w:ascii="Wingdings" w:hAnsi="Wingdings" w:hint="default"/>
      </w:rPr>
    </w:lvl>
    <w:lvl w:ilvl="8" w:tentative="1">
      <w:start w:val="1"/>
      <w:numFmt w:val="bullet"/>
      <w:lvlText w:val=""/>
      <w:lvlJc w:val="left"/>
      <w:pPr>
        <w:ind w:left="4319" w:hanging="420"/>
      </w:pPr>
      <w:rPr>
        <w:rFonts w:ascii="Wingdings" w:hAnsi="Wingdings" w:hint="default"/>
      </w:rPr>
    </w:lvl>
  </w:abstractNum>
  <w:abstractNum w:abstractNumId="2" w15:restartNumberingAfterBreak="0">
    <w:nsid w:val="00000003"/>
    <w:multiLevelType w:val="multilevel"/>
    <w:tmpl w:val="00000003"/>
    <w:lvl w:ilvl="0" w:tentative="1">
      <w:start w:val="1"/>
      <w:numFmt w:val="decimal"/>
      <w:pStyle w:val="a"/>
      <w:suff w:val="nothing"/>
      <w:lvlText w:val="图%1　"/>
      <w:lvlJc w:val="left"/>
      <w:rPr>
        <w:rFonts w:ascii="黑体" w:eastAsia="黑体" w:hAnsi="Times New Roman" w:cs="Times New Roman" w:hint="eastAsia"/>
        <w:b w:val="0"/>
        <w:i w:val="0"/>
        <w:sz w:val="21"/>
      </w:rPr>
    </w:lvl>
    <w:lvl w:ilvl="1" w:tentative="1">
      <w:start w:val="1"/>
      <w:numFmt w:val="decimal"/>
      <w:suff w:val="nothing"/>
      <w:lvlText w:val="%1%2　"/>
      <w:lvlJc w:val="left"/>
      <w:rPr>
        <w:rFonts w:ascii="Times New Roman" w:eastAsia="黑体" w:hAnsi="Times New Roman" w:cs="Times New Roman" w:hint="default"/>
        <w:b w:val="0"/>
        <w:i w:val="0"/>
        <w:sz w:val="21"/>
      </w:rPr>
    </w:lvl>
    <w:lvl w:ilvl="2" w:tentative="1">
      <w:start w:val="1"/>
      <w:numFmt w:val="decimal"/>
      <w:suff w:val="nothing"/>
      <w:lvlText w:val="%1%2.%3　"/>
      <w:lvlJc w:val="left"/>
      <w:rPr>
        <w:rFonts w:ascii="Times New Roman" w:eastAsia="黑体" w:hAnsi="Times New Roman" w:cs="Times New Roman" w:hint="default"/>
        <w:b w:val="0"/>
        <w:i w:val="0"/>
        <w:sz w:val="21"/>
      </w:rPr>
    </w:lvl>
    <w:lvl w:ilvl="3" w:tentative="1">
      <w:start w:val="1"/>
      <w:numFmt w:val="decimal"/>
      <w:suff w:val="nothing"/>
      <w:lvlText w:val="%1%2.%3.%4　"/>
      <w:lvlJc w:val="left"/>
      <w:rPr>
        <w:rFonts w:ascii="Times New Roman" w:eastAsia="黑体" w:hAnsi="Times New Roman" w:cs="Times New Roman" w:hint="default"/>
        <w:b w:val="0"/>
        <w:i w:val="0"/>
        <w:sz w:val="21"/>
      </w:rPr>
    </w:lvl>
    <w:lvl w:ilvl="4" w:tentative="1">
      <w:start w:val="1"/>
      <w:numFmt w:val="decimal"/>
      <w:suff w:val="nothing"/>
      <w:lvlText w:val="%1%2.%3.%4.%5　"/>
      <w:lvlJc w:val="left"/>
      <w:rPr>
        <w:rFonts w:ascii="Times New Roman" w:eastAsia="黑体" w:hAnsi="Times New Roman" w:cs="Times New Roman" w:hint="default"/>
        <w:b w:val="0"/>
        <w:i w:val="0"/>
        <w:sz w:val="21"/>
      </w:rPr>
    </w:lvl>
    <w:lvl w:ilvl="5" w:tentative="1">
      <w:start w:val="1"/>
      <w:numFmt w:val="decimal"/>
      <w:suff w:val="nothing"/>
      <w:lvlText w:val="%1%2.%3.%4.%5.%6　"/>
      <w:lvlJc w:val="left"/>
      <w:rPr>
        <w:rFonts w:ascii="Times New Roman" w:eastAsia="黑体" w:hAnsi="Times New Roman" w:cs="Times New Roman" w:hint="default"/>
        <w:b w:val="0"/>
        <w:i w:val="0"/>
        <w:sz w:val="21"/>
      </w:rPr>
    </w:lvl>
    <w:lvl w:ilvl="6" w:tentative="1">
      <w:start w:val="1"/>
      <w:numFmt w:val="decimal"/>
      <w:suff w:val="nothing"/>
      <w:lvlText w:val="%1%2.%3.%4.%5.%6.%7　"/>
      <w:lvlJc w:val="left"/>
      <w:rPr>
        <w:rFonts w:ascii="Times New Roman" w:eastAsia="黑体" w:hAnsi="Times New Roman" w:cs="Times New Roman" w:hint="default"/>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3" w15:restartNumberingAfterBreak="0">
    <w:nsid w:val="00000004"/>
    <w:multiLevelType w:val="multilevel"/>
    <w:tmpl w:val="00000004"/>
    <w:lvl w:ilvl="0" w:tentative="1">
      <w:numFmt w:val="none"/>
      <w:lvlText w:val=""/>
      <w:lvlJc w:val="left"/>
      <w:pPr>
        <w:tabs>
          <w:tab w:val="left" w:pos="360"/>
        </w:tabs>
      </w:pPr>
      <w:rPr>
        <w:rFonts w:cs="Times New Roman"/>
      </w:rPr>
    </w:lvl>
    <w:lvl w:ilvl="1" w:tentative="1">
      <w:start w:val="1"/>
      <w:numFmt w:val="bullet"/>
      <w:lvlText w:val=""/>
      <w:lvlJc w:val="left"/>
      <w:pPr>
        <w:tabs>
          <w:tab w:val="left" w:pos="420"/>
        </w:tabs>
        <w:ind w:left="420" w:hanging="420"/>
      </w:pPr>
      <w:rPr>
        <w:rFonts w:ascii="Wingdings" w:hAnsi="Wingdings" w:hint="default"/>
      </w:rPr>
    </w:lvl>
    <w:lvl w:ilvl="2" w:tentative="1">
      <w:numFmt w:val="none"/>
      <w:pStyle w:val="a0"/>
      <w:lvlText w:val=""/>
      <w:lvlJc w:val="left"/>
      <w:pPr>
        <w:tabs>
          <w:tab w:val="left" w:pos="360"/>
        </w:tabs>
      </w:pPr>
      <w:rPr>
        <w:rFonts w:cs="Times New Roman"/>
      </w:rPr>
    </w:lvl>
    <w:lvl w:ilvl="3" w:tentative="1">
      <w:numFmt w:val="none"/>
      <w:lvlText w:val=""/>
      <w:lvlJc w:val="left"/>
      <w:pPr>
        <w:tabs>
          <w:tab w:val="left" w:pos="360"/>
        </w:tabs>
      </w:pPr>
      <w:rPr>
        <w:rFonts w:cs="Times New Roman"/>
      </w:rPr>
    </w:lvl>
    <w:lvl w:ilvl="4" w:tentative="1">
      <w:numFmt w:val="none"/>
      <w:lvlText w:val=""/>
      <w:lvlJc w:val="left"/>
      <w:pPr>
        <w:tabs>
          <w:tab w:val="left" w:pos="360"/>
        </w:tabs>
      </w:pPr>
      <w:rPr>
        <w:rFonts w:cs="Times New Roman"/>
      </w:rPr>
    </w:lvl>
    <w:lvl w:ilvl="5" w:tentative="1">
      <w:numFmt w:val="none"/>
      <w:lvlText w:val=""/>
      <w:lvlJc w:val="left"/>
      <w:pPr>
        <w:tabs>
          <w:tab w:val="left" w:pos="360"/>
        </w:tabs>
      </w:pPr>
      <w:rPr>
        <w:rFonts w:cs="Times New Roman"/>
      </w:rPr>
    </w:lvl>
    <w:lvl w:ilvl="6" w:tentative="1">
      <w:numFmt w:val="none"/>
      <w:lvlText w:val=""/>
      <w:lvlJc w:val="left"/>
      <w:pPr>
        <w:tabs>
          <w:tab w:val="left" w:pos="360"/>
        </w:tabs>
      </w:pPr>
      <w:rPr>
        <w:rFonts w:cs="Times New Roman"/>
      </w:rPr>
    </w:lvl>
    <w:lvl w:ilvl="7" w:tentative="1">
      <w:numFmt w:val="none"/>
      <w:lvlText w:val=""/>
      <w:lvlJc w:val="left"/>
      <w:pPr>
        <w:tabs>
          <w:tab w:val="left" w:pos="360"/>
        </w:tabs>
      </w:pPr>
      <w:rPr>
        <w:rFonts w:cs="Times New Roman"/>
      </w:rPr>
    </w:lvl>
    <w:lvl w:ilvl="8" w:tentative="1">
      <w:start w:val="1"/>
      <w:numFmt w:val="decimal"/>
      <w:lvlText w:val="%3.%4.%5.%6.%7.%8.%9."/>
      <w:lvlJc w:val="left"/>
      <w:pPr>
        <w:tabs>
          <w:tab w:val="left" w:pos="1440"/>
        </w:tabs>
        <w:ind w:left="1440" w:hanging="1440"/>
      </w:pPr>
      <w:rPr>
        <w:rFonts w:cs="Times New Roman" w:hint="eastAsia"/>
      </w:rPr>
    </w:lvl>
  </w:abstractNum>
  <w:abstractNum w:abstractNumId="4" w15:restartNumberingAfterBreak="0">
    <w:nsid w:val="00000005"/>
    <w:multiLevelType w:val="multilevel"/>
    <w:tmpl w:val="00000005"/>
    <w:lvl w:ilvl="0">
      <w:start w:val="1"/>
      <w:numFmt w:val="japaneseCounting"/>
      <w:pStyle w:val="a1"/>
      <w:lvlText w:val="%1、"/>
      <w:lvlJc w:val="left"/>
      <w:pPr>
        <w:tabs>
          <w:tab w:val="left" w:pos="360"/>
        </w:tabs>
        <w:ind w:left="360" w:hanging="360"/>
      </w:pPr>
      <w:rPr>
        <w:rFonts w:cs="Times New Roman" w:hint="eastAsia"/>
      </w:rPr>
    </w:lvl>
    <w:lvl w:ilvl="1">
      <w:start w:val="1"/>
      <w:numFmt w:val="decimal"/>
      <w:lvlText w:val="%2．"/>
      <w:lvlJc w:val="left"/>
      <w:pPr>
        <w:tabs>
          <w:tab w:val="left" w:pos="780"/>
        </w:tabs>
        <w:ind w:left="780" w:hanging="360"/>
      </w:pPr>
      <w:rPr>
        <w:rFonts w:cs="Times New Roman" w:hint="eastAsia"/>
      </w:rPr>
    </w:lvl>
    <w:lvl w:ilvl="2" w:tentative="1">
      <w:start w:val="1"/>
      <w:numFmt w:val="bullet"/>
      <w:lvlText w:val=""/>
      <w:lvlJc w:val="left"/>
      <w:pPr>
        <w:tabs>
          <w:tab w:val="left" w:pos="1260"/>
        </w:tabs>
        <w:ind w:left="1260" w:hanging="420"/>
      </w:pPr>
      <w:rPr>
        <w:rFonts w:ascii="Wingdings" w:hAnsi="Wingdings" w:hint="default"/>
      </w:rPr>
    </w:lvl>
    <w:lvl w:ilvl="3" w:tentative="1">
      <w:start w:val="2"/>
      <w:numFmt w:val="decimal"/>
      <w:lvlText w:val="%4."/>
      <w:lvlJc w:val="left"/>
      <w:pPr>
        <w:tabs>
          <w:tab w:val="left" w:pos="1620"/>
        </w:tabs>
        <w:ind w:left="1620" w:hanging="360"/>
      </w:pPr>
      <w:rPr>
        <w:rFonts w:cs="Times New Roman" w:hint="default"/>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5" w15:restartNumberingAfterBreak="0">
    <w:nsid w:val="00000006"/>
    <w:multiLevelType w:val="multilevel"/>
    <w:tmpl w:val="00000006"/>
    <w:lvl w:ilvl="0" w:tentative="1">
      <w:start w:val="1"/>
      <w:numFmt w:val="none"/>
      <w:pStyle w:val="a2"/>
      <w:lvlText w:val="%1·　"/>
      <w:lvlJc w:val="left"/>
      <w:pPr>
        <w:tabs>
          <w:tab w:val="left" w:pos="1140"/>
        </w:tabs>
        <w:ind w:left="737" w:hanging="317"/>
      </w:pPr>
      <w:rPr>
        <w:rFonts w:ascii="宋体" w:eastAsia="宋体" w:hAnsi="Times New Roman" w:cs="Times New Roman" w:hint="eastAsia"/>
        <w:b w:val="0"/>
        <w:i w:val="0"/>
        <w:sz w:val="21"/>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000007"/>
    <w:multiLevelType w:val="multilevel"/>
    <w:tmpl w:val="00000007"/>
    <w:lvl w:ilvl="0" w:tentative="1">
      <w:start w:val="1"/>
      <w:numFmt w:val="none"/>
      <w:pStyle w:val="a3"/>
      <w:lvlText w:val="%1注："/>
      <w:lvlJc w:val="left"/>
      <w:pPr>
        <w:tabs>
          <w:tab w:val="left" w:pos="1140"/>
        </w:tabs>
        <w:ind w:left="840" w:hanging="420"/>
      </w:pPr>
      <w:rPr>
        <w:rFonts w:ascii="宋体" w:eastAsia="宋体" w:hAnsi="Times New Roman"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7" w15:restartNumberingAfterBreak="0">
    <w:nsid w:val="00000008"/>
    <w:multiLevelType w:val="multilevel"/>
    <w:tmpl w:val="00000008"/>
    <w:lvl w:ilvl="0" w:tentative="1">
      <w:start w:val="1"/>
      <w:numFmt w:val="none"/>
      <w:pStyle w:val="a4"/>
      <w:suff w:val="nothing"/>
      <w:lvlText w:val="%1"/>
      <w:lvlJc w:val="left"/>
      <w:rPr>
        <w:rFonts w:ascii="Times New Roman" w:hAnsi="Times New Roman" w:cs="Times New Roman" w:hint="default"/>
        <w:b/>
        <w:i w:val="0"/>
        <w:sz w:val="21"/>
      </w:rPr>
    </w:lvl>
    <w:lvl w:ilvl="1" w:tentative="1">
      <w:start w:val="1"/>
      <w:numFmt w:val="decimal"/>
      <w:pStyle w:val="a5"/>
      <w:suff w:val="nothing"/>
      <w:lvlText w:val="%1%2　"/>
      <w:lvlJc w:val="left"/>
      <w:rPr>
        <w:rFonts w:ascii="黑体" w:eastAsia="黑体" w:hAnsi="Times New Roman" w:cs="Times New Roman" w:hint="eastAsia"/>
        <w:b w:val="0"/>
        <w:i w:val="0"/>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pStyle w:val="a6"/>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8" w15:restartNumberingAfterBreak="0">
    <w:nsid w:val="00000009"/>
    <w:multiLevelType w:val="multilevel"/>
    <w:tmpl w:val="00000009"/>
    <w:lvl w:ilvl="0" w:tentative="1">
      <w:start w:val="1"/>
      <w:numFmt w:val="decimal"/>
      <w:pStyle w:val="a7"/>
      <w:suff w:val="nothing"/>
      <w:lvlText w:val="表%1　"/>
      <w:lvlJc w:val="left"/>
      <w:rPr>
        <w:rFonts w:ascii="黑体" w:eastAsia="黑体" w:hAnsi="Times New Roman" w:cs="Times New Roman" w:hint="eastAsia"/>
        <w:b w:val="0"/>
        <w:i w:val="0"/>
        <w:sz w:val="21"/>
      </w:rPr>
    </w:lvl>
    <w:lvl w:ilvl="1" w:tentative="1">
      <w:start w:val="1"/>
      <w:numFmt w:val="decimal"/>
      <w:lvlText w:val="%1.%2"/>
      <w:lvlJc w:val="left"/>
      <w:pPr>
        <w:tabs>
          <w:tab w:val="left" w:pos="992"/>
        </w:tabs>
        <w:ind w:left="992" w:hanging="567"/>
      </w:pPr>
      <w:rPr>
        <w:rFonts w:cs="Times New Roman" w:hint="eastAsia"/>
      </w:rPr>
    </w:lvl>
    <w:lvl w:ilvl="2" w:tentative="1">
      <w:start w:val="1"/>
      <w:numFmt w:val="decimal"/>
      <w:lvlText w:val="%1.%2.%3"/>
      <w:lvlJc w:val="left"/>
      <w:pPr>
        <w:tabs>
          <w:tab w:val="left" w:pos="1418"/>
        </w:tabs>
        <w:ind w:left="1418" w:hanging="567"/>
      </w:pPr>
      <w:rPr>
        <w:rFonts w:cs="Times New Roman" w:hint="eastAsia"/>
      </w:rPr>
    </w:lvl>
    <w:lvl w:ilvl="3" w:tentative="1">
      <w:start w:val="1"/>
      <w:numFmt w:val="decimal"/>
      <w:lvlText w:val="%1.%2.%3.%4"/>
      <w:lvlJc w:val="left"/>
      <w:pPr>
        <w:tabs>
          <w:tab w:val="left" w:pos="1984"/>
        </w:tabs>
        <w:ind w:left="1984" w:hanging="708"/>
      </w:pPr>
      <w:rPr>
        <w:rFonts w:cs="Times New Roman" w:hint="eastAsia"/>
      </w:rPr>
    </w:lvl>
    <w:lvl w:ilvl="4" w:tentative="1">
      <w:start w:val="1"/>
      <w:numFmt w:val="decimal"/>
      <w:lvlText w:val="%1.%2.%3.%4.%5"/>
      <w:lvlJc w:val="left"/>
      <w:pPr>
        <w:tabs>
          <w:tab w:val="left" w:pos="2551"/>
        </w:tabs>
        <w:ind w:left="2551" w:hanging="850"/>
      </w:pPr>
      <w:rPr>
        <w:rFonts w:cs="Times New Roman" w:hint="eastAsia"/>
      </w:rPr>
    </w:lvl>
    <w:lvl w:ilvl="5" w:tentative="1">
      <w:start w:val="1"/>
      <w:numFmt w:val="decimal"/>
      <w:lvlText w:val="%1.%2.%3.%4.%5.%6"/>
      <w:lvlJc w:val="left"/>
      <w:pPr>
        <w:tabs>
          <w:tab w:val="left" w:pos="3260"/>
        </w:tabs>
        <w:ind w:left="3260" w:hanging="1134"/>
      </w:pPr>
      <w:rPr>
        <w:rFonts w:cs="Times New Roman" w:hint="eastAsia"/>
      </w:rPr>
    </w:lvl>
    <w:lvl w:ilvl="6" w:tentative="1">
      <w:start w:val="1"/>
      <w:numFmt w:val="decimal"/>
      <w:lvlText w:val="%1.%2.%3.%4.%5.%6.%7"/>
      <w:lvlJc w:val="left"/>
      <w:pPr>
        <w:tabs>
          <w:tab w:val="left" w:pos="3827"/>
        </w:tabs>
        <w:ind w:left="3827" w:hanging="1276"/>
      </w:pPr>
      <w:rPr>
        <w:rFonts w:cs="Times New Roman" w:hint="eastAsia"/>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9" w15:restartNumberingAfterBreak="0">
    <w:nsid w:val="0000000A"/>
    <w:multiLevelType w:val="singleLevel"/>
    <w:tmpl w:val="0000000A"/>
    <w:lvl w:ilvl="0">
      <w:start w:val="6"/>
      <w:numFmt w:val="decimal"/>
      <w:suff w:val="nothing"/>
      <w:lvlText w:val="（%1）"/>
      <w:lvlJc w:val="left"/>
    </w:lvl>
  </w:abstractNum>
  <w:abstractNum w:abstractNumId="10" w15:restartNumberingAfterBreak="0">
    <w:nsid w:val="0000000B"/>
    <w:multiLevelType w:val="singleLevel"/>
    <w:tmpl w:val="0000000B"/>
    <w:lvl w:ilvl="0">
      <w:start w:val="1"/>
      <w:numFmt w:val="lowerLetter"/>
      <w:suff w:val="space"/>
      <w:lvlText w:val="%1)"/>
      <w:lvlJc w:val="left"/>
    </w:lvl>
  </w:abstractNum>
  <w:abstractNum w:abstractNumId="11" w15:restartNumberingAfterBreak="0">
    <w:nsid w:val="0000000C"/>
    <w:multiLevelType w:val="singleLevel"/>
    <w:tmpl w:val="0000000C"/>
    <w:lvl w:ilvl="0">
      <w:start w:val="1"/>
      <w:numFmt w:val="lowerLetter"/>
      <w:suff w:val="space"/>
      <w:lvlText w:val="%1)"/>
      <w:lvlJc w:val="left"/>
    </w:lvl>
  </w:abstractNum>
  <w:abstractNum w:abstractNumId="12" w15:restartNumberingAfterBreak="0">
    <w:nsid w:val="00000017"/>
    <w:multiLevelType w:val="multilevel"/>
    <w:tmpl w:val="00000017"/>
    <w:lvl w:ilvl="0" w:tentative="1">
      <w:start w:val="1"/>
      <w:numFmt w:val="none"/>
      <w:pStyle w:val="a8"/>
      <w:lvlText w:val="%1示例"/>
      <w:lvlJc w:val="left"/>
      <w:pPr>
        <w:tabs>
          <w:tab w:val="left" w:pos="1120"/>
        </w:tabs>
        <w:ind w:firstLine="400"/>
      </w:pPr>
      <w:rPr>
        <w:rFonts w:ascii="宋体" w:eastAsia="宋体"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3" w15:restartNumberingAfterBreak="0">
    <w:nsid w:val="00000018"/>
    <w:multiLevelType w:val="singleLevel"/>
    <w:tmpl w:val="00000018"/>
    <w:lvl w:ilvl="0">
      <w:start w:val="3"/>
      <w:numFmt w:val="decimal"/>
      <w:suff w:val="nothing"/>
      <w:lvlText w:val="（%1）"/>
      <w:lvlJc w:val="left"/>
    </w:lvl>
  </w:abstractNum>
  <w:abstractNum w:abstractNumId="14" w15:restartNumberingAfterBreak="0">
    <w:nsid w:val="00000019"/>
    <w:multiLevelType w:val="multilevel"/>
    <w:tmpl w:val="00000019"/>
    <w:lvl w:ilvl="0" w:tentative="1">
      <w:start w:val="1"/>
      <w:numFmt w:val="none"/>
      <w:suff w:val="nothing"/>
      <w:lvlText w:val="　"/>
      <w:lvlJc w:val="left"/>
      <w:rPr>
        <w:rFonts w:ascii="黑体" w:eastAsia="黑体" w:hAnsi="Times New Roman" w:cs="Times New Roman" w:hint="eastAsia"/>
        <w:b w:val="0"/>
        <w:i w:val="0"/>
        <w:sz w:val="21"/>
      </w:rPr>
    </w:lvl>
    <w:lvl w:ilvl="1" w:tentative="1">
      <w:start w:val="1"/>
      <w:numFmt w:val="decimal"/>
      <w:isLgl/>
      <w:suff w:val="nothing"/>
      <w:lvlText w:val="%2　"/>
      <w:lvlJc w:val="left"/>
      <w:rPr>
        <w:rFonts w:ascii="黑体" w:eastAsia="黑体" w:hAnsi="Times New Roman" w:cs="Times New Roman" w:hint="eastAsia"/>
        <w:b w:val="0"/>
        <w:i w:val="0"/>
        <w:spacing w:val="0"/>
        <w:w w:val="100"/>
        <w:kern w:val="21"/>
        <w:sz w:val="21"/>
      </w:rPr>
    </w:lvl>
    <w:lvl w:ilvl="2" w:tentative="1">
      <w:start w:val="1"/>
      <w:numFmt w:val="decimal"/>
      <w:pStyle w:val="a9"/>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pStyle w:val="aa"/>
      <w:suff w:val="nothing"/>
      <w:lvlText w:val="%1%2.%3.%4.%5　"/>
      <w:lvlJc w:val="left"/>
      <w:rPr>
        <w:rFonts w:ascii="黑体" w:eastAsia="黑体" w:hAnsi="Times New Roman" w:cs="Times New Roman" w:hint="eastAsia"/>
        <w:b w:val="0"/>
        <w:i w:val="0"/>
        <w:sz w:val="21"/>
      </w:rPr>
    </w:lvl>
    <w:lvl w:ilvl="5" w:tentative="1">
      <w:start w:val="1"/>
      <w:numFmt w:val="decimal"/>
      <w:pStyle w:val="ab"/>
      <w:suff w:val="nothing"/>
      <w:lvlText w:val="%1%2.%3.%4.%5.%6　"/>
      <w:lvlJc w:val="left"/>
      <w:rPr>
        <w:rFonts w:ascii="黑体" w:eastAsia="黑体" w:hAnsi="Times New Roman" w:cs="Times New Roman" w:hint="eastAsia"/>
        <w:b w:val="0"/>
        <w:i w:val="0"/>
        <w:sz w:val="21"/>
      </w:rPr>
    </w:lvl>
    <w:lvl w:ilvl="6" w:tentative="1">
      <w:start w:val="1"/>
      <w:numFmt w:val="decimal"/>
      <w:pStyle w:val="ac"/>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15" w15:restartNumberingAfterBreak="0">
    <w:nsid w:val="0000001A"/>
    <w:multiLevelType w:val="multilevel"/>
    <w:tmpl w:val="0000001A"/>
    <w:lvl w:ilvl="0" w:tentative="1">
      <w:start w:val="1"/>
      <w:numFmt w:val="upperLetter"/>
      <w:pStyle w:val="ad"/>
      <w:suff w:val="nothing"/>
      <w:lvlText w:val="附　录　%1"/>
      <w:lvlJc w:val="left"/>
      <w:rPr>
        <w:rFonts w:ascii="黑体" w:eastAsia="黑体" w:hAnsi="Times New Roman" w:cs="Times New Roman" w:hint="eastAsia"/>
        <w:b w:val="0"/>
        <w:i w:val="0"/>
        <w:sz w:val="21"/>
      </w:rPr>
    </w:lvl>
    <w:lvl w:ilvl="1" w:tentative="1">
      <w:start w:val="1"/>
      <w:numFmt w:val="decimal"/>
      <w:pStyle w:val="ae"/>
      <w:suff w:val="nothing"/>
      <w:lvlText w:val="%1.%2　"/>
      <w:lvlJc w:val="left"/>
      <w:rPr>
        <w:rFonts w:ascii="黑体" w:eastAsia="黑体" w:hAnsi="Times New Roman" w:cs="Times New Roman" w:hint="eastAsia"/>
        <w:b w:val="0"/>
        <w:i w:val="0"/>
        <w:spacing w:val="0"/>
        <w:w w:val="100"/>
        <w:kern w:val="21"/>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16" w15:restartNumberingAfterBreak="0">
    <w:nsid w:val="2CFC756B"/>
    <w:multiLevelType w:val="multilevel"/>
    <w:tmpl w:val="00000000"/>
    <w:lvl w:ilvl="0" w:tentative="1">
      <w:start w:val="1"/>
      <w:numFmt w:val="none"/>
      <w:pStyle w:val="af"/>
      <w:lvlText w:val="%1注"/>
      <w:lvlJc w:val="left"/>
      <w:pPr>
        <w:tabs>
          <w:tab w:val="left" w:pos="900"/>
        </w:tabs>
        <w:ind w:left="900" w:hanging="500"/>
      </w:pPr>
      <w:rPr>
        <w:rFonts w:ascii="宋体" w:eastAsia="宋体" w:hAnsi="Times New Roman"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4"/>
  </w:num>
  <w:num w:numId="2">
    <w:abstractNumId w:val="7"/>
  </w:num>
  <w:num w:numId="3">
    <w:abstractNumId w:val="16"/>
  </w:num>
  <w:num w:numId="4">
    <w:abstractNumId w:val="6"/>
  </w:num>
  <w:num w:numId="5">
    <w:abstractNumId w:val="2"/>
  </w:num>
  <w:num w:numId="6">
    <w:abstractNumId w:val="8"/>
  </w:num>
  <w:num w:numId="7">
    <w:abstractNumId w:val="14"/>
  </w:num>
  <w:num w:numId="8">
    <w:abstractNumId w:val="12"/>
  </w:num>
  <w:num w:numId="9">
    <w:abstractNumId w:val="5"/>
  </w:num>
  <w:num w:numId="10">
    <w:abstractNumId w:val="15"/>
  </w:num>
  <w:num w:numId="11">
    <w:abstractNumId w:val="3"/>
  </w:num>
  <w:num w:numId="12">
    <w:abstractNumId w:val="0"/>
  </w:num>
  <w:num w:numId="13">
    <w:abstractNumId w:val="13"/>
  </w:num>
  <w:num w:numId="14">
    <w:abstractNumId w:val="1"/>
  </w:num>
  <w:num w:numId="15">
    <w:abstractNumId w:val="9"/>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0D6032"/>
    <w:rsid w:val="000D6032"/>
    <w:rsid w:val="001D0637"/>
    <w:rsid w:val="002251B0"/>
    <w:rsid w:val="002A19AE"/>
    <w:rsid w:val="002F57F7"/>
    <w:rsid w:val="005373E6"/>
    <w:rsid w:val="00605B70"/>
    <w:rsid w:val="00613549"/>
    <w:rsid w:val="007012C3"/>
    <w:rsid w:val="00811F9E"/>
    <w:rsid w:val="00833955"/>
    <w:rsid w:val="00963F4B"/>
    <w:rsid w:val="00974A7D"/>
    <w:rsid w:val="00A65401"/>
    <w:rsid w:val="00B87B73"/>
    <w:rsid w:val="00B9565F"/>
    <w:rsid w:val="00BC48F3"/>
    <w:rsid w:val="00C95EA7"/>
    <w:rsid w:val="00D1419F"/>
    <w:rsid w:val="00D45C93"/>
    <w:rsid w:val="00D5600D"/>
    <w:rsid w:val="00D75EBE"/>
    <w:rsid w:val="00DD36B7"/>
    <w:rsid w:val="00DF2842"/>
    <w:rsid w:val="00E33DED"/>
    <w:rsid w:val="00FE4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61F3FDF-36B2-484A-B284-680DD52A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rsid w:val="000D6032"/>
    <w:pPr>
      <w:widowControl w:val="0"/>
      <w:jc w:val="both"/>
    </w:pPr>
    <w:rPr>
      <w:kern w:val="2"/>
      <w:sz w:val="21"/>
      <w:szCs w:val="24"/>
    </w:rPr>
  </w:style>
  <w:style w:type="paragraph" w:styleId="1">
    <w:name w:val="heading 1"/>
    <w:basedOn w:val="af0"/>
    <w:next w:val="af0"/>
    <w:link w:val="1Char"/>
    <w:rsid w:val="000D6032"/>
    <w:pPr>
      <w:keepNext/>
      <w:wordWrap w:val="0"/>
      <w:adjustRightInd w:val="0"/>
      <w:snapToGrid w:val="0"/>
      <w:spacing w:beforeLines="150" w:afterLines="150"/>
      <w:outlineLvl w:val="0"/>
    </w:pPr>
    <w:rPr>
      <w:b/>
      <w:bCs/>
      <w:kern w:val="44"/>
      <w:sz w:val="44"/>
      <w:szCs w:val="44"/>
    </w:rPr>
  </w:style>
  <w:style w:type="paragraph" w:styleId="2">
    <w:name w:val="heading 2"/>
    <w:basedOn w:val="af0"/>
    <w:next w:val="10"/>
    <w:link w:val="2Char"/>
    <w:rsid w:val="000D6032"/>
    <w:pPr>
      <w:keepNext/>
      <w:wordWrap w:val="0"/>
      <w:spacing w:beforeLines="50" w:afterLines="50"/>
      <w:outlineLvl w:val="1"/>
    </w:pPr>
    <w:rPr>
      <w:rFonts w:ascii="Cambria" w:hAnsi="Cambria"/>
      <w:b/>
      <w:bCs/>
      <w:sz w:val="32"/>
      <w:szCs w:val="32"/>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10">
    <w:name w:val="正文缩进1"/>
    <w:basedOn w:val="af0"/>
    <w:rsid w:val="000D6032"/>
    <w:pPr>
      <w:ind w:firstLineChars="200" w:firstLine="420"/>
    </w:pPr>
    <w:rPr>
      <w:sz w:val="24"/>
      <w:szCs w:val="20"/>
    </w:rPr>
  </w:style>
  <w:style w:type="paragraph" w:styleId="af4">
    <w:name w:val="Body Text"/>
    <w:basedOn w:val="af0"/>
    <w:link w:val="Char"/>
    <w:rsid w:val="000D6032"/>
    <w:pPr>
      <w:spacing w:line="360" w:lineRule="exact"/>
    </w:pPr>
    <w:rPr>
      <w:sz w:val="24"/>
    </w:rPr>
  </w:style>
  <w:style w:type="character" w:customStyle="1" w:styleId="Char0">
    <w:name w:val="正文文本缩进 Char"/>
    <w:basedOn w:val="af1"/>
    <w:link w:val="11"/>
    <w:semiHidden/>
    <w:rsid w:val="000D6032"/>
    <w:rPr>
      <w:rFonts w:cs="Times New Roman"/>
      <w:sz w:val="24"/>
      <w:szCs w:val="24"/>
    </w:rPr>
  </w:style>
  <w:style w:type="paragraph" w:customStyle="1" w:styleId="11">
    <w:name w:val="正文文本缩进1"/>
    <w:basedOn w:val="af0"/>
    <w:link w:val="Char0"/>
    <w:rsid w:val="000D6032"/>
    <w:pPr>
      <w:spacing w:line="360" w:lineRule="exact"/>
      <w:ind w:firstLineChars="175" w:firstLine="420"/>
    </w:pPr>
    <w:rPr>
      <w:sz w:val="24"/>
    </w:rPr>
  </w:style>
  <w:style w:type="character" w:customStyle="1" w:styleId="2Char0">
    <w:name w:val="正文文本缩进 2 Char"/>
    <w:basedOn w:val="af1"/>
    <w:link w:val="21"/>
    <w:semiHidden/>
    <w:rsid w:val="000D6032"/>
    <w:rPr>
      <w:rFonts w:cs="Times New Roman"/>
      <w:sz w:val="24"/>
      <w:szCs w:val="24"/>
    </w:rPr>
  </w:style>
  <w:style w:type="paragraph" w:customStyle="1" w:styleId="21">
    <w:name w:val="正文文本缩进 21"/>
    <w:basedOn w:val="af0"/>
    <w:link w:val="2Char0"/>
    <w:rsid w:val="000D6032"/>
    <w:pPr>
      <w:spacing w:line="360" w:lineRule="exact"/>
      <w:ind w:firstLineChars="150" w:firstLine="360"/>
    </w:pPr>
    <w:rPr>
      <w:sz w:val="24"/>
    </w:rPr>
  </w:style>
  <w:style w:type="paragraph" w:styleId="af5">
    <w:name w:val="footer"/>
    <w:basedOn w:val="af0"/>
    <w:link w:val="Char1"/>
    <w:rsid w:val="000D6032"/>
    <w:pPr>
      <w:tabs>
        <w:tab w:val="center" w:pos="4153"/>
        <w:tab w:val="right" w:pos="8306"/>
      </w:tabs>
      <w:snapToGrid w:val="0"/>
      <w:jc w:val="left"/>
    </w:pPr>
    <w:rPr>
      <w:sz w:val="18"/>
      <w:szCs w:val="18"/>
    </w:rPr>
  </w:style>
  <w:style w:type="paragraph" w:styleId="af6">
    <w:name w:val="header"/>
    <w:basedOn w:val="af0"/>
    <w:link w:val="Char2"/>
    <w:rsid w:val="000D6032"/>
    <w:pPr>
      <w:pBdr>
        <w:bottom w:val="single" w:sz="6" w:space="1" w:color="auto"/>
      </w:pBdr>
      <w:tabs>
        <w:tab w:val="center" w:pos="4153"/>
        <w:tab w:val="right" w:pos="8306"/>
      </w:tabs>
      <w:snapToGrid w:val="0"/>
      <w:jc w:val="center"/>
    </w:pPr>
    <w:rPr>
      <w:sz w:val="18"/>
      <w:szCs w:val="18"/>
    </w:rPr>
  </w:style>
  <w:style w:type="character" w:customStyle="1" w:styleId="3Char">
    <w:name w:val="正文文本缩进 3 Char"/>
    <w:basedOn w:val="af1"/>
    <w:link w:val="31"/>
    <w:semiHidden/>
    <w:rsid w:val="000D6032"/>
    <w:rPr>
      <w:rFonts w:cs="Times New Roman"/>
      <w:sz w:val="16"/>
      <w:szCs w:val="16"/>
    </w:rPr>
  </w:style>
  <w:style w:type="paragraph" w:customStyle="1" w:styleId="31">
    <w:name w:val="正文文本缩进 31"/>
    <w:basedOn w:val="af0"/>
    <w:link w:val="3Char"/>
    <w:rsid w:val="000D6032"/>
    <w:pPr>
      <w:spacing w:line="360" w:lineRule="auto"/>
      <w:ind w:firstLineChars="200" w:firstLine="480"/>
    </w:pPr>
    <w:rPr>
      <w:sz w:val="16"/>
      <w:szCs w:val="16"/>
    </w:rPr>
  </w:style>
  <w:style w:type="character" w:styleId="af7">
    <w:name w:val="Hyperlink"/>
    <w:basedOn w:val="af1"/>
    <w:rsid w:val="000D6032"/>
    <w:rPr>
      <w:rFonts w:cs="Times New Roman"/>
      <w:color w:val="000000"/>
      <w:u w:val="none"/>
    </w:rPr>
  </w:style>
  <w:style w:type="paragraph" w:customStyle="1" w:styleId="12">
    <w:name w:val="样式1"/>
    <w:basedOn w:val="1"/>
    <w:rsid w:val="000D6032"/>
    <w:pPr>
      <w:spacing w:beforeLines="50"/>
    </w:pPr>
    <w:rPr>
      <w:rFonts w:eastAsia="黑体"/>
      <w:b w:val="0"/>
      <w:sz w:val="21"/>
    </w:rPr>
  </w:style>
  <w:style w:type="paragraph" w:customStyle="1" w:styleId="af8">
    <w:name w:val="标准书脚_奇数页"/>
    <w:rsid w:val="000D6032"/>
    <w:pPr>
      <w:spacing w:before="120"/>
      <w:ind w:right="198"/>
      <w:jc w:val="right"/>
    </w:pPr>
    <w:rPr>
      <w:rFonts w:ascii="宋体"/>
      <w:sz w:val="18"/>
      <w:szCs w:val="18"/>
    </w:rPr>
  </w:style>
  <w:style w:type="paragraph" w:customStyle="1" w:styleId="20">
    <w:name w:val="正文2"/>
    <w:basedOn w:val="af0"/>
    <w:link w:val="2CharChar"/>
    <w:rsid w:val="000D6032"/>
    <w:pPr>
      <w:spacing w:line="440" w:lineRule="exact"/>
      <w:ind w:firstLineChars="200" w:firstLine="560"/>
    </w:pPr>
    <w:rPr>
      <w:sz w:val="28"/>
      <w:szCs w:val="28"/>
    </w:rPr>
  </w:style>
  <w:style w:type="paragraph" w:customStyle="1" w:styleId="13">
    <w:name w:val="列出段落1"/>
    <w:basedOn w:val="af0"/>
    <w:rsid w:val="000D6032"/>
    <w:pPr>
      <w:ind w:firstLineChars="200" w:firstLine="420"/>
    </w:pPr>
  </w:style>
  <w:style w:type="paragraph" w:customStyle="1" w:styleId="af9">
    <w:name w:val="图标题"/>
    <w:basedOn w:val="af0"/>
    <w:rsid w:val="000D6032"/>
    <w:pPr>
      <w:jc w:val="center"/>
    </w:pPr>
    <w:rPr>
      <w:rFonts w:ascii="Arial" w:hAnsi="Arial" w:cs="Arial"/>
      <w:b/>
    </w:rPr>
  </w:style>
  <w:style w:type="paragraph" w:customStyle="1" w:styleId="a1">
    <w:name w:val="样式 一级无标题条 +"/>
    <w:basedOn w:val="a5"/>
    <w:rsid w:val="000D6032"/>
    <w:pPr>
      <w:numPr>
        <w:ilvl w:val="0"/>
        <w:numId w:val="1"/>
      </w:numPr>
    </w:pPr>
  </w:style>
  <w:style w:type="paragraph" w:customStyle="1" w:styleId="a5">
    <w:name w:val="章标题"/>
    <w:next w:val="afa"/>
    <w:rsid w:val="000D6032"/>
    <w:pPr>
      <w:numPr>
        <w:ilvl w:val="1"/>
        <w:numId w:val="2"/>
      </w:numPr>
      <w:tabs>
        <w:tab w:val="left" w:pos="420"/>
      </w:tabs>
      <w:spacing w:beforeLines="50" w:afterLines="50"/>
      <w:ind w:left="420" w:hanging="420"/>
      <w:jc w:val="both"/>
      <w:outlineLvl w:val="1"/>
    </w:pPr>
    <w:rPr>
      <w:rFonts w:ascii="黑体" w:eastAsia="黑体"/>
      <w:sz w:val="21"/>
    </w:rPr>
  </w:style>
  <w:style w:type="paragraph" w:customStyle="1" w:styleId="afa">
    <w:name w:val="段"/>
    <w:link w:val="CharChar"/>
    <w:rsid w:val="000D6032"/>
    <w:pPr>
      <w:autoSpaceDE w:val="0"/>
      <w:autoSpaceDN w:val="0"/>
      <w:ind w:firstLineChars="200" w:firstLine="200"/>
      <w:jc w:val="both"/>
    </w:pPr>
    <w:rPr>
      <w:rFonts w:ascii="宋体"/>
      <w:sz w:val="21"/>
    </w:rPr>
  </w:style>
  <w:style w:type="paragraph" w:customStyle="1" w:styleId="afb">
    <w:name w:val="标准称谓"/>
    <w:next w:val="af0"/>
    <w:rsid w:val="000D6032"/>
    <w:pPr>
      <w:widowControl w:val="0"/>
      <w:kinsoku w:val="0"/>
      <w:overflowPunct w:val="0"/>
      <w:autoSpaceDE w:val="0"/>
      <w:autoSpaceDN w:val="0"/>
      <w:spacing w:line="240" w:lineRule="atLeast"/>
      <w:jc w:val="distribute"/>
    </w:pPr>
    <w:rPr>
      <w:rFonts w:ascii="宋体"/>
      <w:b/>
      <w:bCs/>
      <w:spacing w:val="20"/>
      <w:w w:val="148"/>
      <w:sz w:val="48"/>
    </w:rPr>
  </w:style>
  <w:style w:type="paragraph" w:customStyle="1" w:styleId="CharChar0">
    <w:name w:val="Char Char"/>
    <w:basedOn w:val="af0"/>
    <w:rsid w:val="000D6032"/>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1Char">
    <w:name w:val="Char Char1 Char Char1 Char"/>
    <w:basedOn w:val="af0"/>
    <w:rsid w:val="000D6032"/>
    <w:pPr>
      <w:widowControl/>
      <w:spacing w:after="160" w:line="240" w:lineRule="exact"/>
      <w:jc w:val="left"/>
    </w:pPr>
    <w:rPr>
      <w:rFonts w:ascii="Verdana" w:eastAsia="仿宋_GB2312" w:hAnsi="Verdana" w:cs="”“Times New Roman”“"/>
      <w:kern w:val="0"/>
      <w:sz w:val="24"/>
      <w:szCs w:val="20"/>
      <w:lang w:eastAsia="en-US"/>
    </w:rPr>
  </w:style>
  <w:style w:type="paragraph" w:customStyle="1" w:styleId="14">
    <w:name w:val="正文1"/>
    <w:basedOn w:val="Default"/>
    <w:next w:val="Default"/>
    <w:rsid w:val="000D6032"/>
    <w:rPr>
      <w:rFonts w:cs="Times New Roman"/>
      <w:color w:val="auto"/>
    </w:rPr>
  </w:style>
  <w:style w:type="paragraph" w:customStyle="1" w:styleId="Default">
    <w:name w:val="Default"/>
    <w:rsid w:val="000D6032"/>
    <w:pPr>
      <w:widowControl w:val="0"/>
      <w:autoSpaceDE w:val="0"/>
      <w:autoSpaceDN w:val="0"/>
      <w:adjustRightInd w:val="0"/>
    </w:pPr>
    <w:rPr>
      <w:rFonts w:ascii="宋体" w:cs="宋体"/>
      <w:color w:val="000000"/>
      <w:sz w:val="24"/>
      <w:szCs w:val="24"/>
    </w:rPr>
  </w:style>
  <w:style w:type="paragraph" w:customStyle="1" w:styleId="afc">
    <w:name w:val="封面标准名称"/>
    <w:rsid w:val="000D6032"/>
    <w:pPr>
      <w:widowControl w:val="0"/>
      <w:spacing w:line="680" w:lineRule="exact"/>
      <w:jc w:val="center"/>
      <w:textAlignment w:val="center"/>
    </w:pPr>
    <w:rPr>
      <w:rFonts w:ascii="黑体" w:eastAsia="黑体"/>
      <w:sz w:val="52"/>
    </w:rPr>
  </w:style>
  <w:style w:type="paragraph" w:customStyle="1" w:styleId="xl26">
    <w:name w:val="xl26"/>
    <w:basedOn w:val="af0"/>
    <w:rsid w:val="000D6032"/>
    <w:pPr>
      <w:widowControl/>
      <w:spacing w:before="100" w:beforeAutospacing="1" w:after="100" w:afterAutospacing="1"/>
      <w:jc w:val="center"/>
    </w:pPr>
    <w:rPr>
      <w:rFonts w:ascii="Arial Unicode MS" w:hAnsi="Arial Unicode MS" w:cs="Arial Unicode MS"/>
      <w:kern w:val="0"/>
      <w:sz w:val="24"/>
    </w:rPr>
  </w:style>
  <w:style w:type="paragraph" w:customStyle="1" w:styleId="af">
    <w:name w:val="注×："/>
    <w:rsid w:val="000D6032"/>
    <w:pPr>
      <w:widowControl w:val="0"/>
      <w:numPr>
        <w:numId w:val="3"/>
      </w:numPr>
      <w:tabs>
        <w:tab w:val="clear" w:pos="900"/>
        <w:tab w:val="left" w:pos="630"/>
      </w:tabs>
      <w:autoSpaceDE w:val="0"/>
      <w:autoSpaceDN w:val="0"/>
      <w:jc w:val="both"/>
    </w:pPr>
    <w:rPr>
      <w:rFonts w:ascii="宋体"/>
      <w:sz w:val="18"/>
    </w:rPr>
  </w:style>
  <w:style w:type="paragraph" w:customStyle="1" w:styleId="a3">
    <w:name w:val="注："/>
    <w:next w:val="afa"/>
    <w:rsid w:val="000D6032"/>
    <w:pPr>
      <w:widowControl w:val="0"/>
      <w:numPr>
        <w:numId w:val="4"/>
      </w:numPr>
      <w:autoSpaceDE w:val="0"/>
      <w:autoSpaceDN w:val="0"/>
      <w:jc w:val="both"/>
    </w:pPr>
    <w:rPr>
      <w:rFonts w:ascii="宋体"/>
      <w:sz w:val="18"/>
    </w:rPr>
  </w:style>
  <w:style w:type="paragraph" w:customStyle="1" w:styleId="a">
    <w:name w:val="正文图标题"/>
    <w:next w:val="afa"/>
    <w:rsid w:val="000D6032"/>
    <w:pPr>
      <w:numPr>
        <w:numId w:val="5"/>
      </w:numPr>
      <w:jc w:val="center"/>
    </w:pPr>
    <w:rPr>
      <w:rFonts w:ascii="黑体" w:eastAsia="黑体"/>
      <w:sz w:val="21"/>
    </w:rPr>
  </w:style>
  <w:style w:type="paragraph" w:customStyle="1" w:styleId="a7">
    <w:name w:val="正文表标题"/>
    <w:next w:val="afa"/>
    <w:rsid w:val="000D6032"/>
    <w:pPr>
      <w:numPr>
        <w:numId w:val="6"/>
      </w:numPr>
      <w:jc w:val="center"/>
    </w:pPr>
    <w:rPr>
      <w:rFonts w:ascii="黑体" w:eastAsia="黑体"/>
      <w:sz w:val="21"/>
    </w:rPr>
  </w:style>
  <w:style w:type="paragraph" w:customStyle="1" w:styleId="a9">
    <w:name w:val="一级无标题条"/>
    <w:basedOn w:val="af0"/>
    <w:rsid w:val="000D6032"/>
    <w:pPr>
      <w:numPr>
        <w:ilvl w:val="2"/>
        <w:numId w:val="7"/>
      </w:numPr>
    </w:pPr>
  </w:style>
  <w:style w:type="paragraph" w:customStyle="1" w:styleId="ac">
    <w:name w:val="五级无标题条"/>
    <w:basedOn w:val="af0"/>
    <w:rsid w:val="000D6032"/>
    <w:pPr>
      <w:numPr>
        <w:ilvl w:val="6"/>
        <w:numId w:val="7"/>
      </w:numPr>
    </w:pPr>
  </w:style>
  <w:style w:type="paragraph" w:customStyle="1" w:styleId="ab">
    <w:name w:val="四级无标题条"/>
    <w:basedOn w:val="af0"/>
    <w:rsid w:val="000D6032"/>
    <w:pPr>
      <w:numPr>
        <w:ilvl w:val="5"/>
        <w:numId w:val="7"/>
      </w:numPr>
    </w:pPr>
  </w:style>
  <w:style w:type="paragraph" w:customStyle="1" w:styleId="a8">
    <w:name w:val="示例"/>
    <w:next w:val="afa"/>
    <w:rsid w:val="000D6032"/>
    <w:pPr>
      <w:numPr>
        <w:numId w:val="8"/>
      </w:numPr>
      <w:tabs>
        <w:tab w:val="clear" w:pos="1120"/>
        <w:tab w:val="left" w:pos="816"/>
      </w:tabs>
      <w:ind w:firstLineChars="233" w:firstLine="419"/>
      <w:jc w:val="both"/>
    </w:pPr>
    <w:rPr>
      <w:rFonts w:ascii="宋体"/>
      <w:sz w:val="18"/>
    </w:rPr>
  </w:style>
  <w:style w:type="paragraph" w:customStyle="1" w:styleId="aa">
    <w:name w:val="三级无标题条"/>
    <w:basedOn w:val="af0"/>
    <w:rsid w:val="000D6032"/>
    <w:pPr>
      <w:numPr>
        <w:ilvl w:val="4"/>
        <w:numId w:val="7"/>
      </w:numPr>
    </w:pPr>
  </w:style>
  <w:style w:type="paragraph" w:customStyle="1" w:styleId="a2">
    <w:name w:val="列项·"/>
    <w:rsid w:val="000D6032"/>
    <w:pPr>
      <w:numPr>
        <w:numId w:val="9"/>
      </w:numPr>
      <w:tabs>
        <w:tab w:val="clear" w:pos="1140"/>
        <w:tab w:val="left" w:pos="840"/>
      </w:tabs>
      <w:ind w:leftChars="200" w:left="840" w:hangingChars="200" w:hanging="420"/>
      <w:jc w:val="both"/>
    </w:pPr>
    <w:rPr>
      <w:rFonts w:ascii="宋体"/>
      <w:sz w:val="21"/>
    </w:rPr>
  </w:style>
  <w:style w:type="paragraph" w:customStyle="1" w:styleId="afd">
    <w:name w:val="附录五级条标题"/>
    <w:basedOn w:val="afe"/>
    <w:next w:val="afa"/>
    <w:rsid w:val="000D6032"/>
    <w:pPr>
      <w:tabs>
        <w:tab w:val="left" w:pos="3513"/>
      </w:tabs>
      <w:ind w:left="3513" w:hanging="1065"/>
      <w:outlineLvl w:val="6"/>
    </w:pPr>
  </w:style>
  <w:style w:type="paragraph" w:customStyle="1" w:styleId="afe">
    <w:name w:val="附录四级条标题"/>
    <w:basedOn w:val="aff"/>
    <w:next w:val="afa"/>
    <w:rsid w:val="000D6032"/>
    <w:pPr>
      <w:tabs>
        <w:tab w:val="left" w:pos="3335"/>
      </w:tabs>
      <w:ind w:left="3335" w:hanging="1125"/>
      <w:outlineLvl w:val="5"/>
    </w:pPr>
  </w:style>
  <w:style w:type="paragraph" w:customStyle="1" w:styleId="aff">
    <w:name w:val="附录三级条标题"/>
    <w:basedOn w:val="aff0"/>
    <w:next w:val="afa"/>
    <w:rsid w:val="000D6032"/>
    <w:pPr>
      <w:tabs>
        <w:tab w:val="left" w:pos="2953"/>
      </w:tabs>
      <w:ind w:left="2953" w:hanging="1065"/>
      <w:outlineLvl w:val="4"/>
    </w:pPr>
  </w:style>
  <w:style w:type="paragraph" w:customStyle="1" w:styleId="aff0">
    <w:name w:val="附录二级条标题"/>
    <w:basedOn w:val="aff1"/>
    <w:next w:val="afa"/>
    <w:rsid w:val="000D6032"/>
    <w:pPr>
      <w:tabs>
        <w:tab w:val="left" w:pos="2250"/>
      </w:tabs>
      <w:ind w:left="2250" w:firstLine="0"/>
      <w:outlineLvl w:val="3"/>
    </w:pPr>
  </w:style>
  <w:style w:type="paragraph" w:customStyle="1" w:styleId="aff1">
    <w:name w:val="附录一级条标题"/>
    <w:basedOn w:val="ae"/>
    <w:next w:val="afa"/>
    <w:rsid w:val="000D6032"/>
    <w:pPr>
      <w:numPr>
        <w:numId w:val="0"/>
      </w:numPr>
      <w:tabs>
        <w:tab w:val="left" w:pos="1740"/>
      </w:tabs>
      <w:autoSpaceDN w:val="0"/>
      <w:ind w:left="1740" w:hanging="720"/>
      <w:outlineLvl w:val="2"/>
    </w:pPr>
  </w:style>
  <w:style w:type="paragraph" w:customStyle="1" w:styleId="ae">
    <w:name w:val="附录章标题"/>
    <w:next w:val="afa"/>
    <w:rsid w:val="000D6032"/>
    <w:pPr>
      <w:numPr>
        <w:ilvl w:val="1"/>
        <w:numId w:val="10"/>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d">
    <w:name w:val="附录标识"/>
    <w:basedOn w:val="a4"/>
    <w:rsid w:val="000D6032"/>
    <w:pPr>
      <w:numPr>
        <w:numId w:val="10"/>
      </w:numPr>
      <w:tabs>
        <w:tab w:val="left" w:pos="1035"/>
        <w:tab w:val="left" w:pos="6405"/>
      </w:tabs>
      <w:spacing w:after="200"/>
      <w:ind w:left="1035" w:hanging="1035"/>
    </w:pPr>
    <w:rPr>
      <w:sz w:val="21"/>
    </w:rPr>
  </w:style>
  <w:style w:type="paragraph" w:customStyle="1" w:styleId="a4">
    <w:name w:val="前言、引言标题"/>
    <w:next w:val="af0"/>
    <w:rsid w:val="000D6032"/>
    <w:pPr>
      <w:numPr>
        <w:numId w:val="2"/>
      </w:numPr>
      <w:shd w:val="clear" w:color="FFFFFF" w:fill="FFFFFF"/>
      <w:spacing w:before="640" w:after="560"/>
      <w:jc w:val="center"/>
      <w:outlineLvl w:val="0"/>
    </w:pPr>
    <w:rPr>
      <w:rFonts w:ascii="黑体" w:eastAsia="黑体"/>
      <w:sz w:val="32"/>
    </w:rPr>
  </w:style>
  <w:style w:type="paragraph" w:customStyle="1" w:styleId="aff2">
    <w:name w:val="二级无标题条"/>
    <w:basedOn w:val="af0"/>
    <w:rsid w:val="000D6032"/>
  </w:style>
  <w:style w:type="paragraph" w:customStyle="1" w:styleId="aff3">
    <w:name w:val="五级条标题"/>
    <w:basedOn w:val="aff4"/>
    <w:next w:val="afa"/>
    <w:rsid w:val="000D6032"/>
    <w:pPr>
      <w:tabs>
        <w:tab w:val="left" w:pos="2940"/>
      </w:tabs>
      <w:ind w:left="2940"/>
      <w:outlineLvl w:val="6"/>
    </w:pPr>
  </w:style>
  <w:style w:type="paragraph" w:customStyle="1" w:styleId="aff4">
    <w:name w:val="四级条标题"/>
    <w:basedOn w:val="a6"/>
    <w:next w:val="afa"/>
    <w:rsid w:val="000D6032"/>
    <w:pPr>
      <w:numPr>
        <w:numId w:val="0"/>
      </w:numPr>
      <w:tabs>
        <w:tab w:val="left" w:pos="3000"/>
      </w:tabs>
      <w:ind w:left="3000"/>
      <w:outlineLvl w:val="5"/>
    </w:pPr>
  </w:style>
  <w:style w:type="paragraph" w:customStyle="1" w:styleId="a6">
    <w:name w:val="三级条标题"/>
    <w:basedOn w:val="aff5"/>
    <w:next w:val="afa"/>
    <w:rsid w:val="000D6032"/>
    <w:pPr>
      <w:numPr>
        <w:ilvl w:val="4"/>
        <w:numId w:val="2"/>
      </w:numPr>
      <w:tabs>
        <w:tab w:val="left" w:pos="2580"/>
      </w:tabs>
      <w:ind w:left="2580" w:hanging="420"/>
      <w:outlineLvl w:val="4"/>
    </w:pPr>
  </w:style>
  <w:style w:type="paragraph" w:customStyle="1" w:styleId="aff5">
    <w:name w:val="二级条标题"/>
    <w:basedOn w:val="a0"/>
    <w:next w:val="afa"/>
    <w:rsid w:val="000D6032"/>
    <w:pPr>
      <w:numPr>
        <w:numId w:val="0"/>
      </w:numPr>
      <w:outlineLvl w:val="3"/>
    </w:pPr>
  </w:style>
  <w:style w:type="paragraph" w:customStyle="1" w:styleId="a0">
    <w:name w:val="一级条标题"/>
    <w:basedOn w:val="a5"/>
    <w:next w:val="afa"/>
    <w:rsid w:val="000D6032"/>
    <w:pPr>
      <w:numPr>
        <w:ilvl w:val="2"/>
        <w:numId w:val="11"/>
      </w:numPr>
      <w:tabs>
        <w:tab w:val="clear" w:pos="420"/>
      </w:tabs>
      <w:ind w:left="0" w:firstLine="0"/>
      <w:outlineLvl w:val="2"/>
    </w:pPr>
  </w:style>
  <w:style w:type="paragraph" w:customStyle="1" w:styleId="CharChar1">
    <w:name w:val="批注框文本 Char Char"/>
    <w:basedOn w:val="af0"/>
    <w:link w:val="CharCharCharChar"/>
    <w:rsid w:val="000D6032"/>
    <w:rPr>
      <w:sz w:val="2"/>
    </w:rPr>
  </w:style>
  <w:style w:type="character" w:customStyle="1" w:styleId="15">
    <w:name w:val="页码1"/>
    <w:basedOn w:val="af1"/>
    <w:rsid w:val="000D6032"/>
    <w:rPr>
      <w:rFonts w:cs="Times New Roman"/>
    </w:rPr>
  </w:style>
  <w:style w:type="character" w:customStyle="1" w:styleId="Char2">
    <w:name w:val="页眉 Char"/>
    <w:basedOn w:val="af1"/>
    <w:link w:val="af6"/>
    <w:semiHidden/>
    <w:rsid w:val="000D6032"/>
    <w:rPr>
      <w:rFonts w:cs="Times New Roman"/>
      <w:sz w:val="18"/>
      <w:szCs w:val="18"/>
    </w:rPr>
  </w:style>
  <w:style w:type="character" w:customStyle="1" w:styleId="Char1">
    <w:name w:val="页脚 Char"/>
    <w:basedOn w:val="af1"/>
    <w:link w:val="af5"/>
    <w:semiHidden/>
    <w:rsid w:val="000D6032"/>
    <w:rPr>
      <w:rFonts w:cs="Times New Roman"/>
      <w:sz w:val="18"/>
      <w:szCs w:val="18"/>
    </w:rPr>
  </w:style>
  <w:style w:type="character" w:customStyle="1" w:styleId="1Char">
    <w:name w:val="标题 1 Char"/>
    <w:basedOn w:val="af1"/>
    <w:link w:val="1"/>
    <w:semiHidden/>
    <w:rsid w:val="000D6032"/>
    <w:rPr>
      <w:rFonts w:cs="Times New Roman"/>
      <w:b/>
      <w:bCs/>
      <w:kern w:val="44"/>
      <w:sz w:val="44"/>
      <w:szCs w:val="44"/>
    </w:rPr>
  </w:style>
  <w:style w:type="character" w:customStyle="1" w:styleId="2Char">
    <w:name w:val="标题 2 Char"/>
    <w:basedOn w:val="af1"/>
    <w:link w:val="2"/>
    <w:semiHidden/>
    <w:rsid w:val="000D6032"/>
    <w:rPr>
      <w:rFonts w:ascii="Cambria" w:eastAsia="宋体" w:hAnsi="Cambria" w:cs="Times New Roman"/>
      <w:b/>
      <w:bCs/>
      <w:sz w:val="32"/>
      <w:szCs w:val="32"/>
    </w:rPr>
  </w:style>
  <w:style w:type="character" w:customStyle="1" w:styleId="Char">
    <w:name w:val="正文文本 Char"/>
    <w:basedOn w:val="af1"/>
    <w:link w:val="af4"/>
    <w:semiHidden/>
    <w:rsid w:val="000D6032"/>
    <w:rPr>
      <w:rFonts w:cs="Times New Roman"/>
      <w:sz w:val="24"/>
      <w:szCs w:val="24"/>
    </w:rPr>
  </w:style>
  <w:style w:type="character" w:customStyle="1" w:styleId="2CharChar">
    <w:name w:val="正文2 Char Char"/>
    <w:link w:val="20"/>
    <w:semiHidden/>
    <w:rsid w:val="000D6032"/>
    <w:rPr>
      <w:sz w:val="28"/>
      <w:szCs w:val="28"/>
    </w:rPr>
  </w:style>
  <w:style w:type="character" w:customStyle="1" w:styleId="CharChar">
    <w:name w:val="段 Char Char"/>
    <w:basedOn w:val="af1"/>
    <w:link w:val="afa"/>
    <w:semiHidden/>
    <w:rsid w:val="000D6032"/>
    <w:rPr>
      <w:rFonts w:ascii="宋体"/>
      <w:sz w:val="21"/>
      <w:lang w:val="en-US" w:eastAsia="zh-CN" w:bidi="ar-SA"/>
    </w:rPr>
  </w:style>
  <w:style w:type="character" w:customStyle="1" w:styleId="CharCharCharChar">
    <w:name w:val="批注框文本 Char Char Char Char"/>
    <w:basedOn w:val="af1"/>
    <w:link w:val="CharChar1"/>
    <w:semiHidden/>
    <w:rsid w:val="000D6032"/>
    <w:rPr>
      <w:rFonts w:cs="Times New Roman"/>
      <w:sz w:val="2"/>
    </w:rPr>
  </w:style>
  <w:style w:type="paragraph" w:styleId="aff6">
    <w:name w:val="Balloon Text"/>
    <w:basedOn w:val="af0"/>
    <w:link w:val="Char3"/>
    <w:uiPriority w:val="99"/>
    <w:semiHidden/>
    <w:unhideWhenUsed/>
    <w:rsid w:val="00DD36B7"/>
    <w:rPr>
      <w:sz w:val="18"/>
      <w:szCs w:val="18"/>
    </w:rPr>
  </w:style>
  <w:style w:type="character" w:customStyle="1" w:styleId="Char3">
    <w:name w:val="批注框文本 Char"/>
    <w:basedOn w:val="af1"/>
    <w:link w:val="aff6"/>
    <w:uiPriority w:val="99"/>
    <w:semiHidden/>
    <w:rsid w:val="00DD36B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1323</Words>
  <Characters>7545</Characters>
  <Application>Microsoft Office Word</Application>
  <DocSecurity>0</DocSecurity>
  <Lines>62</Lines>
  <Paragraphs>17</Paragraphs>
  <ScaleCrop>false</ScaleCrop>
  <Company>cnis</Company>
  <LinksUpToDate>false</LinksUpToDate>
  <CharactersWithSpaces>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chenhaihong</dc:creator>
  <cp:lastModifiedBy>zeng</cp:lastModifiedBy>
  <cp:revision>5</cp:revision>
  <cp:lastPrinted>2007-05-11T09:33:00Z</cp:lastPrinted>
  <dcterms:created xsi:type="dcterms:W3CDTF">2018-11-08T03:36:00Z</dcterms:created>
  <dcterms:modified xsi:type="dcterms:W3CDTF">2018-11-15T02:44:00Z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