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0"/>
          <w:szCs w:val="30"/>
        </w:rPr>
      </w:pPr>
      <w:bookmarkStart w:id="2" w:name="_GoBack"/>
      <w:bookmarkEnd w:id="2"/>
      <w:r>
        <w:rPr>
          <w:rFonts w:hint="eastAsia" w:ascii="仿宋" w:hAnsi="仿宋" w:eastAsia="仿宋"/>
          <w:b/>
          <w:bCs/>
          <w:sz w:val="30"/>
          <w:szCs w:val="30"/>
        </w:rPr>
        <w:t>附件-</w:t>
      </w:r>
      <w:r>
        <w:rPr>
          <w:rFonts w:ascii="仿宋" w:hAnsi="仿宋" w:eastAsia="仿宋"/>
          <w:b/>
          <w:bCs/>
          <w:sz w:val="30"/>
          <w:szCs w:val="30"/>
        </w:rPr>
        <w:t>调查</w:t>
      </w:r>
      <w:r>
        <w:rPr>
          <w:rFonts w:hint="eastAsia" w:ascii="仿宋" w:hAnsi="仿宋" w:eastAsia="仿宋"/>
          <w:b/>
          <w:bCs/>
          <w:sz w:val="30"/>
          <w:szCs w:val="30"/>
        </w:rPr>
        <w:t>问卷</w:t>
      </w:r>
    </w:p>
    <w:p>
      <w:pPr>
        <w:tabs>
          <w:tab w:val="left" w:pos="142"/>
          <w:tab w:val="left" w:pos="284"/>
          <w:tab w:val="left" w:pos="709"/>
        </w:tabs>
        <w:spacing w:after="160" w:line="259" w:lineRule="auto"/>
        <w:jc w:val="center"/>
        <w:rPr>
          <w:rFonts w:hint="eastAsia" w:ascii="宋体" w:hAnsi="宋体"/>
          <w:b/>
          <w:bCs/>
          <w:sz w:val="28"/>
          <w:szCs w:val="28"/>
          <w:lang w:val="en-SG"/>
        </w:rPr>
      </w:pPr>
      <w:bookmarkStart w:id="0" w:name="_Hlk150351851"/>
      <w:r>
        <w:rPr>
          <w:rFonts w:hint="eastAsia" w:ascii="宋体" w:hAnsi="宋体"/>
          <w:b/>
          <w:bCs/>
          <w:sz w:val="28"/>
          <w:szCs w:val="28"/>
          <w:lang w:val="en-SG"/>
        </w:rPr>
        <w:t>人工智能在城市/社区可持续治理的应用实践</w:t>
      </w:r>
    </w:p>
    <w:bookmarkEnd w:id="0"/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本案例的研究对象涉及哪些城市/社区？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联系人</w:t>
      </w:r>
      <w:r>
        <w:rPr>
          <w:rFonts w:ascii="宋体" w:hAnsi="宋体"/>
        </w:rPr>
        <w:t>姓名、</w:t>
      </w:r>
      <w:r>
        <w:rPr>
          <w:rFonts w:hint="eastAsia" w:ascii="宋体" w:hAnsi="宋体"/>
        </w:rPr>
        <w:t>电话及所在单位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ascii="宋体" w:hAnsi="宋体"/>
        </w:rPr>
        <w:t>联系</w:t>
      </w:r>
      <w:r>
        <w:rPr>
          <w:rFonts w:hint="eastAsia" w:ascii="宋体" w:hAnsi="宋体"/>
        </w:rPr>
        <w:t>邮箱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Times New Roman"/>
                <w:lang w:val="en-GB" w:eastAsia="en-US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ascii="宋体" w:hAnsi="宋体"/>
        </w:rPr>
        <w:t>本案例研究</w:t>
      </w:r>
      <w:r>
        <w:rPr>
          <w:rFonts w:hint="eastAsia" w:ascii="宋体" w:hAnsi="宋体"/>
        </w:rPr>
        <w:t>的类别</w:t>
      </w:r>
      <w:r>
        <w:rPr>
          <w:rFonts w:ascii="宋体" w:hAnsi="宋体"/>
        </w:rPr>
        <w:t>：</w:t>
      </w:r>
    </w:p>
    <w:p>
      <w:pPr>
        <w:pStyle w:val="6"/>
        <w:spacing w:after="160" w:line="278" w:lineRule="auto"/>
        <w:ind w:left="720" w:firstLine="422"/>
        <w:contextualSpacing/>
        <w:rPr>
          <w:rFonts w:hint="eastAsia" w:ascii="宋体" w:hAnsi="宋体"/>
          <w:b/>
          <w:bCs/>
        </w:rPr>
      </w:pPr>
      <w:bookmarkStart w:id="1" w:name="OLE_LINK3"/>
      <w:r>
        <w:rPr>
          <w:rFonts w:ascii="宋体" w:hAnsi="宋体"/>
          <w:b/>
          <w:bCs/>
        </w:rPr>
        <w:t>1</w:t>
      </w:r>
      <w:r>
        <w:rPr>
          <w:rFonts w:hint="eastAsia" w:ascii="宋体" w:hAnsi="宋体"/>
          <w:b/>
          <w:bCs/>
        </w:rPr>
        <w:t>）</w:t>
      </w:r>
      <w:r>
        <w:rPr>
          <w:rFonts w:ascii="宋体" w:hAnsi="宋体"/>
          <w:b/>
          <w:bCs/>
        </w:rPr>
        <w:t>城市</w:t>
      </w:r>
      <w:r>
        <w:rPr>
          <w:rFonts w:hint="eastAsia" w:ascii="宋体" w:hAnsi="宋体"/>
          <w:b/>
          <w:bCs/>
        </w:rPr>
        <w:t>制定</w:t>
      </w:r>
      <w:r>
        <w:rPr>
          <w:rFonts w:ascii="宋体" w:hAnsi="宋体"/>
          <w:b/>
          <w:bCs/>
        </w:rPr>
        <w:t>的人工智能</w:t>
      </w:r>
      <w:r>
        <w:rPr>
          <w:rFonts w:hint="eastAsia" w:ascii="宋体" w:hAnsi="宋体"/>
          <w:b/>
          <w:bCs/>
        </w:rPr>
        <w:t>治理相关政策法规：</w:t>
      </w:r>
      <w:r>
        <w:rPr>
          <w:rFonts w:ascii="宋体" w:hAnsi="宋体"/>
        </w:rPr>
        <w:t>政府通过制定AI相关政策、法规、标准或治理机制，规范AI在城市中的伦理应用、算法透明性和监管框架，涵盖AI伦理与法规制定、算法监管与透明化、跨部门治理协作等方向。</w:t>
      </w:r>
    </w:p>
    <w:p>
      <w:pPr>
        <w:pStyle w:val="6"/>
        <w:spacing w:after="160" w:line="278" w:lineRule="auto"/>
        <w:ind w:left="720" w:firstLine="422"/>
        <w:contextualSpacing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）</w:t>
      </w:r>
      <w:r>
        <w:rPr>
          <w:rFonts w:ascii="宋体" w:hAnsi="宋体"/>
          <w:b/>
          <w:bCs/>
        </w:rPr>
        <w:t>人工智能在城市</w:t>
      </w:r>
      <w:r>
        <w:rPr>
          <w:rFonts w:hint="eastAsia" w:ascii="宋体" w:hAnsi="宋体"/>
          <w:b/>
          <w:bCs/>
        </w:rPr>
        <w:t>/社区规划建设管理</w:t>
      </w:r>
      <w:r>
        <w:rPr>
          <w:rFonts w:ascii="宋体" w:hAnsi="宋体"/>
          <w:b/>
          <w:bCs/>
        </w:rPr>
        <w:t>中的应用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/>
        </w:rPr>
        <w:t>AI深度融入城市规划、建设、管理的跨部门流程，通过数据整合与智能分析提升治理效率和协同性，例如人工智能辅助国土空间规划、基础设施智能建设与维护等场景。</w:t>
      </w:r>
    </w:p>
    <w:p>
      <w:pPr>
        <w:pStyle w:val="6"/>
        <w:spacing w:after="160" w:line="278" w:lineRule="auto"/>
        <w:ind w:left="720" w:firstLine="422"/>
        <w:contextualSpacing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3</w:t>
      </w:r>
      <w:r>
        <w:rPr>
          <w:rFonts w:hint="eastAsia" w:ascii="宋体" w:hAnsi="宋体"/>
          <w:b/>
          <w:bCs/>
        </w:rPr>
        <w:t>）</w:t>
      </w:r>
      <w:r>
        <w:rPr>
          <w:rFonts w:ascii="宋体" w:hAnsi="宋体"/>
          <w:b/>
          <w:bCs/>
        </w:rPr>
        <w:t>人工智能在城市</w:t>
      </w:r>
      <w:r>
        <w:rPr>
          <w:rFonts w:hint="eastAsia" w:ascii="宋体" w:hAnsi="宋体"/>
          <w:b/>
          <w:bCs/>
        </w:rPr>
        <w:t>/社区公共</w:t>
      </w:r>
      <w:r>
        <w:rPr>
          <w:rFonts w:ascii="宋体" w:hAnsi="宋体"/>
          <w:b/>
          <w:bCs/>
        </w:rPr>
        <w:t>服务中的应用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/>
        </w:rPr>
        <w:t>AI聚焦城市</w:t>
      </w:r>
      <w:r>
        <w:rPr>
          <w:rFonts w:hint="eastAsia" w:ascii="宋体" w:hAnsi="宋体"/>
        </w:rPr>
        <w:t>公共</w:t>
      </w:r>
      <w:r>
        <w:rPr>
          <w:rFonts w:ascii="宋体" w:hAnsi="宋体"/>
        </w:rPr>
        <w:t>服务领域（如交通、医疗、教育），解决具体痛点并提升服务效率与体验，包括交通管理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AI交通流量优化、智能停车管理等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；环境治理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AI扬尘监测系统、水质智能预警等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；医疗健康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AI全科医生、智能分诊系统等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：教育服务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AI个性化学习平台、智能教学辅助等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：公共安全与应急响应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 城市应急管理系统、灾害预测预警等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：公共服务优化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AI 客服机器人、AI辅助政务审批等</w:t>
      </w:r>
      <w:r>
        <w:rPr>
          <w:rFonts w:hint="eastAsia" w:ascii="宋体" w:hAnsi="宋体"/>
        </w:rPr>
        <w:t>）等方面</w:t>
      </w:r>
      <w:r>
        <w:rPr>
          <w:rFonts w:ascii="宋体" w:hAnsi="宋体"/>
        </w:rPr>
        <w:t>。</w:t>
      </w:r>
    </w:p>
    <w:p>
      <w:pPr>
        <w:pStyle w:val="6"/>
        <w:spacing w:after="160" w:line="278" w:lineRule="auto"/>
        <w:ind w:left="720" w:firstLine="422"/>
        <w:contextualSpacing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>）</w:t>
      </w:r>
      <w:r>
        <w:rPr>
          <w:rFonts w:ascii="宋体" w:hAnsi="宋体"/>
          <w:b/>
          <w:bCs/>
        </w:rPr>
        <w:t>人工智能在</w:t>
      </w:r>
      <w:r>
        <w:rPr>
          <w:rFonts w:hint="eastAsia" w:ascii="宋体" w:hAnsi="宋体"/>
          <w:b/>
          <w:bCs/>
        </w:rPr>
        <w:t>政策制定及实施效果评估</w:t>
      </w:r>
      <w:r>
        <w:rPr>
          <w:rFonts w:ascii="宋体" w:hAnsi="宋体"/>
          <w:b/>
          <w:bCs/>
        </w:rPr>
        <w:t>中的应用</w:t>
      </w:r>
      <w:r>
        <w:rPr>
          <w:rFonts w:hint="eastAsia" w:ascii="宋体" w:hAnsi="宋体"/>
          <w:b/>
          <w:bCs/>
        </w:rPr>
        <w:t>：</w:t>
      </w:r>
      <w:r>
        <w:rPr>
          <w:rFonts w:ascii="宋体" w:hAnsi="宋体"/>
        </w:rPr>
        <w:t>AI通过量化政策效果、监测可持续发展目标（SDGs）进展，为决策提供数据支撑并实现动态优化，具体包括 AI绩效监测与预警、效益预测与动态调整、舆情分析与响应等应用。</w:t>
      </w:r>
    </w:p>
    <w:bookmarkEnd w:id="1"/>
    <w:p>
      <w:pPr>
        <w:pStyle w:val="6"/>
        <w:ind w:left="420" w:leftChars="200"/>
        <w:rPr>
          <w:rFonts w:hint="eastAsia" w:ascii="宋体" w:hAnsi="宋体"/>
        </w:rPr>
      </w:pPr>
      <w:r>
        <w:rPr>
          <w:rStyle w:val="7"/>
          <w:rFonts w:hint="eastAsia"/>
        </w:rPr>
        <w:t>选择一项。</w:t>
      </w: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ascii="宋体" w:hAnsi="宋体"/>
        </w:rPr>
        <w:t>如果您选择了“</w:t>
      </w:r>
      <w:r>
        <w:rPr>
          <w:rFonts w:hint="eastAsia" w:ascii="宋体" w:hAnsi="宋体"/>
        </w:rPr>
        <w:t>人工智能在城市/社区公共服务中的应用</w:t>
      </w:r>
      <w:r>
        <w:rPr>
          <w:rFonts w:ascii="宋体" w:hAnsi="宋体"/>
        </w:rPr>
        <w:t>”，请从以下服务领域中选择：</w:t>
      </w:r>
    </w:p>
    <w:p>
      <w:pPr>
        <w:pStyle w:val="6"/>
        <w:ind w:left="420" w:leftChars="200"/>
        <w:rPr>
          <w:rFonts w:hint="eastAsia" w:ascii="宋体" w:hAnsi="宋体"/>
        </w:rPr>
      </w:pPr>
      <w:r>
        <w:rPr>
          <w:rStyle w:val="7"/>
          <w:rFonts w:ascii="宋体" w:hAnsi="宋体"/>
        </w:rPr>
        <w:t>选择一个项目。</w:t>
      </w: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概述：</w:t>
      </w:r>
      <w:r>
        <w:rPr>
          <w:rFonts w:hint="eastAsia" w:ascii="宋体" w:hAnsi="宋体"/>
        </w:rPr>
        <w:t>简要总结所开展的工作（不超过 200 字）。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背景与战略：</w:t>
      </w:r>
      <w:r>
        <w:rPr>
          <w:rFonts w:hint="eastAsia" w:ascii="宋体" w:hAnsi="宋体"/>
        </w:rPr>
        <w:t>您所在城市为何选择在这一领域应用人工智能？这项举措与城市整体发展战略有何关联？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具体行动：</w:t>
      </w:r>
      <w:r>
        <w:rPr>
          <w:rFonts w:hint="eastAsia" w:ascii="宋体" w:hAnsi="宋体"/>
        </w:rPr>
        <w:t>请详述采用的方法，包括政策措施、管理方式、实施步骤及评估手段。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技术应用：</w:t>
      </w:r>
      <w:r>
        <w:rPr>
          <w:rFonts w:hint="eastAsia" w:ascii="宋体" w:hAnsi="宋体"/>
        </w:rPr>
        <w:t>推进上述工作使用了哪些人工智能系统和工具？涉及哪些数据，如何收集与管理？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各方角色与贡献：</w:t>
      </w:r>
      <w:r>
        <w:rPr>
          <w:rFonts w:hint="eastAsia" w:ascii="宋体" w:hAnsi="宋体" w:cs="宋体"/>
        </w:rPr>
        <w:t>项目执行中，政府、企业、社区、居民等主要相关方分别承担什么角色，作出了哪些贡献？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ascii="宋体" w:hAnsi="宋体"/>
          <w:b/>
          <w:bCs/>
        </w:rPr>
        <w:t>治理与伦理：</w:t>
      </w:r>
      <w:r>
        <w:rPr>
          <w:rFonts w:ascii="宋体" w:hAnsi="宋体"/>
        </w:rPr>
        <w:t>有哪些政策指导人工智能的伦理应用？您所在城市在应对偏见、隐私保护或责任追究等风险方面有哪些举措？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widowControl/>
        <w:numPr>
          <w:ilvl w:val="0"/>
          <w:numId w:val="1"/>
        </w:numPr>
        <w:spacing w:after="160" w:line="278" w:lineRule="auto"/>
        <w:ind w:firstLineChars="0"/>
        <w:contextualSpacing/>
        <w:jc w:val="left"/>
        <w:rPr>
          <w:rFonts w:hint="eastAsia" w:ascii="宋体" w:hAnsi="宋体"/>
        </w:rPr>
      </w:pPr>
      <w:r>
        <w:rPr>
          <w:rFonts w:ascii="宋体" w:hAnsi="宋体"/>
          <w:b/>
          <w:bCs/>
        </w:rPr>
        <w:t>效果影响</w:t>
      </w:r>
      <w:r>
        <w:rPr>
          <w:rFonts w:ascii="宋体" w:hAnsi="宋体"/>
        </w:rPr>
        <w:t>：概括这种方法在实现预期效果上的表现，尤其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在经济、社会和环境方面的成果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经验与反思：</w:t>
      </w:r>
      <w:r>
        <w:rPr>
          <w:rFonts w:hint="eastAsia" w:ascii="宋体" w:hAnsi="宋体"/>
        </w:rPr>
        <w:t>这项工作有哪些经验值得其他城市借鉴？遇到过哪些困难，如何解决的？如果重新开展，会调整哪些做法？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pStyle w:val="6"/>
        <w:rPr>
          <w:rFonts w:hint="eastAsia" w:ascii="宋体" w:hAnsi="宋体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/>
        </w:rPr>
      </w:pPr>
      <w:r>
        <w:rPr>
          <w:rFonts w:hint="eastAsia" w:ascii="宋体" w:hAnsi="宋体"/>
        </w:rPr>
        <w:t>请说明本项目的技术支持单位，提供相关参考资料及来源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CECE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CECEC"/>
        </w:tblPrEx>
        <w:trPr>
          <w:trHeight w:val="567" w:hRule="atLeast"/>
        </w:trPr>
        <w:tc>
          <w:tcPr>
            <w:tcW w:w="9016" w:type="dxa"/>
            <w:shd w:val="clear" w:color="auto" w:fill="ECECEC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Times New Roman"/>
                <w:lang w:val="en-GB" w:eastAsia="zh-CN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感谢</w:t>
      </w:r>
      <w:r>
        <w:rPr>
          <w:rFonts w:ascii="宋体" w:hAnsi="宋体" w:eastAsia="宋体"/>
          <w:szCs w:val="21"/>
        </w:rPr>
        <w:t>您的</w:t>
      </w:r>
      <w:r>
        <w:rPr>
          <w:rFonts w:hint="eastAsia" w:ascii="宋体" w:hAnsi="宋体" w:eastAsia="宋体"/>
          <w:szCs w:val="21"/>
        </w:rPr>
        <w:t>分享</w:t>
      </w:r>
      <w:r>
        <w:rPr>
          <w:rFonts w:ascii="宋体" w:hAnsi="宋体" w:eastAsia="宋体"/>
          <w:szCs w:val="21"/>
        </w:rPr>
        <w:t>。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/>
    <w:sectPr>
      <w:footerReference r:id="rId3" w:type="default"/>
      <w:pgSz w:w="11906" w:h="16838"/>
      <w:pgMar w:top="1460" w:right="1486" w:bottom="678" w:left="1800" w:header="851" w:footer="9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D3DD9"/>
    <w:multiLevelType w:val="multilevel"/>
    <w:tmpl w:val="558D3D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chineseCounting"/>
      <w:lvlText w:val="%2."/>
      <w:lvlJc w:val="left"/>
      <w:pPr>
        <w:ind w:left="1440" w:hanging="360"/>
      </w:pPr>
    </w:lvl>
    <w:lvl w:ilvl="2" w:tentative="0">
      <w:start w:val="1"/>
      <w:numFmt w:val="chineseCounting"/>
      <w:lvlText w:val="%3."/>
      <w:lvlJc w:val="right"/>
      <w:pPr>
        <w:ind w:left="2160" w:hanging="180"/>
      </w:pPr>
    </w:lvl>
    <w:lvl w:ilvl="3" w:tentative="0">
      <w:start w:val="1"/>
      <w:numFmt w:val="chineseCounting"/>
      <w:lvlText w:val="%4."/>
      <w:lvlJc w:val="left"/>
      <w:pPr>
        <w:ind w:left="2880" w:hanging="360"/>
      </w:pPr>
    </w:lvl>
    <w:lvl w:ilvl="4" w:tentative="0">
      <w:start w:val="1"/>
      <w:numFmt w:val="chineseCounting"/>
      <w:lvlText w:val="%5."/>
      <w:lvlJc w:val="left"/>
      <w:pPr>
        <w:ind w:left="3600" w:hanging="360"/>
      </w:pPr>
    </w:lvl>
    <w:lvl w:ilvl="5" w:tentative="0">
      <w:start w:val="1"/>
      <w:numFmt w:val="chineseCounting"/>
      <w:lvlText w:val="%6."/>
      <w:lvlJc w:val="right"/>
      <w:pPr>
        <w:ind w:left="4320" w:hanging="180"/>
      </w:pPr>
    </w:lvl>
    <w:lvl w:ilvl="6" w:tentative="0">
      <w:start w:val="1"/>
      <w:numFmt w:val="chineseCounting"/>
      <w:lvlText w:val="%7."/>
      <w:lvlJc w:val="left"/>
      <w:pPr>
        <w:ind w:left="5040" w:hanging="360"/>
      </w:pPr>
    </w:lvl>
    <w:lvl w:ilvl="7" w:tentative="0">
      <w:start w:val="1"/>
      <w:numFmt w:val="chineseCounting"/>
      <w:lvlText w:val="%8."/>
      <w:lvlJc w:val="left"/>
      <w:pPr>
        <w:ind w:left="5760" w:hanging="360"/>
      </w:pPr>
    </w:lvl>
    <w:lvl w:ilvl="8" w:tentative="0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C5606"/>
    <w:rsid w:val="0170554B"/>
    <w:rsid w:val="47F06971"/>
    <w:rsid w:val="68EC5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4"/>
      <w:szCs w:val="24"/>
      <w:lang w:val="en-GB" w:eastAsia="en-US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styleId="7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2025-06-03T09:27:00Z</dcterms:created>
  <dc:creator>10335</dc:creator>
  <cp:lastModifiedBy>10335</cp:lastModifiedBy>
  <dcterms:modified xsi:type="dcterms:W3CDTF">2025-06-03T09:58:45Z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