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tiff" ContentType="image/tiff"/>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45"/>
      </w:tblGrid>
      <w:tr w14:paraId="66821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509" w:type="dxa"/>
            <w:vAlign w:val="top"/>
          </w:tcPr>
          <w:p w14:paraId="1DBB9703">
            <w:pPr>
              <w:pStyle w:val="19"/>
              <w:framePr w:wrap="notBeside" w:vAnchor="page" w:hAnchor="page" w:x="1372" w:y="568"/>
              <w:tabs>
                <w:tab w:val="clear" w:pos="4153"/>
                <w:tab w:val="clear" w:pos="8306"/>
              </w:tabs>
              <w:spacing w:line="240" w:lineRule="auto"/>
              <w:jc w:val="left"/>
              <w:rPr>
                <w:rFonts w:hint="eastAsia" w:ascii="黑体" w:hAnsi="黑体" w:eastAsia="黑体"/>
                <w:color w:val="auto"/>
                <w:sz w:val="21"/>
                <w:szCs w:val="21"/>
                <w:highlight w:val="none"/>
              </w:rPr>
            </w:pPr>
            <w:r>
              <w:rPr>
                <w:rFonts w:ascii="Times New Roman" w:hAnsi="Times New Roman" w:eastAsia="黑体"/>
                <w:color w:val="auto"/>
                <w:sz w:val="21"/>
                <w:szCs w:val="21"/>
                <w:highlight w:val="none"/>
              </w:rPr>
              <w:t>ICS</w:t>
            </w:r>
            <w:r>
              <w:rPr>
                <w:rFonts w:ascii="黑体" w:hAnsi="黑体" w:eastAsia="黑体"/>
                <w:color w:val="auto"/>
                <w:sz w:val="21"/>
                <w:szCs w:val="21"/>
                <w:highlight w:val="none"/>
              </w:rPr>
              <w:t xml:space="preserve">  </w:t>
            </w:r>
          </w:p>
        </w:tc>
        <w:tc>
          <w:tcPr>
            <w:tcW w:w="8855" w:type="dxa"/>
            <w:vAlign w:val="top"/>
          </w:tcPr>
          <w:p w14:paraId="409D1D84">
            <w:pPr>
              <w:pStyle w:val="19"/>
              <w:framePr w:wrap="notBeside" w:vAnchor="page" w:hAnchor="page" w:x="1372" w:y="568"/>
              <w:tabs>
                <w:tab w:val="clear" w:pos="4153"/>
                <w:tab w:val="clear" w:pos="8306"/>
              </w:tabs>
              <w:spacing w:line="240" w:lineRule="auto"/>
              <w:ind w:left="3" w:leftChars="0"/>
              <w:jc w:val="both"/>
              <w:rPr>
                <w:rFonts w:hint="eastAsia" w:ascii="黑体" w:hAnsi="黑体" w:eastAsia="黑体"/>
                <w:color w:val="auto"/>
                <w:sz w:val="21"/>
                <w:szCs w:val="21"/>
                <w:highlight w:val="none"/>
              </w:rPr>
            </w:pPr>
            <w:r>
              <w:rPr>
                <w:rFonts w:hint="eastAsia" w:ascii="黑体" w:hAnsi="黑体" w:eastAsia="黑体"/>
                <w:color w:val="auto"/>
                <w:sz w:val="21"/>
                <w:szCs w:val="21"/>
                <w:highlight w:val="none"/>
              </w:rPr>
              <w:t>03.100.01；13.020.20</w:t>
            </w:r>
          </w:p>
        </w:tc>
      </w:tr>
      <w:tr w14:paraId="471DB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vAlign w:val="top"/>
          </w:tcPr>
          <w:p w14:paraId="280A1DF1">
            <w:pPr>
              <w:pStyle w:val="19"/>
              <w:framePr w:wrap="notBeside" w:vAnchor="page" w:hAnchor="page" w:x="1372" w:y="568"/>
              <w:tabs>
                <w:tab w:val="clear" w:pos="4153"/>
                <w:tab w:val="clear" w:pos="8306"/>
              </w:tabs>
              <w:spacing w:before="40" w:line="240" w:lineRule="auto"/>
              <w:jc w:val="left"/>
              <w:rPr>
                <w:rFonts w:hint="eastAsia" w:ascii="黑体" w:hAnsi="黑体" w:eastAsia="黑体"/>
                <w:color w:val="auto"/>
                <w:sz w:val="21"/>
                <w:szCs w:val="21"/>
                <w:highlight w:val="none"/>
              </w:rPr>
            </w:pPr>
            <w:r>
              <w:rPr>
                <w:rFonts w:ascii="Times New Roman" w:hAnsi="Times New Roman" w:eastAsia="黑体"/>
                <w:color w:val="auto"/>
                <w:sz w:val="21"/>
                <w:szCs w:val="21"/>
                <w:highlight w:val="none"/>
              </w:rPr>
              <w:t xml:space="preserve">CCS </w:t>
            </w:r>
            <w:r>
              <w:rPr>
                <w:rFonts w:ascii="黑体" w:hAnsi="黑体" w:eastAsia="黑体"/>
                <w:color w:val="auto"/>
                <w:sz w:val="21"/>
                <w:szCs w:val="21"/>
                <w:highlight w:val="none"/>
              </w:rPr>
              <w:t xml:space="preserve"> </w:t>
            </w:r>
          </w:p>
        </w:tc>
        <w:tc>
          <w:tcPr>
            <w:tcW w:w="8855" w:type="dxa"/>
            <w:vAlign w:val="top"/>
          </w:tcPr>
          <w:p w14:paraId="272B6711">
            <w:pPr>
              <w:pStyle w:val="19"/>
              <w:framePr w:wrap="notBeside" w:vAnchor="page" w:hAnchor="page" w:x="1372" w:y="568"/>
              <w:tabs>
                <w:tab w:val="clear" w:pos="4153"/>
                <w:tab w:val="clear" w:pos="8306"/>
              </w:tabs>
              <w:spacing w:before="40" w:line="240" w:lineRule="auto"/>
              <w:jc w:val="left"/>
              <w:rPr>
                <w:rFonts w:hint="eastAsia" w:ascii="黑体" w:hAnsi="黑体" w:eastAsia="黑体"/>
                <w:color w:val="auto"/>
                <w:sz w:val="21"/>
                <w:szCs w:val="21"/>
                <w:highlight w:val="none"/>
              </w:rPr>
            </w:pPr>
            <w:r>
              <w:rPr>
                <w:rFonts w:hint="eastAsia" w:ascii="黑体" w:hAnsi="黑体" w:eastAsia="黑体"/>
                <w:color w:val="auto"/>
                <w:sz w:val="21"/>
                <w:szCs w:val="21"/>
                <w:highlight w:val="none"/>
              </w:rPr>
              <w:t>A 90</w:t>
            </w:r>
          </w:p>
        </w:tc>
      </w:tr>
    </w:tbl>
    <w:p w14:paraId="5A6A6058">
      <w:pPr>
        <w:pStyle w:val="53"/>
        <w:framePr w:w="9639" w:h="624" w:hRule="exact" w:hSpace="181" w:vSpace="181" w:wrap="around" w:hAnchor="page" w:x="1305" w:y="2269"/>
        <w:rPr>
          <w:color w:val="auto"/>
          <w:highlight w:val="none"/>
        </w:rPr>
      </w:pPr>
      <w:bookmarkStart w:id="0" w:name="_Hlk26473981"/>
      <w:r>
        <w:rPr>
          <w:rFonts w:hint="eastAsia"/>
          <w:color w:val="auto"/>
          <w:highlight w:val="none"/>
        </w:rPr>
        <w:t>中华人民共和国国家标准</w:t>
      </w:r>
    </w:p>
    <w:bookmarkEnd w:id="0"/>
    <w:p w14:paraId="3DFEF905">
      <w:pPr>
        <w:pStyle w:val="198"/>
        <w:rPr>
          <w:color w:val="auto"/>
          <w:highlight w:val="none"/>
          <w:lang w:val="fr-FR"/>
        </w:rPr>
      </w:pPr>
      <w:r>
        <w:rPr>
          <w:color w:val="auto"/>
          <w:highlight w:val="none"/>
        </w:rPr>
        <w:fldChar w:fldCharType="begin">
          <w:ffData>
            <w:name w:val="文字1"/>
            <w:enabled/>
            <w:calcOnExit w:val="0"/>
            <w:textInput>
              <w:default w:val="GB/T"/>
            </w:textInput>
          </w:ffData>
        </w:fldChar>
      </w:r>
      <w:bookmarkStart w:id="1" w:name="文字1"/>
      <w:r>
        <w:rPr>
          <w:color w:val="auto"/>
          <w:highlight w:val="none"/>
          <w:lang w:val="fr-FR"/>
        </w:rPr>
        <w:instrText xml:space="preserve"> FORMTEXT </w:instrText>
      </w:r>
      <w:r>
        <w:rPr>
          <w:color w:val="auto"/>
          <w:highlight w:val="none"/>
        </w:rPr>
        <w:fldChar w:fldCharType="separate"/>
      </w:r>
      <w:r>
        <w:rPr>
          <w:color w:val="auto"/>
          <w:highlight w:val="none"/>
          <w:lang w:val="fr-FR"/>
        </w:rPr>
        <w:t>GB/T</w:t>
      </w:r>
      <w:r>
        <w:rPr>
          <w:color w:val="auto"/>
          <w:highlight w:val="none"/>
        </w:rPr>
        <w:fldChar w:fldCharType="end"/>
      </w:r>
      <w:bookmarkEnd w:id="1"/>
      <w:r>
        <w:rPr>
          <w:color w:val="auto"/>
          <w:highlight w:val="none"/>
          <w:lang w:val="fr-FR"/>
        </w:rPr>
        <w:t xml:space="preserve"> </w:t>
      </w:r>
      <w:r>
        <w:rPr>
          <w:color w:val="auto"/>
          <w:highlight w:val="none"/>
        </w:rPr>
        <w:fldChar w:fldCharType="begin">
          <w:ffData>
            <w:name w:val="NSTD_CODE_F"/>
            <w:enabled/>
            <w:calcOnExit w:val="0"/>
            <w:textInput>
              <w:default w:val="XXXXX"/>
            </w:textInput>
          </w:ffData>
        </w:fldChar>
      </w:r>
      <w:bookmarkStart w:id="2" w:name="NSTD_CODE_F"/>
      <w:r>
        <w:rPr>
          <w:color w:val="auto"/>
          <w:highlight w:val="none"/>
          <w:lang w:val="fr-FR"/>
        </w:rPr>
        <w:instrText xml:space="preserve"> FORMTEXT </w:instrText>
      </w:r>
      <w:r>
        <w:rPr>
          <w:color w:val="auto"/>
          <w:highlight w:val="none"/>
        </w:rPr>
        <w:fldChar w:fldCharType="separate"/>
      </w:r>
      <w:r>
        <w:rPr>
          <w:color w:val="auto"/>
          <w:highlight w:val="none"/>
          <w:lang w:val="fr-FR"/>
        </w:rPr>
        <w:t>XXXXX</w:t>
      </w:r>
      <w:r>
        <w:rPr>
          <w:color w:val="auto"/>
          <w:highlight w:val="none"/>
        </w:rPr>
        <w:fldChar w:fldCharType="end"/>
      </w:r>
      <w:bookmarkEnd w:id="2"/>
      <w:r>
        <w:rPr>
          <w:rFonts w:hint="eastAsia"/>
          <w:color w:val="auto"/>
          <w:highlight w:val="none"/>
          <w:lang w:val="en-US" w:eastAsia="zh-CN"/>
        </w:rPr>
        <w:t>.XXXX</w:t>
      </w:r>
      <w:r>
        <w:rPr>
          <w:rFonts w:hAnsi="黑体"/>
          <w:color w:val="auto"/>
          <w:highlight w:val="none"/>
          <w:lang w:val="fr-FR"/>
        </w:rPr>
        <w:t>—</w:t>
      </w:r>
      <w:r>
        <w:rPr>
          <w:color w:val="auto"/>
          <w:highlight w:val="none"/>
        </w:rPr>
        <w:fldChar w:fldCharType="begin">
          <w:ffData>
            <w:name w:val="NSTD_CODE_B"/>
            <w:enabled/>
            <w:calcOnExit w:val="0"/>
            <w:textInput>
              <w:default w:val="XXXX"/>
            </w:textInput>
          </w:ffData>
        </w:fldChar>
      </w:r>
      <w:bookmarkStart w:id="3" w:name="NSTD_CODE_B"/>
      <w:r>
        <w:rPr>
          <w:color w:val="auto"/>
          <w:highlight w:val="none"/>
          <w:lang w:val="fr-FR"/>
        </w:rPr>
        <w:instrText xml:space="preserve"> FORMTEXT </w:instrText>
      </w:r>
      <w:r>
        <w:rPr>
          <w:color w:val="auto"/>
          <w:highlight w:val="none"/>
        </w:rPr>
        <w:fldChar w:fldCharType="separate"/>
      </w:r>
      <w:r>
        <w:rPr>
          <w:rFonts w:hint="eastAsia"/>
          <w:color w:val="auto"/>
          <w:highlight w:val="none"/>
        </w:rPr>
        <w:t>/ISO 22371</w:t>
      </w:r>
      <w:r>
        <w:rPr>
          <w:rFonts w:hint="eastAsia"/>
          <w:color w:val="auto"/>
          <w:highlight w:val="none"/>
          <w:lang w:eastAsia="zh-CN"/>
        </w:rPr>
        <w:t>:</w:t>
      </w:r>
      <w:r>
        <w:rPr>
          <w:rFonts w:hint="eastAsia"/>
          <w:color w:val="auto"/>
          <w:highlight w:val="none"/>
        </w:rPr>
        <w:t>2024</w:t>
      </w:r>
      <w:r>
        <w:rPr>
          <w:color w:val="auto"/>
          <w:highlight w:val="none"/>
        </w:rPr>
        <w:fldChar w:fldCharType="end"/>
      </w:r>
      <w:bookmarkEnd w:id="3"/>
    </w:p>
    <w:p w14:paraId="79A4019D">
      <w:pPr>
        <w:pStyle w:val="199"/>
        <w:rPr>
          <w:rFonts w:hint="eastAsia" w:hAnsi="黑体"/>
          <w:color w:val="auto"/>
          <w:highlight w:val="none"/>
        </w:rPr>
      </w:pPr>
      <w:r>
        <w:rPr>
          <w:rFonts w:hAnsi="黑体"/>
          <w:color w:val="auto"/>
          <w:highlight w:val="none"/>
        </w:rPr>
        <w:fldChar w:fldCharType="begin">
          <w:ffData>
            <w:name w:val="OSTD_CODE"/>
            <w:enabled/>
            <w:calcOnExit w:val="0"/>
            <w:textInput/>
          </w:ffData>
        </w:fldChar>
      </w:r>
      <w:bookmarkStart w:id="4" w:name="OSTD_CODE"/>
      <w:r>
        <w:rPr>
          <w:rFonts w:hAnsi="黑体"/>
          <w:color w:val="auto"/>
          <w:highlight w:val="none"/>
        </w:rPr>
        <w:instrText xml:space="preserve"> FORMTEXT </w:instrText>
      </w:r>
      <w:r>
        <w:rPr>
          <w:rFonts w:hAnsi="黑体"/>
          <w:color w:val="auto"/>
          <w:highlight w:val="none"/>
        </w:rPr>
        <w:fldChar w:fldCharType="separate"/>
      </w:r>
      <w:r>
        <w:rPr>
          <w:rFonts w:hAnsi="黑体"/>
          <w:color w:val="auto"/>
          <w:highlight w:val="none"/>
        </w:rPr>
        <w:t>     </w:t>
      </w:r>
      <w:r>
        <w:rPr>
          <w:rFonts w:hAnsi="黑体"/>
          <w:color w:val="auto"/>
          <w:highlight w:val="none"/>
        </w:rPr>
        <w:fldChar w:fldCharType="end"/>
      </w:r>
      <w:bookmarkEnd w:id="4"/>
    </w:p>
    <w:p w14:paraId="23DEEB35">
      <w:pPr>
        <w:spacing w:line="240" w:lineRule="auto"/>
        <w:ind w:left="8080"/>
        <w:rPr>
          <w:rFonts w:hint="eastAsia" w:ascii="黑体" w:hAnsi="黑体" w:eastAsia="黑体"/>
          <w:color w:val="auto"/>
          <w:kern w:val="0"/>
          <w:sz w:val="52"/>
          <w:szCs w:val="20"/>
          <w:highlight w:val="none"/>
        </w:rPr>
      </w:pPr>
      <w:r>
        <w:rPr>
          <w:rFonts w:ascii="黑体" w:hAnsi="黑体" w:eastAsia="黑体"/>
          <w:color w:val="auto"/>
          <w:kern w:val="0"/>
          <w:sz w:val="52"/>
          <w:szCs w:val="20"/>
          <w:highlight w:val="none"/>
        </w:rPr>
        <mc:AlternateContent>
          <mc:Choice Requires="wps">
            <w:drawing>
              <wp:anchor distT="0" distB="0" distL="114300" distR="114300" simplePos="0" relativeHeight="251661312"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61312;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r>
        <w:rPr>
          <w:rFonts w:ascii="黑体" w:hAnsi="黑体" w:eastAsia="黑体"/>
          <w:color w:val="auto"/>
          <w:kern w:val="0"/>
          <w:sz w:val="52"/>
          <w:szCs w:val="20"/>
          <w:highlight w:val="none"/>
        </w:rPr>
        <w:drawing>
          <wp:anchor distT="0" distB="0" distL="114300" distR="114300" simplePos="0" relativeHeight="251660288" behindDoc="0" locked="0" layoutInCell="1" allowOverlap="0">
            <wp:simplePos x="0" y="0"/>
            <wp:positionH relativeFrom="page">
              <wp:posOffset>5004435</wp:posOffset>
            </wp:positionH>
            <wp:positionV relativeFrom="page">
              <wp:posOffset>466725</wp:posOffset>
            </wp:positionV>
            <wp:extent cx="1447165" cy="732790"/>
            <wp:effectExtent l="0" t="0" r="635"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1447200" cy="732960"/>
                    </a:xfrm>
                    <a:prstGeom prst="rect">
                      <a:avLst/>
                    </a:prstGeom>
                    <a:noFill/>
                    <a:ln>
                      <a:noFill/>
                    </a:ln>
                  </pic:spPr>
                </pic:pic>
              </a:graphicData>
            </a:graphic>
          </wp:anchor>
        </w:drawing>
      </w:r>
    </w:p>
    <w:p w14:paraId="39F21DCE">
      <w:pPr>
        <w:pStyle w:val="53"/>
        <w:framePr w:w="9639" w:h="6976" w:hRule="exact" w:hSpace="0" w:vSpace="0" w:wrap="around" w:hAnchor="page" w:y="6408"/>
        <w:jc w:val="center"/>
        <w:rPr>
          <w:rFonts w:hint="eastAsia" w:ascii="黑体" w:hAnsi="黑体" w:eastAsia="黑体"/>
          <w:b w:val="0"/>
          <w:bCs w:val="0"/>
          <w:color w:val="auto"/>
          <w:w w:val="100"/>
          <w:highlight w:val="none"/>
        </w:rPr>
      </w:pPr>
    </w:p>
    <w:p w14:paraId="58D77BA6">
      <w:pPr>
        <w:pStyle w:val="200"/>
        <w:framePr w:h="6974" w:hRule="exact" w:wrap="around" w:x="1419" w:anchorLock="1"/>
        <w:rPr>
          <w:rFonts w:hint="eastAsia"/>
          <w:color w:val="auto"/>
          <w:highlight w:val="none"/>
        </w:rPr>
      </w:pPr>
      <w:r>
        <w:rPr>
          <w:color w:val="auto"/>
          <w:highlight w:val="none"/>
        </w:rPr>
        <w:fldChar w:fldCharType="begin">
          <w:ffData>
            <w:name w:val="CSTD_NAME"/>
            <w:enabled/>
            <w:calcOnExit w:val="0"/>
            <w:textInput>
              <w:default w:val="点击此处添加标准名称"/>
            </w:textInput>
          </w:ffData>
        </w:fldChar>
      </w:r>
      <w:bookmarkStart w:id="5" w:name="CSTD_NAME"/>
      <w:r>
        <w:rPr>
          <w:color w:val="auto"/>
          <w:highlight w:val="none"/>
        </w:rPr>
        <w:instrText xml:space="preserve"> FORMTEXT </w:instrText>
      </w:r>
      <w:r>
        <w:rPr>
          <w:color w:val="auto"/>
          <w:highlight w:val="none"/>
        </w:rPr>
        <w:fldChar w:fldCharType="separate"/>
      </w:r>
      <w:r>
        <w:rPr>
          <w:rFonts w:hint="eastAsia"/>
          <w:color w:val="auto"/>
          <w:highlight w:val="none"/>
        </w:rPr>
        <w:t>安全与韧性</w:t>
      </w:r>
      <w:r>
        <w:rPr>
          <w:rFonts w:hint="eastAsia"/>
          <w:color w:val="auto"/>
          <w:highlight w:val="none"/>
          <w:lang w:val="en-US" w:eastAsia="zh-CN"/>
        </w:rPr>
        <w:t xml:space="preserve"> </w:t>
      </w:r>
      <w:r>
        <w:rPr>
          <w:rFonts w:hint="eastAsia"/>
          <w:color w:val="auto"/>
          <w:highlight w:val="none"/>
        </w:rPr>
        <w:t>城市韧性原则、框架和指南</w:t>
      </w:r>
      <w:r>
        <w:rPr>
          <w:color w:val="auto"/>
          <w:highlight w:val="none"/>
        </w:rPr>
        <w:fldChar w:fldCharType="end"/>
      </w:r>
      <w:bookmarkEnd w:id="5"/>
    </w:p>
    <w:p w14:paraId="5DAF6CD0">
      <w:pPr>
        <w:framePr w:w="9639" w:h="6974" w:hRule="exact" w:wrap="around" w:vAnchor="page" w:hAnchor="page" w:x="1419" w:y="6408" w:anchorLock="1"/>
        <w:ind w:left="-1418"/>
        <w:rPr>
          <w:color w:val="auto"/>
          <w:highlight w:val="none"/>
        </w:rPr>
      </w:pPr>
    </w:p>
    <w:p w14:paraId="2C43B092">
      <w:pPr>
        <w:pStyle w:val="128"/>
        <w:framePr w:w="9639" w:h="6974" w:hRule="exact" w:wrap="around" w:vAnchor="page" w:hAnchor="page" w:x="1419" w:y="6408" w:anchorLock="1"/>
        <w:textAlignment w:val="bottom"/>
        <w:rPr>
          <w:rFonts w:eastAsia="黑体"/>
          <w:color w:val="auto"/>
          <w:szCs w:val="28"/>
          <w:highlight w:val="none"/>
        </w:rPr>
      </w:pPr>
      <w:r>
        <w:rPr>
          <w:rFonts w:eastAsia="黑体"/>
          <w:color w:val="auto"/>
          <w:szCs w:val="28"/>
          <w:highlight w:val="none"/>
        </w:rPr>
        <w:fldChar w:fldCharType="begin">
          <w:ffData>
            <w:name w:val="ESTD_NAME"/>
            <w:enabled/>
            <w:calcOnExit w:val="0"/>
            <w:textInput>
              <w:default w:val="点击此处添加标准名称的英文译名"/>
            </w:textInput>
          </w:ffData>
        </w:fldChar>
      </w:r>
      <w:bookmarkStart w:id="6" w:name="ESTD_NAME"/>
      <w:r>
        <w:rPr>
          <w:rFonts w:eastAsia="黑体"/>
          <w:color w:val="auto"/>
          <w:szCs w:val="28"/>
          <w:highlight w:val="none"/>
        </w:rPr>
        <w:instrText xml:space="preserve"> FORMTEXT </w:instrText>
      </w:r>
      <w:r>
        <w:rPr>
          <w:rFonts w:eastAsia="黑体"/>
          <w:color w:val="auto"/>
          <w:szCs w:val="28"/>
          <w:highlight w:val="none"/>
        </w:rPr>
        <w:fldChar w:fldCharType="separate"/>
      </w:r>
      <w:r>
        <w:rPr>
          <w:rFonts w:hint="eastAsia" w:eastAsia="黑体"/>
          <w:color w:val="auto"/>
          <w:szCs w:val="28"/>
          <w:highlight w:val="none"/>
        </w:rPr>
        <w:t>Security and resilience—Principles, framework and guidelines on urban resilience</w:t>
      </w:r>
      <w:r>
        <w:rPr>
          <w:rFonts w:eastAsia="黑体"/>
          <w:color w:val="auto"/>
          <w:szCs w:val="28"/>
          <w:highlight w:val="none"/>
        </w:rPr>
        <w:fldChar w:fldCharType="end"/>
      </w:r>
      <w:bookmarkEnd w:id="6"/>
    </w:p>
    <w:p w14:paraId="3BD98B42">
      <w:pPr>
        <w:framePr w:w="9639" w:h="6974" w:hRule="exact" w:wrap="around" w:vAnchor="page" w:hAnchor="page" w:x="1419" w:y="6408" w:anchorLock="1"/>
        <w:spacing w:line="760" w:lineRule="exact"/>
        <w:ind w:left="-1418"/>
        <w:rPr>
          <w:color w:val="auto"/>
          <w:highlight w:val="none"/>
        </w:rPr>
      </w:pPr>
    </w:p>
    <w:p w14:paraId="23C041FD">
      <w:pPr>
        <w:pStyle w:val="128"/>
        <w:framePr w:w="9639" w:h="6974" w:hRule="exact" w:wrap="around" w:vAnchor="page" w:hAnchor="page" w:x="1419" w:y="6408" w:anchorLock="1"/>
        <w:textAlignment w:val="bottom"/>
        <w:rPr>
          <w:rFonts w:eastAsia="黑体"/>
          <w:color w:val="auto"/>
          <w:szCs w:val="28"/>
          <w:highlight w:val="none"/>
        </w:rPr>
      </w:pPr>
      <w:r>
        <w:rPr>
          <w:rFonts w:eastAsia="黑体"/>
          <w:color w:val="auto"/>
          <w:szCs w:val="28"/>
          <w:highlight w:val="none"/>
        </w:rPr>
        <w:fldChar w:fldCharType="begin">
          <w:ffData>
            <w:name w:val="IN_STD_CODE"/>
            <w:enabled/>
            <w:calcOnExit w:val="0"/>
            <w:textInput>
              <w:default w:val="(点击此处添加与国际标准一致性程度的标识)"/>
            </w:textInput>
          </w:ffData>
        </w:fldChar>
      </w:r>
      <w:bookmarkStart w:id="7" w:name="IN_STD_CODE"/>
      <w:r>
        <w:rPr>
          <w:rFonts w:eastAsia="黑体"/>
          <w:color w:val="auto"/>
          <w:szCs w:val="28"/>
          <w:highlight w:val="none"/>
        </w:rPr>
        <w:instrText xml:space="preserve"> FORMTEXT </w:instrText>
      </w:r>
      <w:r>
        <w:rPr>
          <w:rFonts w:eastAsia="黑体"/>
          <w:color w:val="auto"/>
          <w:szCs w:val="28"/>
          <w:highlight w:val="none"/>
        </w:rPr>
        <w:fldChar w:fldCharType="separate"/>
      </w:r>
      <w:r>
        <w:rPr>
          <w:rFonts w:hint="eastAsia" w:eastAsia="黑体"/>
          <w:color w:val="auto"/>
          <w:szCs w:val="28"/>
          <w:highlight w:val="none"/>
        </w:rPr>
        <w:t>(ISO 22371</w:t>
      </w:r>
      <w:r>
        <w:rPr>
          <w:rFonts w:hint="eastAsia" w:eastAsia="黑体"/>
          <w:color w:val="auto"/>
          <w:szCs w:val="28"/>
          <w:highlight w:val="none"/>
          <w:lang w:val="en-US" w:eastAsia="zh-CN"/>
        </w:rPr>
        <w:t>:</w:t>
      </w:r>
      <w:r>
        <w:rPr>
          <w:rFonts w:hint="eastAsia" w:eastAsia="黑体"/>
          <w:color w:val="auto"/>
          <w:szCs w:val="28"/>
          <w:highlight w:val="none"/>
        </w:rPr>
        <w:t>2024,</w:t>
      </w:r>
      <w:r>
        <w:rPr>
          <w:rFonts w:hint="eastAsia" w:eastAsia="黑体"/>
          <w:color w:val="auto"/>
          <w:szCs w:val="28"/>
          <w:highlight w:val="none"/>
          <w:lang w:val="en-US" w:eastAsia="zh-CN"/>
        </w:rPr>
        <w:t>MOD</w:t>
      </w:r>
      <w:r>
        <w:rPr>
          <w:rFonts w:hint="eastAsia" w:eastAsia="黑体"/>
          <w:color w:val="auto"/>
          <w:szCs w:val="28"/>
          <w:highlight w:val="none"/>
        </w:rPr>
        <w:t>)</w:t>
      </w:r>
      <w:r>
        <w:rPr>
          <w:rFonts w:eastAsia="黑体"/>
          <w:color w:val="auto"/>
          <w:szCs w:val="28"/>
          <w:highlight w:val="none"/>
        </w:rPr>
        <w:fldChar w:fldCharType="end"/>
      </w:r>
      <w:bookmarkEnd w:id="7"/>
    </w:p>
    <w:p w14:paraId="21B046AD">
      <w:pPr>
        <w:pStyle w:val="128"/>
        <w:framePr w:w="9639" w:h="6974" w:hRule="exact" w:wrap="around" w:vAnchor="page" w:hAnchor="page" w:x="1419" w:y="6408" w:anchorLock="1"/>
        <w:spacing w:before="440" w:after="160"/>
        <w:textAlignment w:val="bottom"/>
        <w:rPr>
          <w:color w:val="auto"/>
          <w:sz w:val="24"/>
          <w:szCs w:val="28"/>
          <w:highlight w:val="none"/>
        </w:rPr>
      </w:pPr>
      <w:bookmarkStart w:id="8" w:name="下拉1"/>
      <w:r>
        <w:rPr>
          <w:rFonts w:hint="eastAsia" w:cs="Times New Roman"/>
          <w:color w:val="auto"/>
          <w:sz w:val="24"/>
          <w:szCs w:val="28"/>
          <w:highlight w:val="none"/>
          <w:lang w:val="en-US" w:eastAsia="zh-CN" w:bidi="ar-SA"/>
        </w:rPr>
        <w:t>（征求意见稿）</w:t>
      </w:r>
      <w:r>
        <w:rPr>
          <w:rFonts w:ascii="Times New Roman" w:hAnsi="Times New Roman" w:eastAsia="宋体" w:cs="Times New Roman"/>
          <w:color w:val="auto"/>
          <w:sz w:val="24"/>
          <w:szCs w:val="28"/>
          <w:highlight w:val="none"/>
          <w:lang w:val="en-US" w:eastAsia="zh-CN" w:bidi="ar-SA"/>
        </w:rPr>
        <w:fldChar w:fldCharType="begin">
          <w:ffData>
            <w:name w:val="下拉1"/>
            <w:enabled/>
            <w:calcOnExit w:val="0"/>
            <w:ddList>
              <w:listEntry w:val=" "/>
              <w:listEntry w:val="草案版次选择"/>
              <w:listEntry w:val="（工作组讨论稿）"/>
              <w:listEntry w:val="（送审讨论稿）"/>
              <w:listEntry w:val="（报批稿）"/>
              <w:listEntry w:val="（送审稿）"/>
              <w:listEntry w:val="（征求意见稿）"/>
            </w:ddList>
          </w:ffData>
        </w:fldChar>
      </w:r>
      <w:r>
        <w:rPr>
          <w:rFonts w:ascii="Times New Roman" w:hAnsi="Times New Roman" w:eastAsia="宋体" w:cs="Times New Roman"/>
          <w:color w:val="auto"/>
          <w:sz w:val="24"/>
          <w:szCs w:val="28"/>
          <w:highlight w:val="none"/>
          <w:lang w:val="en-US" w:eastAsia="zh-CN" w:bidi="ar-SA"/>
        </w:rPr>
        <w:instrText xml:space="preserve">FORMDROPDOWN</w:instrText>
      </w:r>
      <w:r>
        <w:rPr>
          <w:rFonts w:ascii="Times New Roman" w:hAnsi="Times New Roman" w:eastAsia="宋体" w:cs="Times New Roman"/>
          <w:color w:val="auto"/>
          <w:sz w:val="24"/>
          <w:szCs w:val="28"/>
          <w:highlight w:val="none"/>
          <w:lang w:val="en-US" w:eastAsia="zh-CN" w:bidi="ar-SA"/>
        </w:rPr>
        <w:fldChar w:fldCharType="separate"/>
      </w:r>
      <w:r>
        <w:rPr>
          <w:rFonts w:ascii="Times New Roman" w:hAnsi="Times New Roman" w:eastAsia="宋体" w:cs="Times New Roman"/>
          <w:color w:val="auto"/>
          <w:sz w:val="24"/>
          <w:szCs w:val="28"/>
          <w:highlight w:val="none"/>
          <w:lang w:val="en-US" w:eastAsia="zh-CN" w:bidi="ar-SA"/>
        </w:rPr>
        <w:fldChar w:fldCharType="end"/>
      </w:r>
      <w:bookmarkEnd w:id="8"/>
    </w:p>
    <w:p w14:paraId="0294246E">
      <w:pPr>
        <w:pStyle w:val="128"/>
        <w:framePr w:w="9639" w:h="6974" w:hRule="exact" w:wrap="around" w:vAnchor="page" w:hAnchor="page" w:x="1419" w:y="6408" w:anchorLock="1"/>
        <w:spacing w:before="180" w:line="240" w:lineRule="atLeast"/>
        <w:textAlignment w:val="bottom"/>
        <w:rPr>
          <w:color w:val="auto"/>
          <w:sz w:val="21"/>
          <w:szCs w:val="28"/>
          <w:highlight w:val="none"/>
        </w:rPr>
      </w:pPr>
      <w:r>
        <w:rPr>
          <w:color w:val="auto"/>
          <w:sz w:val="21"/>
          <w:szCs w:val="28"/>
          <w:highlight w:val="none"/>
        </w:rPr>
        <w:fldChar w:fldCharType="begin">
          <w:ffData>
            <w:name w:val="CMPLSH_DATE"/>
            <w:enabled/>
            <w:calcOnExit w:val="0"/>
            <w:textInput/>
          </w:ffData>
        </w:fldChar>
      </w:r>
      <w:bookmarkStart w:id="9" w:name="CMPLSH_DATE"/>
      <w:r>
        <w:rPr>
          <w:color w:val="auto"/>
          <w:sz w:val="21"/>
          <w:szCs w:val="28"/>
          <w:highlight w:val="none"/>
        </w:rPr>
        <w:instrText xml:space="preserve"> FORMTEXT </w:instrText>
      </w:r>
      <w:r>
        <w:rPr>
          <w:color w:val="auto"/>
          <w:sz w:val="21"/>
          <w:szCs w:val="28"/>
          <w:highlight w:val="none"/>
        </w:rPr>
        <w:fldChar w:fldCharType="separate"/>
      </w:r>
      <w:r>
        <w:rPr>
          <w:color w:val="auto"/>
          <w:sz w:val="21"/>
          <w:szCs w:val="28"/>
          <w:highlight w:val="none"/>
        </w:rPr>
        <w:t>     </w:t>
      </w:r>
      <w:r>
        <w:rPr>
          <w:color w:val="auto"/>
          <w:sz w:val="21"/>
          <w:szCs w:val="28"/>
          <w:highlight w:val="none"/>
        </w:rPr>
        <w:fldChar w:fldCharType="end"/>
      </w:r>
      <w:bookmarkEnd w:id="9"/>
    </w:p>
    <w:p w14:paraId="084651AD">
      <w:pPr>
        <w:pStyle w:val="128"/>
        <w:framePr w:w="9639" w:h="6974" w:hRule="exact" w:wrap="around" w:vAnchor="page" w:hAnchor="page" w:x="1419" w:y="6408" w:anchorLock="1"/>
        <w:spacing w:before="720" w:beforeLines="300" w:after="72" w:afterLines="30" w:line="240" w:lineRule="auto"/>
        <w:textAlignment w:val="bottom"/>
        <w:rPr>
          <w:b/>
          <w:color w:val="auto"/>
          <w:sz w:val="21"/>
          <w:szCs w:val="28"/>
          <w:highlight w:val="none"/>
        </w:rPr>
      </w:pPr>
      <w:r>
        <w:rPr>
          <w:b/>
          <w:color w:val="auto"/>
          <w:sz w:val="21"/>
          <w:szCs w:val="28"/>
          <w:highlight w:val="none"/>
        </w:rPr>
        <w:fldChar w:fldCharType="begin">
          <w:ffData>
            <w:name w:val="下拉2"/>
            <w:enabled/>
            <w:calcOnExit w:val="0"/>
            <w:ddList>
              <w:result w:val="1"/>
              <w:listEntry w:val=" "/>
              <w:listEntry w:val="在提交反馈意见时，请将您知道的相关专利连同支持性文件一并附上。"/>
            </w:ddList>
          </w:ffData>
        </w:fldChar>
      </w:r>
      <w:bookmarkStart w:id="10" w:name="下拉2"/>
      <w:r>
        <w:rPr>
          <w:b/>
          <w:color w:val="auto"/>
          <w:sz w:val="21"/>
          <w:szCs w:val="28"/>
          <w:highlight w:val="none"/>
        </w:rPr>
        <w:instrText xml:space="preserve"> FORMDROPDOWN </w:instrText>
      </w:r>
      <w:r>
        <w:rPr>
          <w:b/>
          <w:color w:val="auto"/>
          <w:sz w:val="21"/>
          <w:szCs w:val="28"/>
          <w:highlight w:val="none"/>
        </w:rPr>
        <w:fldChar w:fldCharType="separate"/>
      </w:r>
      <w:r>
        <w:rPr>
          <w:b/>
          <w:color w:val="auto"/>
          <w:sz w:val="21"/>
          <w:szCs w:val="28"/>
          <w:highlight w:val="none"/>
        </w:rPr>
        <w:fldChar w:fldCharType="end"/>
      </w:r>
      <w:bookmarkEnd w:id="10"/>
    </w:p>
    <w:p w14:paraId="0CB818CB">
      <w:pPr>
        <w:pStyle w:val="196"/>
        <w:framePr w:wrap="around" w:y="14176"/>
        <w:rPr>
          <w:color w:val="auto"/>
          <w:highlight w:val="none"/>
        </w:rPr>
      </w:pPr>
      <w:r>
        <w:rPr>
          <w:rFonts w:ascii="黑体"/>
          <w:color w:val="auto"/>
          <w:highlight w:val="none"/>
        </w:rPr>
        <w:fldChar w:fldCharType="begin">
          <w:ffData>
            <w:name w:val="PLSH_DATE_Y"/>
            <w:enabled/>
            <w:calcOnExit w:val="0"/>
            <w:textInput>
              <w:default w:val="XXXX"/>
              <w:maxLength w:val="4"/>
            </w:textInput>
          </w:ffData>
        </w:fldChar>
      </w:r>
      <w:bookmarkStart w:id="11" w:name="PLSH_DATE_Y"/>
      <w:r>
        <w:rPr>
          <w:rFonts w:ascii="黑体"/>
          <w:color w:val="auto"/>
          <w:highlight w:val="none"/>
        </w:rPr>
        <w:instrText xml:space="preserve"> FORMTEXT </w:instrText>
      </w:r>
      <w:r>
        <w:rPr>
          <w:rFonts w:ascii="黑体"/>
          <w:color w:val="auto"/>
          <w:highlight w:val="none"/>
        </w:rPr>
        <w:fldChar w:fldCharType="separate"/>
      </w:r>
      <w:r>
        <w:rPr>
          <w:rFonts w:ascii="黑体"/>
          <w:color w:val="auto"/>
          <w:highlight w:val="none"/>
        </w:rPr>
        <w:t>XXXX</w:t>
      </w:r>
      <w:r>
        <w:rPr>
          <w:rFonts w:ascii="黑体"/>
          <w:color w:val="auto"/>
          <w:highlight w:val="none"/>
        </w:rPr>
        <w:fldChar w:fldCharType="end"/>
      </w:r>
      <w:bookmarkEnd w:id="11"/>
      <w:r>
        <w:rPr>
          <w:color w:val="auto"/>
          <w:highlight w:val="none"/>
        </w:rPr>
        <w:t xml:space="preserve"> </w:t>
      </w:r>
      <w:r>
        <w:rPr>
          <w:rFonts w:ascii="黑体"/>
          <w:color w:val="auto"/>
          <w:highlight w:val="none"/>
        </w:rPr>
        <w:t>-</w:t>
      </w:r>
      <w:r>
        <w:rPr>
          <w:color w:val="auto"/>
          <w:highlight w:val="none"/>
        </w:rPr>
        <w:t xml:space="preserve"> </w:t>
      </w:r>
      <w:r>
        <w:rPr>
          <w:rFonts w:ascii="黑体"/>
          <w:color w:val="auto"/>
          <w:highlight w:val="none"/>
        </w:rPr>
        <w:fldChar w:fldCharType="begin">
          <w:ffData>
            <w:name w:val="PLSH_DATE_M"/>
            <w:enabled/>
            <w:calcOnExit w:val="0"/>
            <w:textInput>
              <w:default w:val="XX"/>
              <w:maxLength w:val="2"/>
            </w:textInput>
          </w:ffData>
        </w:fldChar>
      </w:r>
      <w:bookmarkStart w:id="12" w:name="PLSH_DATE_M"/>
      <w:r>
        <w:rPr>
          <w:rFonts w:ascii="黑体"/>
          <w:color w:val="auto"/>
          <w:highlight w:val="none"/>
        </w:rPr>
        <w:instrText xml:space="preserve"> FORMTEXT </w:instrText>
      </w:r>
      <w:r>
        <w:rPr>
          <w:rFonts w:ascii="黑体"/>
          <w:color w:val="auto"/>
          <w:highlight w:val="none"/>
        </w:rPr>
        <w:fldChar w:fldCharType="separate"/>
      </w:r>
      <w:r>
        <w:rPr>
          <w:rFonts w:ascii="黑体"/>
          <w:color w:val="auto"/>
          <w:highlight w:val="none"/>
        </w:rPr>
        <w:t>XX</w:t>
      </w:r>
      <w:r>
        <w:rPr>
          <w:rFonts w:ascii="黑体"/>
          <w:color w:val="auto"/>
          <w:highlight w:val="none"/>
        </w:rPr>
        <w:fldChar w:fldCharType="end"/>
      </w:r>
      <w:bookmarkEnd w:id="12"/>
      <w:r>
        <w:rPr>
          <w:color w:val="auto"/>
          <w:highlight w:val="none"/>
        </w:rPr>
        <w:t xml:space="preserve"> </w:t>
      </w:r>
      <w:r>
        <w:rPr>
          <w:rFonts w:ascii="黑体"/>
          <w:color w:val="auto"/>
          <w:highlight w:val="none"/>
        </w:rPr>
        <w:t>-</w:t>
      </w:r>
      <w:r>
        <w:rPr>
          <w:color w:val="auto"/>
          <w:highlight w:val="none"/>
        </w:rPr>
        <w:t xml:space="preserve"> </w:t>
      </w:r>
      <w:r>
        <w:rPr>
          <w:rFonts w:ascii="黑体"/>
          <w:color w:val="auto"/>
          <w:highlight w:val="none"/>
        </w:rPr>
        <w:fldChar w:fldCharType="begin">
          <w:ffData>
            <w:name w:val="PLSH_DATE_D"/>
            <w:enabled/>
            <w:calcOnExit w:val="0"/>
            <w:textInput>
              <w:default w:val="XX"/>
              <w:maxLength w:val="2"/>
            </w:textInput>
          </w:ffData>
        </w:fldChar>
      </w:r>
      <w:bookmarkStart w:id="13" w:name="PLSH_DATE_D"/>
      <w:r>
        <w:rPr>
          <w:rFonts w:ascii="黑体"/>
          <w:color w:val="auto"/>
          <w:highlight w:val="none"/>
        </w:rPr>
        <w:instrText xml:space="preserve"> FORMTEXT </w:instrText>
      </w:r>
      <w:r>
        <w:rPr>
          <w:rFonts w:ascii="黑体"/>
          <w:color w:val="auto"/>
          <w:highlight w:val="none"/>
        </w:rPr>
        <w:fldChar w:fldCharType="separate"/>
      </w:r>
      <w:r>
        <w:rPr>
          <w:rFonts w:ascii="黑体"/>
          <w:color w:val="auto"/>
          <w:highlight w:val="none"/>
        </w:rPr>
        <w:t>XX</w:t>
      </w:r>
      <w:r>
        <w:rPr>
          <w:rFonts w:ascii="黑体"/>
          <w:color w:val="auto"/>
          <w:highlight w:val="none"/>
        </w:rPr>
        <w:fldChar w:fldCharType="end"/>
      </w:r>
      <w:bookmarkEnd w:id="13"/>
      <w:r>
        <w:rPr>
          <w:rFonts w:hint="eastAsia"/>
          <w:color w:val="auto"/>
          <w:highlight w:val="none"/>
        </w:rPr>
        <w:t>发布</w:t>
      </w:r>
    </w:p>
    <w:p w14:paraId="0D9BDE09">
      <w:pPr>
        <w:pStyle w:val="197"/>
        <w:framePr w:wrap="around" w:y="14176"/>
        <w:rPr>
          <w:color w:val="auto"/>
          <w:highlight w:val="none"/>
        </w:rPr>
      </w:pPr>
      <w:r>
        <w:rPr>
          <w:rFonts w:ascii="黑体"/>
          <w:color w:val="auto"/>
          <w:highlight w:val="none"/>
        </w:rPr>
        <w:fldChar w:fldCharType="begin">
          <w:ffData>
            <w:name w:val="CROT_DATE_Y"/>
            <w:enabled/>
            <w:calcOnExit w:val="0"/>
            <w:textInput>
              <w:default w:val="XXXX"/>
              <w:maxLength w:val="4"/>
            </w:textInput>
          </w:ffData>
        </w:fldChar>
      </w:r>
      <w:bookmarkStart w:id="14" w:name="CROT_DATE_Y"/>
      <w:r>
        <w:rPr>
          <w:rFonts w:ascii="黑体"/>
          <w:color w:val="auto"/>
          <w:highlight w:val="none"/>
        </w:rPr>
        <w:instrText xml:space="preserve"> FORMTEXT </w:instrText>
      </w:r>
      <w:r>
        <w:rPr>
          <w:rFonts w:ascii="黑体"/>
          <w:color w:val="auto"/>
          <w:highlight w:val="none"/>
        </w:rPr>
        <w:fldChar w:fldCharType="separate"/>
      </w:r>
      <w:r>
        <w:rPr>
          <w:rFonts w:ascii="黑体"/>
          <w:color w:val="auto"/>
          <w:highlight w:val="none"/>
        </w:rPr>
        <w:t>XXXX</w:t>
      </w:r>
      <w:r>
        <w:rPr>
          <w:rFonts w:ascii="黑体"/>
          <w:color w:val="auto"/>
          <w:highlight w:val="none"/>
        </w:rPr>
        <w:fldChar w:fldCharType="end"/>
      </w:r>
      <w:bookmarkEnd w:id="14"/>
      <w:r>
        <w:rPr>
          <w:color w:val="auto"/>
          <w:highlight w:val="none"/>
        </w:rPr>
        <w:t xml:space="preserve"> </w:t>
      </w:r>
      <w:r>
        <w:rPr>
          <w:rFonts w:ascii="黑体"/>
          <w:color w:val="auto"/>
          <w:highlight w:val="none"/>
        </w:rPr>
        <w:t>-</w:t>
      </w:r>
      <w:r>
        <w:rPr>
          <w:color w:val="auto"/>
          <w:highlight w:val="none"/>
        </w:rPr>
        <w:t xml:space="preserve"> </w:t>
      </w:r>
      <w:r>
        <w:rPr>
          <w:rFonts w:ascii="黑体"/>
          <w:color w:val="auto"/>
          <w:highlight w:val="none"/>
        </w:rPr>
        <w:fldChar w:fldCharType="begin">
          <w:ffData>
            <w:name w:val="CROT_DATE_M"/>
            <w:enabled/>
            <w:calcOnExit w:val="0"/>
            <w:textInput>
              <w:default w:val="XX"/>
              <w:maxLength w:val="2"/>
            </w:textInput>
          </w:ffData>
        </w:fldChar>
      </w:r>
      <w:bookmarkStart w:id="15" w:name="CROT_DATE_M"/>
      <w:r>
        <w:rPr>
          <w:rFonts w:ascii="黑体"/>
          <w:color w:val="auto"/>
          <w:highlight w:val="none"/>
        </w:rPr>
        <w:instrText xml:space="preserve"> FORMTEXT </w:instrText>
      </w:r>
      <w:r>
        <w:rPr>
          <w:rFonts w:ascii="黑体"/>
          <w:color w:val="auto"/>
          <w:highlight w:val="none"/>
        </w:rPr>
        <w:fldChar w:fldCharType="separate"/>
      </w:r>
      <w:r>
        <w:rPr>
          <w:rFonts w:ascii="黑体"/>
          <w:color w:val="auto"/>
          <w:highlight w:val="none"/>
        </w:rPr>
        <w:t>XX</w:t>
      </w:r>
      <w:r>
        <w:rPr>
          <w:rFonts w:ascii="黑体"/>
          <w:color w:val="auto"/>
          <w:highlight w:val="none"/>
        </w:rPr>
        <w:fldChar w:fldCharType="end"/>
      </w:r>
      <w:bookmarkEnd w:id="15"/>
      <w:r>
        <w:rPr>
          <w:color w:val="auto"/>
          <w:highlight w:val="none"/>
        </w:rPr>
        <w:t xml:space="preserve"> </w:t>
      </w:r>
      <w:r>
        <w:rPr>
          <w:rFonts w:ascii="黑体"/>
          <w:color w:val="auto"/>
          <w:highlight w:val="none"/>
        </w:rPr>
        <w:t>-</w:t>
      </w:r>
      <w:r>
        <w:rPr>
          <w:color w:val="auto"/>
          <w:highlight w:val="none"/>
        </w:rPr>
        <w:t xml:space="preserve"> </w:t>
      </w:r>
      <w:r>
        <w:rPr>
          <w:rFonts w:ascii="黑体"/>
          <w:color w:val="auto"/>
          <w:highlight w:val="none"/>
        </w:rPr>
        <w:fldChar w:fldCharType="begin">
          <w:ffData>
            <w:name w:val="CROT_DATE_D"/>
            <w:enabled/>
            <w:calcOnExit w:val="0"/>
            <w:textInput>
              <w:default w:val="XX"/>
              <w:maxLength w:val="2"/>
            </w:textInput>
          </w:ffData>
        </w:fldChar>
      </w:r>
      <w:bookmarkStart w:id="16" w:name="CROT_DATE_D"/>
      <w:r>
        <w:rPr>
          <w:rFonts w:ascii="黑体"/>
          <w:color w:val="auto"/>
          <w:highlight w:val="none"/>
        </w:rPr>
        <w:instrText xml:space="preserve"> FORMTEXT </w:instrText>
      </w:r>
      <w:r>
        <w:rPr>
          <w:rFonts w:ascii="黑体"/>
          <w:color w:val="auto"/>
          <w:highlight w:val="none"/>
        </w:rPr>
        <w:fldChar w:fldCharType="separate"/>
      </w:r>
      <w:r>
        <w:rPr>
          <w:rFonts w:ascii="黑体"/>
          <w:color w:val="auto"/>
          <w:highlight w:val="none"/>
        </w:rPr>
        <w:t>XX</w:t>
      </w:r>
      <w:r>
        <w:rPr>
          <w:rFonts w:ascii="黑体"/>
          <w:color w:val="auto"/>
          <w:highlight w:val="none"/>
        </w:rPr>
        <w:fldChar w:fldCharType="end"/>
      </w:r>
      <w:bookmarkEnd w:id="16"/>
      <w:r>
        <w:rPr>
          <w:rFonts w:hint="eastAsia"/>
          <w:color w:val="auto"/>
          <w:highlight w:val="none"/>
        </w:rPr>
        <w:t>实施</w:t>
      </w:r>
    </w:p>
    <w:p w14:paraId="2FA1AFA1">
      <w:pPr>
        <w:rPr>
          <w:rFonts w:hint="eastAsia" w:ascii="宋体" w:hAnsi="宋体"/>
          <w:color w:val="auto"/>
          <w:sz w:val="28"/>
          <w:szCs w:val="28"/>
          <w:highlight w:val="none"/>
        </w:rPr>
        <w:sectPr>
          <w:headerReference r:id="rId7" w:type="first"/>
          <w:footerReference r:id="rId9" w:type="first"/>
          <w:headerReference r:id="rId5" w:type="default"/>
          <w:headerReference r:id="rId6" w:type="even"/>
          <w:footerReference r:id="rId8" w:type="even"/>
          <w:type w:val="continuous"/>
          <w:pgSz w:w="11906" w:h="16838"/>
          <w:pgMar w:top="-338" w:right="1134" w:bottom="1021" w:left="1134" w:header="0" w:footer="0" w:gutter="284"/>
          <w:pgNumType w:fmt="upperRoman"/>
          <w:cols w:space="425" w:num="1"/>
          <w:titlePg/>
          <w:docGrid w:linePitch="312" w:charSpace="0"/>
        </w:sectPr>
      </w:pPr>
      <w:r>
        <w:rPr>
          <w:rFonts w:hint="eastAsia" w:ascii="宋体" w:hAnsi="宋体"/>
          <w:color w:val="auto"/>
          <w:sz w:val="28"/>
          <w:szCs w:val="28"/>
          <w:highlight w:val="none"/>
        </w:rPr>
        <w:drawing>
          <wp:anchor distT="0" distB="0" distL="114300" distR="114300" simplePos="0" relativeHeight="251663360" behindDoc="0" locked="0" layoutInCell="1" allowOverlap="1">
            <wp:simplePos x="0" y="0"/>
            <wp:positionH relativeFrom="column">
              <wp:posOffset>1610360</wp:posOffset>
            </wp:positionH>
            <wp:positionV relativeFrom="paragraph">
              <wp:posOffset>8281035</wp:posOffset>
            </wp:positionV>
            <wp:extent cx="2868930" cy="545465"/>
            <wp:effectExtent l="0" t="0" r="0" b="762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68840" cy="545400"/>
                    </a:xfrm>
                    <a:prstGeom prst="rect">
                      <a:avLst/>
                    </a:prstGeom>
                  </pic:spPr>
                </pic:pic>
              </a:graphicData>
            </a:graphic>
          </wp:anchor>
        </w:drawing>
      </w:r>
      <w:r>
        <w:rPr>
          <w:rFonts w:hint="eastAsia" w:ascii="宋体" w:hAnsi="宋体"/>
          <w:color w:val="auto"/>
          <w:sz w:val="28"/>
          <w:szCs w:val="28"/>
          <w:highlight w:val="none"/>
        </w:rPr>
        <mc:AlternateContent>
          <mc:Choice Requires="wps">
            <w:drawing>
              <wp:anchor distT="0" distB="0" distL="114300" distR="114300" simplePos="0" relativeHeight="251662336"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2336;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r>
        <w:rPr>
          <w:rFonts w:hint="eastAsia" w:ascii="宋体" w:hAnsi="宋体"/>
          <w:color w:val="auto"/>
          <w:sz w:val="28"/>
          <w:szCs w:val="28"/>
          <w:highlight w:val="none"/>
        </w:rPr>
        <w:t>`</w:t>
      </w:r>
    </w:p>
    <w:p w14:paraId="68DB7473">
      <w:pPr>
        <w:pStyle w:val="94"/>
        <w:spacing w:after="468"/>
        <w:rPr>
          <w:color w:val="auto"/>
          <w:highlight w:val="none"/>
        </w:rPr>
      </w:pPr>
      <w:bookmarkStart w:id="17" w:name="BookMark1"/>
      <w:r>
        <w:rPr>
          <w:rFonts w:hint="eastAsia"/>
          <w:color w:val="auto"/>
          <w:spacing w:val="320"/>
          <w:highlight w:val="none"/>
        </w:rPr>
        <w:t>目</w:t>
      </w:r>
      <w:r>
        <w:rPr>
          <w:rFonts w:hint="eastAsia"/>
          <w:color w:val="auto"/>
          <w:highlight w:val="none"/>
        </w:rPr>
        <w:t>次</w:t>
      </w:r>
    </w:p>
    <w:p w14:paraId="4A25C583">
      <w:pPr>
        <w:pStyle w:val="20"/>
        <w:tabs>
          <w:tab w:val="right" w:leader="dot" w:pos="9354"/>
        </w:tabs>
        <w:rPr>
          <w:color w:val="auto"/>
          <w:highlight w:val="none"/>
        </w:rPr>
      </w:pPr>
      <w:r>
        <w:rPr>
          <w:color w:val="auto"/>
          <w:highlight w:val="none"/>
        </w:rPr>
        <w:fldChar w:fldCharType="begin"/>
      </w:r>
      <w:r>
        <w:rPr>
          <w:color w:val="auto"/>
          <w:highlight w:val="none"/>
        </w:rPr>
        <w:instrText xml:space="preserve"> TOC \o "1-1" \h \t "标准文件_一级条标题,2,标准文件_附录一级条标题,2," </w:instrText>
      </w:r>
      <w:r>
        <w:rPr>
          <w:color w:val="auto"/>
          <w:highlight w:val="none"/>
        </w:rPr>
        <w:fldChar w:fldCharType="separate"/>
      </w:r>
      <w:r>
        <w:rPr>
          <w:color w:val="auto"/>
          <w:highlight w:val="none"/>
        </w:rPr>
        <w:fldChar w:fldCharType="begin"/>
      </w:r>
      <w:r>
        <w:rPr>
          <w:color w:val="auto"/>
          <w:highlight w:val="none"/>
        </w:rPr>
        <w:instrText xml:space="preserve"> HYPERLINK \l _Toc4658 </w:instrText>
      </w:r>
      <w:r>
        <w:rPr>
          <w:color w:val="auto"/>
          <w:highlight w:val="none"/>
        </w:rPr>
        <w:fldChar w:fldCharType="separate"/>
      </w:r>
      <w:r>
        <w:rPr>
          <w:rFonts w:hint="eastAsia"/>
          <w:color w:val="auto"/>
          <w:spacing w:val="320"/>
          <w:highlight w:val="none"/>
        </w:rPr>
        <w:t>前</w:t>
      </w:r>
      <w:r>
        <w:rPr>
          <w:rFonts w:hint="eastAsia"/>
          <w:color w:val="auto"/>
          <w:highlight w:val="none"/>
        </w:rPr>
        <w:t>言</w:t>
      </w:r>
      <w:r>
        <w:rPr>
          <w:color w:val="auto"/>
          <w:highlight w:val="none"/>
        </w:rPr>
        <w:tab/>
      </w:r>
      <w:r>
        <w:rPr>
          <w:color w:val="auto"/>
          <w:highlight w:val="none"/>
        </w:rPr>
        <w:fldChar w:fldCharType="begin"/>
      </w:r>
      <w:r>
        <w:rPr>
          <w:color w:val="auto"/>
          <w:highlight w:val="none"/>
        </w:rPr>
        <w:instrText xml:space="preserve"> PAGEREF _Toc4658 \h </w:instrText>
      </w:r>
      <w:r>
        <w:rPr>
          <w:color w:val="auto"/>
          <w:highlight w:val="none"/>
        </w:rPr>
        <w:fldChar w:fldCharType="separate"/>
      </w:r>
      <w:r>
        <w:rPr>
          <w:color w:val="auto"/>
          <w:highlight w:val="none"/>
        </w:rPr>
        <w:t>I</w:t>
      </w:r>
      <w:r>
        <w:rPr>
          <w:color w:val="auto"/>
          <w:highlight w:val="none"/>
        </w:rPr>
        <w:fldChar w:fldCharType="end"/>
      </w:r>
      <w:r>
        <w:rPr>
          <w:color w:val="auto"/>
          <w:highlight w:val="none"/>
        </w:rPr>
        <w:fldChar w:fldCharType="end"/>
      </w:r>
    </w:p>
    <w:p w14:paraId="52CAECC6">
      <w:pPr>
        <w:pStyle w:val="20"/>
        <w:tabs>
          <w:tab w:val="right" w:leader="dot" w:pos="9354"/>
        </w:tabs>
        <w:rPr>
          <w:color w:val="auto"/>
          <w:highlight w:val="none"/>
        </w:rPr>
      </w:pPr>
      <w:r>
        <w:rPr>
          <w:color w:val="auto"/>
          <w:highlight w:val="none"/>
        </w:rPr>
        <w:fldChar w:fldCharType="begin"/>
      </w:r>
      <w:r>
        <w:rPr>
          <w:color w:val="auto"/>
          <w:highlight w:val="none"/>
        </w:rPr>
        <w:instrText xml:space="preserve"> HYPERLINK \l _Toc20221 </w:instrText>
      </w:r>
      <w:r>
        <w:rPr>
          <w:color w:val="auto"/>
          <w:highlight w:val="none"/>
        </w:rPr>
        <w:fldChar w:fldCharType="separate"/>
      </w:r>
      <w:r>
        <w:rPr>
          <w:rFonts w:hint="eastAsia"/>
          <w:color w:val="auto"/>
          <w:spacing w:val="320"/>
          <w:highlight w:val="none"/>
        </w:rPr>
        <w:t>引</w:t>
      </w:r>
      <w:r>
        <w:rPr>
          <w:rFonts w:hint="eastAsia"/>
          <w:color w:val="auto"/>
          <w:highlight w:val="none"/>
        </w:rPr>
        <w:t>言</w:t>
      </w:r>
      <w:r>
        <w:rPr>
          <w:color w:val="auto"/>
          <w:highlight w:val="none"/>
        </w:rPr>
        <w:tab/>
      </w:r>
      <w:r>
        <w:rPr>
          <w:color w:val="auto"/>
          <w:highlight w:val="none"/>
        </w:rPr>
        <w:fldChar w:fldCharType="begin"/>
      </w:r>
      <w:r>
        <w:rPr>
          <w:color w:val="auto"/>
          <w:highlight w:val="none"/>
        </w:rPr>
        <w:instrText xml:space="preserve"> PAGEREF _Toc20221 \h </w:instrText>
      </w:r>
      <w:r>
        <w:rPr>
          <w:color w:val="auto"/>
          <w:highlight w:val="none"/>
        </w:rPr>
        <w:fldChar w:fldCharType="separate"/>
      </w:r>
      <w:r>
        <w:rPr>
          <w:color w:val="auto"/>
          <w:highlight w:val="none"/>
        </w:rPr>
        <w:t>II</w:t>
      </w:r>
      <w:r>
        <w:rPr>
          <w:color w:val="auto"/>
          <w:highlight w:val="none"/>
        </w:rPr>
        <w:fldChar w:fldCharType="end"/>
      </w:r>
      <w:r>
        <w:rPr>
          <w:color w:val="auto"/>
          <w:highlight w:val="none"/>
        </w:rPr>
        <w:fldChar w:fldCharType="end"/>
      </w:r>
    </w:p>
    <w:p w14:paraId="3781BC40">
      <w:pPr>
        <w:pStyle w:val="20"/>
        <w:tabs>
          <w:tab w:val="right" w:leader="dot" w:pos="9354"/>
        </w:tabs>
        <w:rPr>
          <w:color w:val="auto"/>
          <w:highlight w:val="none"/>
        </w:rPr>
      </w:pPr>
      <w:r>
        <w:rPr>
          <w:color w:val="auto"/>
          <w:highlight w:val="none"/>
        </w:rPr>
        <w:fldChar w:fldCharType="begin"/>
      </w:r>
      <w:r>
        <w:rPr>
          <w:color w:val="auto"/>
          <w:highlight w:val="none"/>
        </w:rPr>
        <w:instrText xml:space="preserve"> HYPERLINK \l _Toc15514 </w:instrText>
      </w:r>
      <w:r>
        <w:rPr>
          <w:color w:val="auto"/>
          <w:highlight w:val="none"/>
        </w:rPr>
        <w:fldChar w:fldCharType="separate"/>
      </w:r>
      <w:r>
        <w:rPr>
          <w:rFonts w:hint="eastAsia" w:ascii="黑体" w:eastAsia="黑体"/>
          <w:i w:val="0"/>
          <w:color w:val="auto"/>
          <w:highlight w:val="none"/>
        </w:rPr>
        <w:t xml:space="preserve">1 </w:t>
      </w:r>
      <w:r>
        <w:rPr>
          <w:rFonts w:hint="eastAsia"/>
          <w:color w:val="auto"/>
          <w:highlight w:val="none"/>
        </w:rPr>
        <w:t>范围</w:t>
      </w:r>
      <w:r>
        <w:rPr>
          <w:color w:val="auto"/>
          <w:highlight w:val="none"/>
        </w:rPr>
        <w:tab/>
      </w:r>
      <w:r>
        <w:rPr>
          <w:color w:val="auto"/>
          <w:highlight w:val="none"/>
        </w:rPr>
        <w:fldChar w:fldCharType="begin"/>
      </w:r>
      <w:r>
        <w:rPr>
          <w:color w:val="auto"/>
          <w:highlight w:val="none"/>
        </w:rPr>
        <w:instrText xml:space="preserve"> PAGEREF _Toc15514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14:paraId="65F06DC3">
      <w:pPr>
        <w:pStyle w:val="20"/>
        <w:tabs>
          <w:tab w:val="right" w:leader="dot" w:pos="9354"/>
        </w:tabs>
        <w:rPr>
          <w:color w:val="auto"/>
          <w:highlight w:val="none"/>
        </w:rPr>
      </w:pPr>
      <w:r>
        <w:rPr>
          <w:color w:val="auto"/>
          <w:highlight w:val="none"/>
        </w:rPr>
        <w:fldChar w:fldCharType="begin"/>
      </w:r>
      <w:r>
        <w:rPr>
          <w:color w:val="auto"/>
          <w:highlight w:val="none"/>
        </w:rPr>
        <w:instrText xml:space="preserve"> HYPERLINK \l _Toc1275 </w:instrText>
      </w:r>
      <w:r>
        <w:rPr>
          <w:color w:val="auto"/>
          <w:highlight w:val="none"/>
        </w:rPr>
        <w:fldChar w:fldCharType="separate"/>
      </w:r>
      <w:r>
        <w:rPr>
          <w:rFonts w:hint="eastAsia" w:ascii="黑体" w:eastAsia="黑体"/>
          <w:i w:val="0"/>
          <w:color w:val="auto"/>
          <w:highlight w:val="none"/>
        </w:rPr>
        <w:t xml:space="preserve">2 </w:t>
      </w:r>
      <w:r>
        <w:rPr>
          <w:rFonts w:hint="eastAsia"/>
          <w:color w:val="auto"/>
          <w:highlight w:val="none"/>
        </w:rPr>
        <w:t>规范性引用文件</w:t>
      </w:r>
      <w:r>
        <w:rPr>
          <w:color w:val="auto"/>
          <w:highlight w:val="none"/>
        </w:rPr>
        <w:tab/>
      </w:r>
      <w:r>
        <w:rPr>
          <w:color w:val="auto"/>
          <w:highlight w:val="none"/>
        </w:rPr>
        <w:fldChar w:fldCharType="begin"/>
      </w:r>
      <w:r>
        <w:rPr>
          <w:color w:val="auto"/>
          <w:highlight w:val="none"/>
        </w:rPr>
        <w:instrText xml:space="preserve"> PAGEREF _Toc1275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14:paraId="3A843879">
      <w:pPr>
        <w:pStyle w:val="20"/>
        <w:tabs>
          <w:tab w:val="right" w:leader="dot" w:pos="9354"/>
        </w:tabs>
        <w:rPr>
          <w:color w:val="auto"/>
          <w:highlight w:val="none"/>
        </w:rPr>
      </w:pPr>
      <w:r>
        <w:rPr>
          <w:color w:val="auto"/>
          <w:highlight w:val="none"/>
        </w:rPr>
        <w:fldChar w:fldCharType="begin"/>
      </w:r>
      <w:r>
        <w:rPr>
          <w:color w:val="auto"/>
          <w:highlight w:val="none"/>
        </w:rPr>
        <w:instrText xml:space="preserve"> HYPERLINK \l _Toc16546 </w:instrText>
      </w:r>
      <w:r>
        <w:rPr>
          <w:color w:val="auto"/>
          <w:highlight w:val="none"/>
        </w:rPr>
        <w:fldChar w:fldCharType="separate"/>
      </w:r>
      <w:r>
        <w:rPr>
          <w:rFonts w:hint="eastAsia" w:ascii="黑体" w:eastAsia="黑体"/>
          <w:i w:val="0"/>
          <w:color w:val="auto"/>
          <w:highlight w:val="none"/>
        </w:rPr>
        <w:t xml:space="preserve">3 </w:t>
      </w:r>
      <w:r>
        <w:rPr>
          <w:rFonts w:hint="eastAsia"/>
          <w:color w:val="auto"/>
          <w:szCs w:val="21"/>
          <w:highlight w:val="none"/>
        </w:rPr>
        <w:t>术语和定义</w:t>
      </w:r>
      <w:r>
        <w:rPr>
          <w:color w:val="auto"/>
          <w:highlight w:val="none"/>
        </w:rPr>
        <w:tab/>
      </w:r>
      <w:r>
        <w:rPr>
          <w:color w:val="auto"/>
          <w:highlight w:val="none"/>
        </w:rPr>
        <w:fldChar w:fldCharType="begin"/>
      </w:r>
      <w:r>
        <w:rPr>
          <w:color w:val="auto"/>
          <w:highlight w:val="none"/>
        </w:rPr>
        <w:instrText xml:space="preserve"> PAGEREF _Toc16546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14:paraId="72E65DD9">
      <w:pPr>
        <w:pStyle w:val="20"/>
        <w:tabs>
          <w:tab w:val="right" w:leader="dot" w:pos="9354"/>
        </w:tabs>
        <w:rPr>
          <w:color w:val="auto"/>
          <w:highlight w:val="none"/>
        </w:rPr>
      </w:pPr>
      <w:r>
        <w:rPr>
          <w:color w:val="auto"/>
          <w:highlight w:val="none"/>
        </w:rPr>
        <w:fldChar w:fldCharType="begin"/>
      </w:r>
      <w:r>
        <w:rPr>
          <w:color w:val="auto"/>
          <w:highlight w:val="none"/>
        </w:rPr>
        <w:instrText xml:space="preserve"> HYPERLINK \l _Toc13823 </w:instrText>
      </w:r>
      <w:r>
        <w:rPr>
          <w:color w:val="auto"/>
          <w:highlight w:val="none"/>
        </w:rPr>
        <w:fldChar w:fldCharType="separate"/>
      </w:r>
      <w:r>
        <w:rPr>
          <w:rFonts w:hint="eastAsia" w:ascii="黑体" w:eastAsia="黑体"/>
          <w:i w:val="0"/>
          <w:color w:val="auto"/>
          <w:highlight w:val="none"/>
        </w:rPr>
        <w:t xml:space="preserve">4 </w:t>
      </w:r>
      <w:r>
        <w:rPr>
          <w:color w:val="auto"/>
          <w:highlight w:val="none"/>
        </w:rPr>
        <w:t>城市韧性</w:t>
      </w:r>
      <w:r>
        <w:rPr>
          <w:rFonts w:hint="eastAsia"/>
          <w:color w:val="auto"/>
          <w:highlight w:val="none"/>
          <w:lang w:val="en-US" w:eastAsia="zh-CN"/>
        </w:rPr>
        <w:t>建设</w:t>
      </w:r>
      <w:r>
        <w:rPr>
          <w:color w:val="auto"/>
          <w:highlight w:val="none"/>
        </w:rPr>
        <w:t>原则</w:t>
      </w:r>
      <w:r>
        <w:rPr>
          <w:color w:val="auto"/>
          <w:highlight w:val="none"/>
        </w:rPr>
        <w:tab/>
      </w:r>
      <w:r>
        <w:rPr>
          <w:color w:val="auto"/>
          <w:highlight w:val="none"/>
        </w:rPr>
        <w:fldChar w:fldCharType="begin"/>
      </w:r>
      <w:r>
        <w:rPr>
          <w:color w:val="auto"/>
          <w:highlight w:val="none"/>
        </w:rPr>
        <w:instrText xml:space="preserve"> PAGEREF _Toc13823 \h </w:instrText>
      </w:r>
      <w:r>
        <w:rPr>
          <w:color w:val="auto"/>
          <w:highlight w:val="none"/>
        </w:rPr>
        <w:fldChar w:fldCharType="separate"/>
      </w:r>
      <w:r>
        <w:rPr>
          <w:color w:val="auto"/>
          <w:highlight w:val="none"/>
        </w:rPr>
        <w:t>2</w:t>
      </w:r>
      <w:r>
        <w:rPr>
          <w:color w:val="auto"/>
          <w:highlight w:val="none"/>
        </w:rPr>
        <w:fldChar w:fldCharType="end"/>
      </w:r>
      <w:r>
        <w:rPr>
          <w:color w:val="auto"/>
          <w:highlight w:val="none"/>
        </w:rPr>
        <w:fldChar w:fldCharType="end"/>
      </w:r>
    </w:p>
    <w:p w14:paraId="51299997">
      <w:pPr>
        <w:pStyle w:val="20"/>
        <w:tabs>
          <w:tab w:val="right" w:leader="dot" w:pos="9354"/>
        </w:tabs>
        <w:rPr>
          <w:color w:val="auto"/>
          <w:highlight w:val="none"/>
        </w:rPr>
      </w:pPr>
      <w:r>
        <w:rPr>
          <w:color w:val="auto"/>
          <w:highlight w:val="none"/>
        </w:rPr>
        <w:fldChar w:fldCharType="begin"/>
      </w:r>
      <w:r>
        <w:rPr>
          <w:color w:val="auto"/>
          <w:highlight w:val="none"/>
        </w:rPr>
        <w:instrText xml:space="preserve"> HYPERLINK \l _Toc26849 </w:instrText>
      </w:r>
      <w:r>
        <w:rPr>
          <w:color w:val="auto"/>
          <w:highlight w:val="none"/>
        </w:rPr>
        <w:fldChar w:fldCharType="separate"/>
      </w:r>
      <w:r>
        <w:rPr>
          <w:rFonts w:hint="eastAsia" w:ascii="黑体" w:eastAsia="黑体"/>
          <w:i w:val="0"/>
          <w:color w:val="auto"/>
          <w:highlight w:val="none"/>
        </w:rPr>
        <w:t xml:space="preserve">5 </w:t>
      </w:r>
      <w:r>
        <w:rPr>
          <w:color w:val="auto"/>
          <w:highlight w:val="none"/>
        </w:rPr>
        <w:t>城市韧性</w:t>
      </w:r>
      <w:r>
        <w:rPr>
          <w:rFonts w:hint="eastAsia"/>
          <w:color w:val="auto"/>
          <w:highlight w:val="none"/>
          <w:lang w:val="en-US" w:eastAsia="zh-CN"/>
        </w:rPr>
        <w:t>建设</w:t>
      </w:r>
      <w:r>
        <w:rPr>
          <w:color w:val="auto"/>
          <w:highlight w:val="none"/>
        </w:rPr>
        <w:t>框架</w:t>
      </w:r>
      <w:r>
        <w:rPr>
          <w:color w:val="auto"/>
          <w:highlight w:val="none"/>
        </w:rPr>
        <w:tab/>
      </w:r>
      <w:r>
        <w:rPr>
          <w:color w:val="auto"/>
          <w:highlight w:val="none"/>
        </w:rPr>
        <w:fldChar w:fldCharType="begin"/>
      </w:r>
      <w:r>
        <w:rPr>
          <w:color w:val="auto"/>
          <w:highlight w:val="none"/>
        </w:rPr>
        <w:instrText xml:space="preserve"> PAGEREF _Toc26849 \h </w:instrText>
      </w:r>
      <w:r>
        <w:rPr>
          <w:color w:val="auto"/>
          <w:highlight w:val="none"/>
        </w:rPr>
        <w:fldChar w:fldCharType="separate"/>
      </w:r>
      <w:r>
        <w:rPr>
          <w:color w:val="auto"/>
          <w:highlight w:val="none"/>
        </w:rPr>
        <w:t>3</w:t>
      </w:r>
      <w:r>
        <w:rPr>
          <w:color w:val="auto"/>
          <w:highlight w:val="none"/>
        </w:rPr>
        <w:fldChar w:fldCharType="end"/>
      </w:r>
      <w:r>
        <w:rPr>
          <w:color w:val="auto"/>
          <w:highlight w:val="none"/>
        </w:rPr>
        <w:fldChar w:fldCharType="end"/>
      </w:r>
    </w:p>
    <w:p w14:paraId="0B1627D9">
      <w:pPr>
        <w:pStyle w:val="20"/>
        <w:tabs>
          <w:tab w:val="right" w:leader="dot" w:pos="9354"/>
        </w:tabs>
        <w:rPr>
          <w:color w:val="auto"/>
          <w:highlight w:val="none"/>
        </w:rPr>
      </w:pPr>
      <w:r>
        <w:rPr>
          <w:color w:val="auto"/>
          <w:highlight w:val="none"/>
        </w:rPr>
        <w:fldChar w:fldCharType="begin"/>
      </w:r>
      <w:r>
        <w:rPr>
          <w:color w:val="auto"/>
          <w:highlight w:val="none"/>
        </w:rPr>
        <w:instrText xml:space="preserve"> HYPERLINK \l _Toc13182 </w:instrText>
      </w:r>
      <w:r>
        <w:rPr>
          <w:color w:val="auto"/>
          <w:highlight w:val="none"/>
        </w:rPr>
        <w:fldChar w:fldCharType="separate"/>
      </w:r>
      <w:r>
        <w:rPr>
          <w:rFonts w:hint="eastAsia" w:ascii="黑体" w:eastAsia="黑体"/>
          <w:bCs/>
          <w:i w:val="0"/>
          <w:color w:val="auto"/>
          <w:highlight w:val="none"/>
        </w:rPr>
        <w:t xml:space="preserve">6 </w:t>
      </w:r>
      <w:r>
        <w:rPr>
          <w:color w:val="auto"/>
          <w:highlight w:val="none"/>
        </w:rPr>
        <w:t>组织与</w:t>
      </w:r>
      <w:r>
        <w:rPr>
          <w:rFonts w:hint="eastAsia"/>
          <w:color w:val="auto"/>
          <w:highlight w:val="none"/>
        </w:rPr>
        <w:t>界定</w:t>
      </w:r>
      <w:bookmarkStart w:id="252" w:name="_GoBack"/>
      <w:bookmarkEnd w:id="252"/>
      <w:r>
        <w:rPr>
          <w:color w:val="auto"/>
          <w:highlight w:val="none"/>
        </w:rPr>
        <w:tab/>
      </w:r>
      <w:r>
        <w:rPr>
          <w:color w:val="auto"/>
          <w:highlight w:val="none"/>
        </w:rPr>
        <w:fldChar w:fldCharType="begin"/>
      </w:r>
      <w:r>
        <w:rPr>
          <w:color w:val="auto"/>
          <w:highlight w:val="none"/>
        </w:rPr>
        <w:instrText xml:space="preserve"> PAGEREF _Toc13182 \h </w:instrText>
      </w:r>
      <w:r>
        <w:rPr>
          <w:color w:val="auto"/>
          <w:highlight w:val="none"/>
        </w:rPr>
        <w:fldChar w:fldCharType="separate"/>
      </w:r>
      <w:r>
        <w:rPr>
          <w:color w:val="auto"/>
          <w:highlight w:val="none"/>
        </w:rPr>
        <w:t>4</w:t>
      </w:r>
      <w:r>
        <w:rPr>
          <w:color w:val="auto"/>
          <w:highlight w:val="none"/>
        </w:rPr>
        <w:fldChar w:fldCharType="end"/>
      </w:r>
      <w:r>
        <w:rPr>
          <w:color w:val="auto"/>
          <w:highlight w:val="none"/>
        </w:rPr>
        <w:fldChar w:fldCharType="end"/>
      </w:r>
    </w:p>
    <w:p w14:paraId="4E6FE0A0">
      <w:pPr>
        <w:pStyle w:val="20"/>
        <w:tabs>
          <w:tab w:val="right" w:leader="dot" w:pos="9354"/>
        </w:tabs>
        <w:rPr>
          <w:color w:val="auto"/>
          <w:highlight w:val="none"/>
        </w:rPr>
      </w:pPr>
      <w:r>
        <w:rPr>
          <w:color w:val="auto"/>
          <w:highlight w:val="none"/>
        </w:rPr>
        <w:fldChar w:fldCharType="begin"/>
      </w:r>
      <w:r>
        <w:rPr>
          <w:color w:val="auto"/>
          <w:highlight w:val="none"/>
        </w:rPr>
        <w:instrText xml:space="preserve"> HYPERLINK \l _Toc28239 </w:instrText>
      </w:r>
      <w:r>
        <w:rPr>
          <w:color w:val="auto"/>
          <w:highlight w:val="none"/>
        </w:rPr>
        <w:fldChar w:fldCharType="separate"/>
      </w:r>
      <w:r>
        <w:rPr>
          <w:rFonts w:hint="eastAsia" w:ascii="黑体" w:eastAsia="黑体"/>
          <w:bCs/>
          <w:i w:val="0"/>
          <w:color w:val="auto"/>
          <w:highlight w:val="none"/>
        </w:rPr>
        <w:t xml:space="preserve">7 </w:t>
      </w:r>
      <w:r>
        <w:rPr>
          <w:color w:val="auto"/>
          <w:highlight w:val="none"/>
        </w:rPr>
        <w:t>评估与排序</w:t>
      </w:r>
      <w:r>
        <w:rPr>
          <w:color w:val="auto"/>
          <w:highlight w:val="none"/>
        </w:rPr>
        <w:tab/>
      </w:r>
      <w:r>
        <w:rPr>
          <w:color w:val="auto"/>
          <w:highlight w:val="none"/>
        </w:rPr>
        <w:fldChar w:fldCharType="begin"/>
      </w:r>
      <w:r>
        <w:rPr>
          <w:color w:val="auto"/>
          <w:highlight w:val="none"/>
        </w:rPr>
        <w:instrText xml:space="preserve"> PAGEREF _Toc28239 \h </w:instrText>
      </w:r>
      <w:r>
        <w:rPr>
          <w:color w:val="auto"/>
          <w:highlight w:val="none"/>
        </w:rPr>
        <w:fldChar w:fldCharType="separate"/>
      </w:r>
      <w:r>
        <w:rPr>
          <w:color w:val="auto"/>
          <w:highlight w:val="none"/>
        </w:rPr>
        <w:t>10</w:t>
      </w:r>
      <w:r>
        <w:rPr>
          <w:color w:val="auto"/>
          <w:highlight w:val="none"/>
        </w:rPr>
        <w:fldChar w:fldCharType="end"/>
      </w:r>
      <w:r>
        <w:rPr>
          <w:color w:val="auto"/>
          <w:highlight w:val="none"/>
        </w:rPr>
        <w:fldChar w:fldCharType="end"/>
      </w:r>
    </w:p>
    <w:p w14:paraId="296FDE54">
      <w:pPr>
        <w:pStyle w:val="20"/>
        <w:tabs>
          <w:tab w:val="right" w:leader="dot" w:pos="9354"/>
        </w:tabs>
        <w:rPr>
          <w:color w:val="auto"/>
          <w:highlight w:val="none"/>
        </w:rPr>
      </w:pPr>
      <w:r>
        <w:rPr>
          <w:color w:val="auto"/>
          <w:highlight w:val="none"/>
        </w:rPr>
        <w:fldChar w:fldCharType="begin"/>
      </w:r>
      <w:r>
        <w:rPr>
          <w:color w:val="auto"/>
          <w:highlight w:val="none"/>
        </w:rPr>
        <w:instrText xml:space="preserve"> HYPERLINK \l _Toc15646 </w:instrText>
      </w:r>
      <w:r>
        <w:rPr>
          <w:color w:val="auto"/>
          <w:highlight w:val="none"/>
        </w:rPr>
        <w:fldChar w:fldCharType="separate"/>
      </w:r>
      <w:r>
        <w:rPr>
          <w:rFonts w:hint="eastAsia" w:ascii="黑体" w:eastAsia="黑体"/>
          <w:bCs/>
          <w:i w:val="0"/>
          <w:color w:val="auto"/>
          <w:highlight w:val="none"/>
        </w:rPr>
        <w:t xml:space="preserve">8 </w:t>
      </w:r>
      <w:r>
        <w:rPr>
          <w:color w:val="auto"/>
          <w:highlight w:val="none"/>
        </w:rPr>
        <w:t>战略制定</w:t>
      </w:r>
      <w:r>
        <w:rPr>
          <w:color w:val="auto"/>
          <w:highlight w:val="none"/>
        </w:rPr>
        <w:tab/>
      </w:r>
      <w:r>
        <w:rPr>
          <w:color w:val="auto"/>
          <w:highlight w:val="none"/>
        </w:rPr>
        <w:fldChar w:fldCharType="begin"/>
      </w:r>
      <w:r>
        <w:rPr>
          <w:color w:val="auto"/>
          <w:highlight w:val="none"/>
        </w:rPr>
        <w:instrText xml:space="preserve"> PAGEREF _Toc15646 \h </w:instrText>
      </w:r>
      <w:r>
        <w:rPr>
          <w:color w:val="auto"/>
          <w:highlight w:val="none"/>
        </w:rPr>
        <w:fldChar w:fldCharType="separate"/>
      </w:r>
      <w:r>
        <w:rPr>
          <w:color w:val="auto"/>
          <w:highlight w:val="none"/>
        </w:rPr>
        <w:t>14</w:t>
      </w:r>
      <w:r>
        <w:rPr>
          <w:color w:val="auto"/>
          <w:highlight w:val="none"/>
        </w:rPr>
        <w:fldChar w:fldCharType="end"/>
      </w:r>
      <w:r>
        <w:rPr>
          <w:color w:val="auto"/>
          <w:highlight w:val="none"/>
        </w:rPr>
        <w:fldChar w:fldCharType="end"/>
      </w:r>
    </w:p>
    <w:p w14:paraId="50E4EFDF">
      <w:pPr>
        <w:pStyle w:val="20"/>
        <w:tabs>
          <w:tab w:val="right" w:leader="dot" w:pos="9354"/>
        </w:tabs>
        <w:rPr>
          <w:color w:val="auto"/>
          <w:highlight w:val="none"/>
        </w:rPr>
      </w:pPr>
      <w:r>
        <w:rPr>
          <w:color w:val="auto"/>
          <w:highlight w:val="none"/>
        </w:rPr>
        <w:fldChar w:fldCharType="begin"/>
      </w:r>
      <w:r>
        <w:rPr>
          <w:color w:val="auto"/>
          <w:highlight w:val="none"/>
        </w:rPr>
        <w:instrText xml:space="preserve"> HYPERLINK \l _Toc30397 </w:instrText>
      </w:r>
      <w:r>
        <w:rPr>
          <w:color w:val="auto"/>
          <w:highlight w:val="none"/>
        </w:rPr>
        <w:fldChar w:fldCharType="separate"/>
      </w:r>
      <w:r>
        <w:rPr>
          <w:rFonts w:hint="eastAsia" w:ascii="黑体" w:eastAsia="黑体"/>
          <w:bCs/>
          <w:i w:val="0"/>
          <w:color w:val="auto"/>
          <w:highlight w:val="none"/>
        </w:rPr>
        <w:t xml:space="preserve">9 </w:t>
      </w:r>
      <w:r>
        <w:rPr>
          <w:color w:val="auto"/>
          <w:highlight w:val="none"/>
        </w:rPr>
        <w:t>实施</w:t>
      </w:r>
      <w:r>
        <w:rPr>
          <w:color w:val="auto"/>
          <w:highlight w:val="none"/>
        </w:rPr>
        <w:tab/>
      </w:r>
      <w:r>
        <w:rPr>
          <w:color w:val="auto"/>
          <w:highlight w:val="none"/>
        </w:rPr>
        <w:fldChar w:fldCharType="begin"/>
      </w:r>
      <w:r>
        <w:rPr>
          <w:color w:val="auto"/>
          <w:highlight w:val="none"/>
        </w:rPr>
        <w:instrText xml:space="preserve"> PAGEREF _Toc30397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173AA07C">
      <w:pPr>
        <w:pStyle w:val="20"/>
        <w:tabs>
          <w:tab w:val="right" w:leader="dot" w:pos="9354"/>
        </w:tabs>
        <w:rPr>
          <w:color w:val="auto"/>
          <w:highlight w:val="none"/>
        </w:rPr>
      </w:pPr>
      <w:r>
        <w:rPr>
          <w:color w:val="auto"/>
          <w:highlight w:val="none"/>
        </w:rPr>
        <w:fldChar w:fldCharType="begin"/>
      </w:r>
      <w:r>
        <w:rPr>
          <w:color w:val="auto"/>
          <w:highlight w:val="none"/>
        </w:rPr>
        <w:instrText xml:space="preserve"> HYPERLINK \l _Toc13403 </w:instrText>
      </w:r>
      <w:r>
        <w:rPr>
          <w:color w:val="auto"/>
          <w:highlight w:val="none"/>
        </w:rPr>
        <w:fldChar w:fldCharType="separate"/>
      </w:r>
      <w:r>
        <w:rPr>
          <w:rFonts w:hint="eastAsia" w:ascii="黑体" w:eastAsia="黑体"/>
          <w:i w:val="0"/>
          <w:color w:val="auto"/>
          <w:highlight w:val="none"/>
        </w:rPr>
        <w:t xml:space="preserve">10 </w:t>
      </w:r>
      <w:r>
        <w:rPr>
          <w:rFonts w:hint="eastAsia"/>
          <w:color w:val="auto"/>
          <w:highlight w:val="none"/>
        </w:rPr>
        <w:t>持续改进</w:t>
      </w:r>
      <w:r>
        <w:rPr>
          <w:color w:val="auto"/>
          <w:highlight w:val="none"/>
        </w:rPr>
        <w:tab/>
      </w:r>
      <w:r>
        <w:rPr>
          <w:color w:val="auto"/>
          <w:highlight w:val="none"/>
        </w:rPr>
        <w:fldChar w:fldCharType="begin"/>
      </w:r>
      <w:r>
        <w:rPr>
          <w:color w:val="auto"/>
          <w:highlight w:val="none"/>
        </w:rPr>
        <w:instrText xml:space="preserve"> PAGEREF _Toc13403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563CD5EE">
      <w:pPr>
        <w:pStyle w:val="20"/>
        <w:tabs>
          <w:tab w:val="right" w:leader="dot" w:pos="9354"/>
        </w:tabs>
        <w:rPr>
          <w:color w:val="auto"/>
          <w:highlight w:val="none"/>
        </w:rPr>
      </w:pPr>
      <w:r>
        <w:rPr>
          <w:color w:val="auto"/>
          <w:highlight w:val="none"/>
        </w:rPr>
        <w:fldChar w:fldCharType="begin"/>
      </w:r>
      <w:r>
        <w:rPr>
          <w:color w:val="auto"/>
          <w:highlight w:val="none"/>
        </w:rPr>
        <w:instrText xml:space="preserve"> HYPERLINK \l _Toc7905 </w:instrText>
      </w:r>
      <w:r>
        <w:rPr>
          <w:color w:val="auto"/>
          <w:highlight w:val="none"/>
        </w:rPr>
        <w:fldChar w:fldCharType="separate"/>
      </w:r>
      <w:r>
        <w:rPr>
          <w:rFonts w:hint="eastAsia"/>
          <w:color w:val="auto"/>
          <w:spacing w:val="100"/>
          <w:highlight w:val="none"/>
        </w:rPr>
        <w:t xml:space="preserve">附录A </w:t>
      </w:r>
      <w:r>
        <w:rPr>
          <w:color w:val="auto"/>
          <w:highlight w:val="none"/>
        </w:rPr>
        <w:t xml:space="preserve"> </w:t>
      </w:r>
      <w:r>
        <w:rPr>
          <w:rFonts w:hint="eastAsia"/>
          <w:color w:val="auto"/>
          <w:highlight w:val="none"/>
        </w:rPr>
        <w:t>（资料性）</w:t>
      </w:r>
      <w:r>
        <w:rPr>
          <w:color w:val="auto"/>
          <w:highlight w:val="none"/>
        </w:rPr>
        <w:t xml:space="preserve"> </w:t>
      </w:r>
      <w:r>
        <w:rPr>
          <w:rFonts w:hint="eastAsia"/>
          <w:color w:val="auto"/>
          <w:highlight w:val="none"/>
        </w:rPr>
        <w:t>城市韧性框架实施清单</w:t>
      </w:r>
      <w:r>
        <w:rPr>
          <w:color w:val="auto"/>
          <w:highlight w:val="none"/>
        </w:rPr>
        <w:tab/>
      </w:r>
      <w:r>
        <w:rPr>
          <w:color w:val="auto"/>
          <w:highlight w:val="none"/>
        </w:rPr>
        <w:fldChar w:fldCharType="begin"/>
      </w:r>
      <w:r>
        <w:rPr>
          <w:color w:val="auto"/>
          <w:highlight w:val="none"/>
        </w:rPr>
        <w:instrText xml:space="preserve"> PAGEREF _Toc7905 \h </w:instrText>
      </w:r>
      <w:r>
        <w:rPr>
          <w:color w:val="auto"/>
          <w:highlight w:val="none"/>
        </w:rPr>
        <w:fldChar w:fldCharType="separate"/>
      </w:r>
      <w:r>
        <w:rPr>
          <w:color w:val="auto"/>
          <w:highlight w:val="none"/>
        </w:rPr>
        <w:t>24</w:t>
      </w:r>
      <w:r>
        <w:rPr>
          <w:color w:val="auto"/>
          <w:highlight w:val="none"/>
        </w:rPr>
        <w:fldChar w:fldCharType="end"/>
      </w:r>
      <w:r>
        <w:rPr>
          <w:color w:val="auto"/>
          <w:highlight w:val="none"/>
        </w:rPr>
        <w:fldChar w:fldCharType="end"/>
      </w:r>
    </w:p>
    <w:p w14:paraId="300A65C5">
      <w:pPr>
        <w:pStyle w:val="20"/>
        <w:tabs>
          <w:tab w:val="right" w:leader="dot" w:pos="9354"/>
        </w:tabs>
        <w:rPr>
          <w:color w:val="auto"/>
          <w:highlight w:val="none"/>
        </w:rPr>
      </w:pPr>
      <w:r>
        <w:rPr>
          <w:color w:val="auto"/>
          <w:highlight w:val="none"/>
        </w:rPr>
        <w:fldChar w:fldCharType="begin"/>
      </w:r>
      <w:r>
        <w:rPr>
          <w:color w:val="auto"/>
          <w:highlight w:val="none"/>
        </w:rPr>
        <w:instrText xml:space="preserve"> HYPERLINK \l _Toc22303 </w:instrText>
      </w:r>
      <w:r>
        <w:rPr>
          <w:color w:val="auto"/>
          <w:highlight w:val="none"/>
        </w:rPr>
        <w:fldChar w:fldCharType="separate"/>
      </w:r>
      <w:r>
        <w:rPr>
          <w:rFonts w:hint="eastAsia"/>
          <w:color w:val="auto"/>
          <w:spacing w:val="100"/>
          <w:highlight w:val="none"/>
        </w:rPr>
        <w:t xml:space="preserve">附录B </w:t>
      </w:r>
      <w:r>
        <w:rPr>
          <w:color w:val="auto"/>
          <w:highlight w:val="none"/>
        </w:rPr>
        <w:t xml:space="preserve"> </w:t>
      </w:r>
      <w:r>
        <w:rPr>
          <w:rFonts w:hint="eastAsia"/>
          <w:color w:val="auto"/>
          <w:highlight w:val="none"/>
        </w:rPr>
        <w:t>（资料性）</w:t>
      </w:r>
      <w:r>
        <w:rPr>
          <w:color w:val="auto"/>
          <w:highlight w:val="none"/>
        </w:rPr>
        <w:t xml:space="preserve"> </w:t>
      </w:r>
      <w:r>
        <w:rPr>
          <w:rFonts w:hint="eastAsia"/>
          <w:color w:val="auto"/>
          <w:highlight w:val="none"/>
          <w:lang w:val="en-US" w:eastAsia="zh-CN"/>
        </w:rPr>
        <w:t>资金筹措方式</w:t>
      </w:r>
      <w:r>
        <w:rPr>
          <w:rFonts w:hint="eastAsia"/>
          <w:color w:val="auto"/>
          <w:highlight w:val="none"/>
        </w:rPr>
        <w:t>与激励措施</w:t>
      </w:r>
      <w:r>
        <w:rPr>
          <w:color w:val="auto"/>
          <w:highlight w:val="none"/>
        </w:rPr>
        <w:tab/>
      </w:r>
      <w:r>
        <w:rPr>
          <w:color w:val="auto"/>
          <w:highlight w:val="none"/>
        </w:rPr>
        <w:fldChar w:fldCharType="begin"/>
      </w:r>
      <w:r>
        <w:rPr>
          <w:color w:val="auto"/>
          <w:highlight w:val="none"/>
        </w:rPr>
        <w:instrText xml:space="preserve"> PAGEREF _Toc22303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22E55045">
      <w:pPr>
        <w:pStyle w:val="20"/>
        <w:tabs>
          <w:tab w:val="right" w:leader="dot" w:pos="9354"/>
        </w:tabs>
        <w:rPr>
          <w:color w:val="auto"/>
          <w:highlight w:val="none"/>
        </w:rPr>
      </w:pPr>
      <w:r>
        <w:rPr>
          <w:color w:val="auto"/>
          <w:highlight w:val="none"/>
        </w:rPr>
        <w:fldChar w:fldCharType="begin"/>
      </w:r>
      <w:r>
        <w:rPr>
          <w:color w:val="auto"/>
          <w:highlight w:val="none"/>
        </w:rPr>
        <w:instrText xml:space="preserve"> HYPERLINK \l _Toc31623 </w:instrText>
      </w:r>
      <w:r>
        <w:rPr>
          <w:color w:val="auto"/>
          <w:highlight w:val="none"/>
        </w:rPr>
        <w:fldChar w:fldCharType="separate"/>
      </w:r>
      <w:r>
        <w:rPr>
          <w:rFonts w:hint="eastAsia"/>
          <w:color w:val="auto"/>
          <w:spacing w:val="105"/>
          <w:highlight w:val="none"/>
        </w:rPr>
        <w:t>参考文</w:t>
      </w:r>
      <w:r>
        <w:rPr>
          <w:rFonts w:hint="eastAsia"/>
          <w:color w:val="auto"/>
          <w:highlight w:val="none"/>
        </w:rPr>
        <w:t>献</w:t>
      </w:r>
      <w:r>
        <w:rPr>
          <w:color w:val="auto"/>
          <w:highlight w:val="none"/>
        </w:rPr>
        <w:tab/>
      </w:r>
      <w:r>
        <w:rPr>
          <w:color w:val="auto"/>
          <w:highlight w:val="none"/>
        </w:rPr>
        <w:fldChar w:fldCharType="begin"/>
      </w:r>
      <w:r>
        <w:rPr>
          <w:color w:val="auto"/>
          <w:highlight w:val="none"/>
        </w:rPr>
        <w:instrText xml:space="preserve"> PAGEREF _Toc31623 \h </w:instrText>
      </w:r>
      <w:r>
        <w:rPr>
          <w:color w:val="auto"/>
          <w:highlight w:val="none"/>
        </w:rPr>
        <w:fldChar w:fldCharType="separate"/>
      </w:r>
      <w:r>
        <w:rPr>
          <w:color w:val="auto"/>
          <w:highlight w:val="none"/>
        </w:rPr>
        <w:t>31</w:t>
      </w:r>
      <w:r>
        <w:rPr>
          <w:color w:val="auto"/>
          <w:highlight w:val="none"/>
        </w:rPr>
        <w:fldChar w:fldCharType="end"/>
      </w:r>
      <w:r>
        <w:rPr>
          <w:color w:val="auto"/>
          <w:highlight w:val="none"/>
        </w:rPr>
        <w:fldChar w:fldCharType="end"/>
      </w:r>
    </w:p>
    <w:p w14:paraId="676E8E42">
      <w:pPr>
        <w:pStyle w:val="94"/>
        <w:spacing w:after="468"/>
        <w:rPr>
          <w:color w:val="auto"/>
          <w:highlight w:val="none"/>
        </w:rPr>
        <w:sectPr>
          <w:headerReference r:id="rId10" w:type="default"/>
          <w:footerReference r:id="rId12" w:type="default"/>
          <w:headerReference r:id="rId11" w:type="even"/>
          <w:pgSz w:w="11906" w:h="16838"/>
          <w:pgMar w:top="1928" w:right="1134" w:bottom="1134" w:left="1134" w:header="1418" w:footer="1134" w:gutter="284"/>
          <w:pgNumType w:fmt="upperRoman" w:start="1"/>
          <w:cols w:space="425" w:num="1"/>
          <w:formProt w:val="0"/>
          <w:docGrid w:type="lines" w:linePitch="312" w:charSpace="0"/>
        </w:sectPr>
      </w:pPr>
      <w:r>
        <w:rPr>
          <w:color w:val="auto"/>
          <w:highlight w:val="none"/>
        </w:rPr>
        <w:fldChar w:fldCharType="end"/>
      </w:r>
    </w:p>
    <w:bookmarkEnd w:id="17"/>
    <w:p w14:paraId="17545D09">
      <w:pPr>
        <w:pStyle w:val="92"/>
        <w:spacing w:after="468"/>
        <w:rPr>
          <w:color w:val="auto"/>
          <w:highlight w:val="none"/>
        </w:rPr>
      </w:pPr>
      <w:bookmarkStart w:id="18" w:name="_Toc4658"/>
      <w:bookmarkStart w:id="19" w:name="BookMark2"/>
      <w:r>
        <w:rPr>
          <w:rFonts w:hint="eastAsia"/>
          <w:color w:val="auto"/>
          <w:spacing w:val="320"/>
          <w:highlight w:val="none"/>
        </w:rPr>
        <w:t>前</w:t>
      </w:r>
      <w:r>
        <w:rPr>
          <w:rFonts w:hint="eastAsia"/>
          <w:color w:val="auto"/>
          <w:highlight w:val="none"/>
        </w:rPr>
        <w:t>言</w:t>
      </w:r>
      <w:bookmarkEnd w:id="18"/>
    </w:p>
    <w:p w14:paraId="1A81DAB1">
      <w:pPr>
        <w:pStyle w:val="59"/>
        <w:ind w:firstLine="420"/>
        <w:rPr>
          <w:color w:val="auto"/>
          <w:highlight w:val="none"/>
        </w:rPr>
      </w:pPr>
      <w:r>
        <w:rPr>
          <w:rFonts w:hint="eastAsia"/>
          <w:color w:val="auto"/>
          <w:highlight w:val="none"/>
        </w:rPr>
        <w:t>本文件按照GB/T 1.1—2020《标准化工作导则  第1部分：标准化文件的结构和起草规则》的规定起草。</w:t>
      </w:r>
    </w:p>
    <w:p w14:paraId="02AF8987">
      <w:pPr>
        <w:pStyle w:val="59"/>
        <w:ind w:firstLine="420"/>
        <w:rPr>
          <w:color w:val="auto"/>
          <w:highlight w:val="none"/>
        </w:rPr>
      </w:pPr>
      <w:r>
        <w:rPr>
          <w:color w:val="auto"/>
          <w:highlight w:val="none"/>
        </w:rPr>
        <w:t>本文件</w:t>
      </w:r>
      <w:r>
        <w:rPr>
          <w:rFonts w:hint="eastAsia"/>
          <w:color w:val="auto"/>
          <w:highlight w:val="none"/>
          <w:lang w:val="en-US" w:eastAsia="zh-CN"/>
        </w:rPr>
        <w:t>修改</w:t>
      </w:r>
      <w:r>
        <w:rPr>
          <w:color w:val="auto"/>
          <w:highlight w:val="none"/>
        </w:rPr>
        <w:t xml:space="preserve">采用 </w:t>
      </w:r>
      <w:r>
        <w:rPr>
          <w:rFonts w:hint="eastAsia"/>
          <w:color w:val="auto"/>
          <w:highlight w:val="none"/>
        </w:rPr>
        <w:t>ISO 22371：2024</w:t>
      </w:r>
      <w:sdt>
        <w:sdtPr>
          <w:rPr>
            <w:color w:val="auto"/>
            <w:highlight w:val="none"/>
          </w:rPr>
          <w:alias w:val="标准检查"/>
          <w:tag w:val="auto"/>
          <w:id w:val="1040211"/>
        </w:sdtPr>
        <w:sdtEndPr>
          <w:rPr>
            <w:color w:val="auto"/>
            <w:highlight w:val="none"/>
          </w:rPr>
        </w:sdtEndPr>
        <w:sdtContent>
          <w:bookmarkStart w:id="20" w:name="bkKnowledge1040211"/>
          <w:r>
            <w:rPr>
              <w:color w:val="auto"/>
              <w:highlight w:val="none"/>
            </w:rPr>
            <w:t>《</w:t>
          </w:r>
          <w:r>
            <w:rPr>
              <w:rFonts w:hint="eastAsia"/>
              <w:color w:val="auto"/>
              <w:highlight w:val="none"/>
            </w:rPr>
            <w:t>安全与韧性 社区韧性  城市韧性原则、框架和指南</w:t>
          </w:r>
          <w:r>
            <w:rPr>
              <w:color w:val="auto"/>
              <w:highlight w:val="none"/>
            </w:rPr>
            <w:t>》</w:t>
          </w:r>
          <w:bookmarkEnd w:id="20"/>
        </w:sdtContent>
      </w:sdt>
      <w:r>
        <w:rPr>
          <w:color w:val="auto"/>
          <w:highlight w:val="none"/>
        </w:rPr>
        <w:t>（英文版）。</w:t>
      </w:r>
    </w:p>
    <w:p w14:paraId="233BAFA0">
      <w:pPr>
        <w:pStyle w:val="59"/>
        <w:ind w:firstLine="420"/>
        <w:rPr>
          <w:color w:val="auto"/>
          <w:highlight w:val="none"/>
        </w:rPr>
      </w:pPr>
      <w:r>
        <w:rPr>
          <w:color w:val="auto"/>
          <w:highlight w:val="none"/>
        </w:rPr>
        <w:t>请注意本文件的某些内容可能涉及专利。本文件的发布机构不承担识别专利的责任。</w:t>
      </w:r>
    </w:p>
    <w:p w14:paraId="43CD4DB7">
      <w:pPr>
        <w:pStyle w:val="59"/>
        <w:ind w:firstLine="420"/>
        <w:rPr>
          <w:color w:val="auto"/>
          <w:highlight w:val="none"/>
        </w:rPr>
      </w:pPr>
      <w:r>
        <w:rPr>
          <w:color w:val="auto"/>
          <w:highlight w:val="none"/>
        </w:rPr>
        <w:t>本文件由全国公共安全基础标准化技术委员会（SAC/TC 351）提出并归口。</w:t>
      </w:r>
    </w:p>
    <w:p w14:paraId="362B45FD">
      <w:pPr>
        <w:pStyle w:val="59"/>
        <w:ind w:firstLine="420"/>
        <w:rPr>
          <w:rFonts w:hint="eastAsia" w:eastAsia="宋体"/>
          <w:color w:val="auto"/>
          <w:highlight w:val="none"/>
          <w:lang w:eastAsia="zh-CN"/>
        </w:rPr>
      </w:pPr>
      <w:r>
        <w:rPr>
          <w:rFonts w:hint="eastAsia"/>
          <w:color w:val="auto"/>
          <w:highlight w:val="none"/>
        </w:rPr>
        <w:t>本文件起草单位：</w:t>
      </w:r>
    </w:p>
    <w:p w14:paraId="1CEAF89B">
      <w:pPr>
        <w:pStyle w:val="59"/>
        <w:ind w:firstLine="420"/>
        <w:rPr>
          <w:color w:val="auto"/>
          <w:highlight w:val="none"/>
        </w:rPr>
        <w:sectPr>
          <w:footerReference r:id="rId13" w:type="default"/>
          <w:pgSz w:w="11906" w:h="16838"/>
          <w:pgMar w:top="1928" w:right="1134" w:bottom="1134" w:left="1134" w:header="1418" w:footer="1134" w:gutter="284"/>
          <w:pgNumType w:fmt="upperRoman" w:start="1"/>
          <w:cols w:space="425" w:num="1"/>
          <w:formProt w:val="0"/>
          <w:docGrid w:type="lines" w:linePitch="312" w:charSpace="0"/>
        </w:sectPr>
      </w:pPr>
      <w:r>
        <w:rPr>
          <w:rFonts w:hint="eastAsia"/>
          <w:color w:val="auto"/>
          <w:highlight w:val="none"/>
        </w:rPr>
        <w:t>本文件主要起草人：</w:t>
      </w:r>
    </w:p>
    <w:bookmarkEnd w:id="19"/>
    <w:p w14:paraId="5147DE8F">
      <w:pPr>
        <w:pStyle w:val="92"/>
        <w:spacing w:after="468"/>
        <w:rPr>
          <w:color w:val="auto"/>
          <w:highlight w:val="none"/>
        </w:rPr>
      </w:pPr>
      <w:bookmarkStart w:id="21" w:name="_Toc20221"/>
      <w:bookmarkStart w:id="22" w:name="BookMark3"/>
      <w:r>
        <w:rPr>
          <w:rFonts w:hint="eastAsia"/>
          <w:color w:val="auto"/>
          <w:spacing w:val="320"/>
          <w:highlight w:val="none"/>
        </w:rPr>
        <w:t>引</w:t>
      </w:r>
      <w:r>
        <w:rPr>
          <w:rFonts w:hint="eastAsia"/>
          <w:color w:val="auto"/>
          <w:highlight w:val="none"/>
        </w:rPr>
        <w:t>言</w:t>
      </w:r>
      <w:bookmarkEnd w:id="21"/>
    </w:p>
    <w:p w14:paraId="42C0492B">
      <w:pPr>
        <w:pStyle w:val="59"/>
        <w:ind w:firstLine="420"/>
        <w:rPr>
          <w:rFonts w:hint="eastAsia"/>
          <w:color w:val="auto"/>
          <w:highlight w:val="none"/>
        </w:rPr>
      </w:pPr>
      <w:r>
        <w:rPr>
          <w:rFonts w:hint="eastAsia"/>
          <w:color w:val="auto"/>
          <w:highlight w:val="none"/>
          <w:lang w:val="en-US" w:eastAsia="zh-CN"/>
        </w:rPr>
        <w:t xml:space="preserve"> </w:t>
      </w:r>
      <w:r>
        <w:rPr>
          <w:rFonts w:hint="eastAsia"/>
          <w:color w:val="auto"/>
          <w:highlight w:val="none"/>
        </w:rPr>
        <w:t xml:space="preserve"> 城市是经济、政治、文化和社会活动的中心，是承载社会运行和人民生活的重要空间。当前，我国城镇化正从快速增长期转向稳定发展期，城市发展正从大规模增量扩张阶段转向存量提质增效为主的阶段，2025年末常住人口城镇化率达到67.89%‌</w:t>
      </w:r>
      <w:r>
        <w:rPr>
          <w:rFonts w:hint="eastAsia"/>
          <w:color w:val="auto"/>
          <w:highlight w:val="none"/>
          <w:lang w:eastAsia="zh-CN"/>
        </w:rPr>
        <w:t>；</w:t>
      </w:r>
      <w:r>
        <w:rPr>
          <w:rFonts w:hint="eastAsia"/>
          <w:color w:val="auto"/>
          <w:highlight w:val="none"/>
        </w:rPr>
        <w:t>从全球看，预计到2050年城市人口将占全球总人口的68%。随着城市规模扩大和功能集聚，人口、资产和基础设施高度集中，经济、社会、物质、技术和环境等子系统相互关联、相互依赖。</w:t>
      </w:r>
    </w:p>
    <w:p w14:paraId="4CD01812">
      <w:pPr>
        <w:pStyle w:val="59"/>
        <w:ind w:firstLine="420"/>
        <w:rPr>
          <w:rFonts w:hint="eastAsia"/>
          <w:color w:val="auto"/>
          <w:highlight w:val="none"/>
        </w:rPr>
      </w:pPr>
      <w:r>
        <w:rPr>
          <w:rFonts w:hint="eastAsia"/>
          <w:color w:val="auto"/>
          <w:highlight w:val="none"/>
        </w:rPr>
        <w:t>与此同时，全球气候变化导致极端天气事件多发频发，公共卫生事件、生产安全事故等风险交织叠加，新技术广泛应用和外部环境变化不断催生新型风险，城市安全发展面临的不确定性明显增多。一旦遭受冲击，局部事件可能演变为影响城市整体运行的系统性问题。传统上以单灾种防御为主的风险管理方式，已难以适应复合型、连锁性风险的防控需要。</w:t>
      </w:r>
    </w:p>
    <w:p w14:paraId="42050FBD">
      <w:pPr>
        <w:pStyle w:val="59"/>
        <w:ind w:firstLine="420"/>
        <w:rPr>
          <w:rFonts w:hint="eastAsia"/>
          <w:color w:val="auto"/>
          <w:highlight w:val="none"/>
        </w:rPr>
      </w:pPr>
      <w:r>
        <w:rPr>
          <w:rFonts w:hint="eastAsia"/>
          <w:color w:val="auto"/>
          <w:highlight w:val="none"/>
        </w:rPr>
        <w:t>韧性城市是城市安全发展的新理念，指在各类冲击和压力扰动下，具备承受、适应、恢复和转型提升能力的城市。我国高度重视韧性城市建设</w:t>
      </w:r>
      <w:r>
        <w:rPr>
          <w:rFonts w:hint="eastAsia"/>
          <w:color w:val="auto"/>
          <w:highlight w:val="none"/>
          <w:lang w:eastAsia="zh-CN"/>
        </w:rPr>
        <w:t>：“十四五”规划和2035年远景目标纲要提出建设宜居、创新、智慧、绿色、人文、韧性城市；党的二十大报告提出打造宜居、韧性、智慧城市；2024年，中共中央办公厅、国务院办公厅印发《关于推进新型城市基础设施建设打造韧性城市的意见》，部署持续提升城市设施韧性、管理韧性、空间韧性；《中华人民共和国国民经济和社会发展第十五个五年规划纲要》进一步明确建设创新、宜居、美丽、韧性、文明、智慧的现代化人民城市</w:t>
      </w:r>
      <w:r>
        <w:rPr>
          <w:rFonts w:hint="eastAsia"/>
          <w:color w:val="auto"/>
          <w:highlight w:val="none"/>
        </w:rPr>
        <w:t>。这与联合国可持续发展目标11（建设包容、安全、有抵御灾害能力和可持续的城市和人类住区）方向一致。韧性城市建设是一项系统性工程，需面向城市安全发展的实践需求，强调平急功能转换与资源弹性调配，融合多学科方法，强化科技赋能，深化跨部门协作，广泛动员并推动各方力量有序参与和协同配合。</w:t>
      </w:r>
    </w:p>
    <w:p w14:paraId="14C361A9">
      <w:pPr>
        <w:pStyle w:val="59"/>
        <w:ind w:firstLine="420"/>
        <w:rPr>
          <w:rFonts w:hint="eastAsia"/>
          <w:color w:val="auto"/>
          <w:highlight w:val="none"/>
        </w:rPr>
      </w:pPr>
      <w:r>
        <w:rPr>
          <w:rFonts w:hint="eastAsia"/>
          <w:color w:val="auto"/>
          <w:highlight w:val="none"/>
        </w:rPr>
        <w:t>本文件针对城市安全发展和韧性城市建设的实际需要，给出城市韧性建设的原则和实现城市韧性的框架，提供组织、评估、规划、实施和持续改进的指导，为城市制定和实施城市韧性战略提供支撑，以期提升城市防范化解各类风险、保障人民生命财产安全和维持正常运行的能力。</w:t>
      </w:r>
      <w:bookmarkEnd w:id="22"/>
    </w:p>
    <w:p w14:paraId="622C72FD">
      <w:pPr>
        <w:spacing w:line="20" w:lineRule="exact"/>
        <w:jc w:val="center"/>
        <w:rPr>
          <w:rFonts w:hint="eastAsia" w:ascii="黑体" w:hAnsi="黑体" w:eastAsia="黑体"/>
          <w:color w:val="auto"/>
          <w:sz w:val="32"/>
          <w:szCs w:val="32"/>
          <w:highlight w:val="none"/>
        </w:rPr>
      </w:pPr>
      <w:bookmarkStart w:id="23" w:name="BookMark4"/>
    </w:p>
    <w:p w14:paraId="5E444A38">
      <w:pPr>
        <w:spacing w:line="20" w:lineRule="exact"/>
        <w:jc w:val="center"/>
        <w:rPr>
          <w:rFonts w:hint="eastAsia" w:ascii="黑体" w:hAnsi="黑体" w:eastAsia="黑体"/>
          <w:color w:val="auto"/>
          <w:sz w:val="32"/>
          <w:szCs w:val="32"/>
          <w:highlight w:val="none"/>
        </w:rPr>
      </w:pPr>
    </w:p>
    <w:sdt>
      <w:sdtPr>
        <w:rPr>
          <w:color w:val="auto"/>
          <w:highlight w:val="none"/>
        </w:rPr>
        <w:tag w:val="NEW_STAND_NAME"/>
        <w:id w:val="595910757"/>
        <w:lock w:val="sdtLocked"/>
        <w:placeholder>
          <w:docPart w:val="9E786DDA5CE0405B9A531B6F5A566ED0"/>
        </w:placeholder>
      </w:sdtPr>
      <w:sdtEndPr>
        <w:rPr>
          <w:color w:val="auto"/>
          <w:highlight w:val="none"/>
        </w:rPr>
      </w:sdtEndPr>
      <w:sdtContent>
        <w:p w14:paraId="2CB882DF">
          <w:pPr>
            <w:pStyle w:val="180"/>
            <w:bidi w:val="0"/>
            <w:spacing w:before="4" w:beforeLines="1" w:after="4" w:afterLines="1"/>
            <w:rPr>
              <w:color w:val="auto"/>
              <w:highlight w:val="none"/>
            </w:rPr>
          </w:pPr>
          <w:bookmarkStart w:id="24" w:name="NEW_STAND_NAME"/>
        </w:p>
        <w:p w14:paraId="36D9E58E">
          <w:pPr>
            <w:pStyle w:val="180"/>
            <w:bidi w:val="0"/>
            <w:spacing w:before="4" w:beforeLines="1" w:after="4" w:afterLines="1"/>
            <w:rPr>
              <w:rFonts w:hint="eastAsia"/>
              <w:color w:val="auto"/>
              <w:highlight w:val="none"/>
              <w:lang w:eastAsia="zh-CN"/>
            </w:rPr>
            <w:sectPr>
              <w:footerReference r:id="rId14" w:type="default"/>
              <w:pgSz w:w="11906" w:h="16838"/>
              <w:pgMar w:top="1928" w:right="1134" w:bottom="1134" w:left="1134" w:header="1418" w:footer="1134" w:gutter="284"/>
              <w:pgNumType w:fmt="upperRoman"/>
              <w:cols w:space="425" w:num="1"/>
              <w:formProt w:val="0"/>
              <w:docGrid w:type="lines" w:linePitch="312" w:charSpace="0"/>
            </w:sectPr>
          </w:pPr>
        </w:p>
        <w:p w14:paraId="41E86713">
          <w:pPr>
            <w:pStyle w:val="180"/>
            <w:bidi w:val="0"/>
            <w:spacing w:before="4" w:beforeLines="1" w:after="4" w:afterLines="1"/>
            <w:rPr>
              <w:rFonts w:hint="eastAsia"/>
              <w:color w:val="auto"/>
              <w:highlight w:val="none"/>
            </w:rPr>
          </w:pPr>
          <w:r>
            <w:rPr>
              <w:rFonts w:hint="eastAsia"/>
              <w:color w:val="auto"/>
              <w:highlight w:val="none"/>
              <w:lang w:eastAsia="zh-CN"/>
            </w:rPr>
            <w:t>安全与韧性 城市韧性原则、框架和指南</w:t>
          </w:r>
        </w:p>
      </w:sdtContent>
    </w:sdt>
    <w:bookmarkEnd w:id="24"/>
    <w:p w14:paraId="0BC72D7B">
      <w:pPr>
        <w:pStyle w:val="107"/>
        <w:spacing w:before="312" w:after="312"/>
        <w:rPr>
          <w:color w:val="auto"/>
          <w:highlight w:val="none"/>
        </w:rPr>
      </w:pPr>
      <w:bookmarkStart w:id="25" w:name="_Toc24884218"/>
      <w:bookmarkStart w:id="26" w:name="_Toc17233333"/>
      <w:bookmarkStart w:id="27" w:name="_Toc26718930"/>
      <w:bookmarkStart w:id="28" w:name="_Toc17233325"/>
      <w:bookmarkStart w:id="29" w:name="_Toc26648465"/>
      <w:bookmarkStart w:id="30" w:name="_Toc97190718"/>
      <w:bookmarkStart w:id="31" w:name="_Toc26986530"/>
      <w:bookmarkStart w:id="32" w:name="_Toc26986771"/>
      <w:bookmarkStart w:id="33" w:name="_Toc15514"/>
      <w:bookmarkStart w:id="34" w:name="_Toc24884211"/>
      <w:r>
        <w:rPr>
          <w:rFonts w:hint="eastAsia"/>
          <w:color w:val="auto"/>
          <w:highlight w:val="none"/>
        </w:rPr>
        <w:t>范围</w:t>
      </w:r>
      <w:bookmarkEnd w:id="25"/>
      <w:bookmarkEnd w:id="26"/>
      <w:bookmarkEnd w:id="27"/>
      <w:bookmarkEnd w:id="28"/>
      <w:bookmarkEnd w:id="29"/>
      <w:bookmarkEnd w:id="30"/>
      <w:bookmarkEnd w:id="31"/>
      <w:bookmarkEnd w:id="32"/>
      <w:bookmarkEnd w:id="33"/>
      <w:bookmarkEnd w:id="34"/>
    </w:p>
    <w:p w14:paraId="2823F655">
      <w:pPr>
        <w:pStyle w:val="59"/>
        <w:ind w:firstLine="420"/>
        <w:rPr>
          <w:color w:val="auto"/>
          <w:highlight w:val="none"/>
        </w:rPr>
      </w:pPr>
      <w:bookmarkStart w:id="35" w:name="_Toc26648466"/>
      <w:bookmarkStart w:id="36" w:name="_Toc97190719"/>
      <w:bookmarkStart w:id="37" w:name="_Toc24884219"/>
      <w:bookmarkStart w:id="38" w:name="_Toc17233326"/>
      <w:bookmarkStart w:id="39" w:name="_Toc24884212"/>
      <w:bookmarkStart w:id="40" w:name="_Toc17233334"/>
      <w:bookmarkStart w:id="41" w:name="_Toc26718931"/>
      <w:bookmarkStart w:id="42" w:name="_Toc26986772"/>
      <w:bookmarkStart w:id="43" w:name="_Toc26986531"/>
      <w:r>
        <w:rPr>
          <w:rFonts w:hint="eastAsia"/>
          <w:color w:val="auto"/>
          <w:highlight w:val="none"/>
        </w:rPr>
        <w:t>本文件</w:t>
      </w:r>
      <w:r>
        <w:rPr>
          <w:rFonts w:hint="eastAsia"/>
          <w:color w:val="auto"/>
          <w:highlight w:val="none"/>
          <w:lang w:val="en-US" w:eastAsia="zh-CN"/>
        </w:rPr>
        <w:t>给出</w:t>
      </w:r>
      <w:r>
        <w:rPr>
          <w:rFonts w:hint="eastAsia"/>
          <w:color w:val="auto"/>
          <w:highlight w:val="none"/>
        </w:rPr>
        <w:t>了</w:t>
      </w:r>
      <w:r>
        <w:rPr>
          <w:rFonts w:hint="eastAsia"/>
          <w:color w:val="auto"/>
          <w:highlight w:val="none"/>
          <w:lang w:val="en-US" w:eastAsia="zh-CN"/>
        </w:rPr>
        <w:t>城市韧性建设的原则、框架，提供了</w:t>
      </w:r>
      <w:r>
        <w:rPr>
          <w:color w:val="auto"/>
          <w:highlight w:val="none"/>
        </w:rPr>
        <w:t>组织</w:t>
      </w:r>
      <w:r>
        <w:rPr>
          <w:rFonts w:hint="eastAsia"/>
          <w:color w:val="auto"/>
          <w:highlight w:val="none"/>
          <w:lang w:val="en-US" w:eastAsia="zh-CN"/>
        </w:rPr>
        <w:t>与界定</w:t>
      </w:r>
      <w:r>
        <w:rPr>
          <w:color w:val="auto"/>
          <w:highlight w:val="none"/>
        </w:rPr>
        <w:t>、评估</w:t>
      </w:r>
      <w:r>
        <w:rPr>
          <w:rFonts w:hint="eastAsia"/>
          <w:color w:val="auto"/>
          <w:highlight w:val="none"/>
          <w:lang w:val="en-US" w:eastAsia="zh-CN"/>
        </w:rPr>
        <w:t>与排序</w:t>
      </w:r>
      <w:r>
        <w:rPr>
          <w:color w:val="auto"/>
          <w:highlight w:val="none"/>
        </w:rPr>
        <w:t>、</w:t>
      </w:r>
      <w:r>
        <w:rPr>
          <w:rFonts w:hint="eastAsia"/>
          <w:color w:val="auto"/>
          <w:highlight w:val="none"/>
          <w:lang w:val="en-US" w:eastAsia="zh-CN"/>
        </w:rPr>
        <w:t>战略制定</w:t>
      </w:r>
      <w:r>
        <w:rPr>
          <w:color w:val="auto"/>
          <w:highlight w:val="none"/>
        </w:rPr>
        <w:t>、实施</w:t>
      </w:r>
      <w:r>
        <w:rPr>
          <w:rFonts w:hint="eastAsia"/>
          <w:color w:val="auto"/>
          <w:highlight w:val="none"/>
          <w:lang w:val="en-US" w:eastAsia="zh-CN"/>
        </w:rPr>
        <w:t>以及</w:t>
      </w:r>
      <w:r>
        <w:rPr>
          <w:color w:val="auto"/>
          <w:highlight w:val="none"/>
        </w:rPr>
        <w:t>持续改进</w:t>
      </w:r>
      <w:r>
        <w:rPr>
          <w:rFonts w:hint="eastAsia"/>
          <w:color w:val="auto"/>
          <w:highlight w:val="none"/>
          <w:lang w:val="en-US" w:eastAsia="zh-CN"/>
        </w:rPr>
        <w:t>的信息与指导。</w:t>
      </w:r>
    </w:p>
    <w:p w14:paraId="74C0B8C2">
      <w:pPr>
        <w:pStyle w:val="59"/>
        <w:ind w:firstLine="420"/>
        <w:rPr>
          <w:color w:val="auto"/>
          <w:highlight w:val="none"/>
        </w:rPr>
      </w:pPr>
      <w:r>
        <w:rPr>
          <w:color w:val="auto"/>
          <w:highlight w:val="none"/>
        </w:rPr>
        <w:t>本</w:t>
      </w:r>
      <w:r>
        <w:rPr>
          <w:rFonts w:hint="eastAsia"/>
          <w:color w:val="auto"/>
          <w:highlight w:val="none"/>
        </w:rPr>
        <w:t>文件适用于对城市韧性</w:t>
      </w:r>
      <w:r>
        <w:rPr>
          <w:rFonts w:hint="eastAsia"/>
          <w:color w:val="auto"/>
          <w:highlight w:val="none"/>
          <w:lang w:val="en-US" w:eastAsia="zh-CN"/>
        </w:rPr>
        <w:t>建设</w:t>
      </w:r>
      <w:r>
        <w:rPr>
          <w:rFonts w:hint="eastAsia"/>
          <w:color w:val="auto"/>
          <w:highlight w:val="none"/>
        </w:rPr>
        <w:t>承担责任的所有机构。</w:t>
      </w:r>
    </w:p>
    <w:p w14:paraId="5EBDAA54">
      <w:pPr>
        <w:pStyle w:val="107"/>
        <w:spacing w:before="312" w:after="312"/>
        <w:rPr>
          <w:color w:val="auto"/>
          <w:highlight w:val="none"/>
        </w:rPr>
      </w:pPr>
      <w:bookmarkStart w:id="44" w:name="_Toc1275"/>
      <w:r>
        <w:rPr>
          <w:rFonts w:hint="eastAsia"/>
          <w:color w:val="auto"/>
          <w:highlight w:val="none"/>
        </w:rPr>
        <w:t>规范性引用文件</w:t>
      </w:r>
      <w:bookmarkEnd w:id="35"/>
      <w:bookmarkEnd w:id="36"/>
      <w:bookmarkEnd w:id="37"/>
      <w:bookmarkEnd w:id="38"/>
      <w:bookmarkEnd w:id="39"/>
      <w:bookmarkEnd w:id="40"/>
      <w:bookmarkEnd w:id="41"/>
      <w:bookmarkEnd w:id="42"/>
      <w:bookmarkEnd w:id="43"/>
      <w:bookmarkEnd w:id="44"/>
    </w:p>
    <w:sdt>
      <w:sdtPr>
        <w:rPr>
          <w:rFonts w:hint="eastAsia"/>
          <w:color w:val="auto"/>
          <w:highlight w:val="none"/>
        </w:rPr>
        <w:id w:val="715848253"/>
        <w:placeholder>
          <w:docPart w:val="4F0EA42136EC49B0AC995A733F524B8C"/>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color w:val="auto"/>
          <w:highlight w:val="none"/>
        </w:rPr>
      </w:sdtEndPr>
      <w:sdtContent>
        <w:p w14:paraId="2D3C416B">
          <w:pPr>
            <w:pStyle w:val="59"/>
            <w:ind w:firstLine="420"/>
            <w:rPr>
              <w:color w:val="auto"/>
              <w:highlight w:val="none"/>
            </w:rPr>
          </w:pPr>
          <w:r>
            <w:rPr>
              <w:rFonts w:hint="eastAsia"/>
              <w:color w:val="auto"/>
              <w:highlight w:val="none"/>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7BA664BC">
      <w:pPr>
        <w:pStyle w:val="59"/>
        <w:ind w:firstLine="420"/>
        <w:rPr>
          <w:color w:val="auto"/>
          <w:highlight w:val="none"/>
        </w:rPr>
      </w:pPr>
      <w:r>
        <w:rPr>
          <w:rFonts w:hint="eastAsia"/>
          <w:color w:val="auto"/>
          <w:highlight w:val="none"/>
        </w:rPr>
        <w:t>GB/T 44483—2024 安全与韧性 术语（ISO 22300：2021，MOD）</w:t>
      </w:r>
    </w:p>
    <w:p w14:paraId="39736959">
      <w:pPr>
        <w:pStyle w:val="107"/>
        <w:spacing w:before="312" w:after="312"/>
        <w:rPr>
          <w:color w:val="auto"/>
          <w:highlight w:val="none"/>
        </w:rPr>
      </w:pPr>
      <w:bookmarkStart w:id="45" w:name="_Toc97190720"/>
      <w:bookmarkStart w:id="46" w:name="_Toc16546"/>
      <w:r>
        <w:rPr>
          <w:rFonts w:hint="eastAsia"/>
          <w:color w:val="auto"/>
          <w:szCs w:val="21"/>
          <w:highlight w:val="none"/>
        </w:rPr>
        <w:t>术语和定义</w:t>
      </w:r>
      <w:bookmarkEnd w:id="45"/>
      <w:bookmarkEnd w:id="46"/>
    </w:p>
    <w:sdt>
      <w:sdtPr>
        <w:rPr>
          <w:color w:val="auto"/>
          <w:highlight w:val="none"/>
        </w:rPr>
        <w:id w:val="-1909835108"/>
        <w:placeholder>
          <w:docPart w:val="4F0EA42136EC49B0AC995A733F524B8C"/>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color w:val="auto"/>
          <w:highlight w:val="none"/>
        </w:rPr>
      </w:sdtEndPr>
      <w:sdtContent>
        <w:p w14:paraId="1B9D4849">
          <w:pPr>
            <w:pStyle w:val="59"/>
            <w:ind w:firstLine="420"/>
            <w:rPr>
              <w:color w:val="auto"/>
              <w:highlight w:val="none"/>
            </w:rPr>
          </w:pPr>
          <w:bookmarkStart w:id="47" w:name="_Toc26986532"/>
          <w:bookmarkEnd w:id="47"/>
          <w:r>
            <w:rPr>
              <w:color w:val="auto"/>
              <w:highlight w:val="none"/>
            </w:rPr>
            <w:t>下列术语和定义适用于本文件。</w:t>
          </w:r>
        </w:p>
      </w:sdtContent>
    </w:sdt>
    <w:p w14:paraId="7BEAE0E6">
      <w:pPr>
        <w:pStyle w:val="226"/>
        <w:ind w:left="420" w:hanging="420" w:hangingChars="200"/>
        <w:rPr>
          <w:rFonts w:hint="eastAsia" w:ascii="黑体" w:hAnsi="黑体" w:eastAsia="黑体"/>
          <w:color w:val="auto"/>
          <w:highlight w:val="none"/>
        </w:rPr>
      </w:pPr>
      <w:r>
        <w:rPr>
          <w:rFonts w:ascii="黑体" w:hAnsi="黑体" w:eastAsia="黑体"/>
          <w:color w:val="auto"/>
          <w:highlight w:val="none"/>
        </w:rPr>
        <w:br w:type="textWrapping"/>
      </w:r>
      <w:r>
        <w:rPr>
          <w:rFonts w:ascii="黑体" w:hAnsi="黑体" w:eastAsia="黑体"/>
          <w:color w:val="auto"/>
          <w:highlight w:val="none"/>
        </w:rPr>
        <w:t>能力</w:t>
      </w:r>
      <w:r>
        <w:rPr>
          <w:rFonts w:hint="eastAsia" w:ascii="黑体" w:hAnsi="黑体" w:eastAsia="黑体"/>
          <w:color w:val="auto"/>
          <w:highlight w:val="none"/>
        </w:rPr>
        <w:t xml:space="preserve"> </w:t>
      </w:r>
      <w:r>
        <w:rPr>
          <w:rFonts w:ascii="黑体" w:hAnsi="黑体" w:eastAsia="黑体"/>
          <w:color w:val="auto"/>
          <w:highlight w:val="none"/>
        </w:rPr>
        <w:t>capacity</w:t>
      </w:r>
    </w:p>
    <w:p w14:paraId="7CC2C339">
      <w:pPr>
        <w:pStyle w:val="59"/>
        <w:ind w:firstLine="420"/>
        <w:rPr>
          <w:color w:val="auto"/>
          <w:highlight w:val="none"/>
        </w:rPr>
      </w:pPr>
      <w:r>
        <w:rPr>
          <w:rFonts w:hint="eastAsia"/>
          <w:color w:val="auto"/>
          <w:highlight w:val="none"/>
        </w:rPr>
        <w:t>组织、社区或社会可用于降低风险水平或减小危机影响的所有队伍和资源的总和。</w:t>
      </w:r>
    </w:p>
    <w:p w14:paraId="56C862A8">
      <w:pPr>
        <w:pStyle w:val="182"/>
        <w:rPr>
          <w:color w:val="auto"/>
          <w:highlight w:val="none"/>
        </w:rPr>
      </w:pPr>
      <w:r>
        <w:rPr>
          <w:color w:val="auto"/>
          <w:highlight w:val="none"/>
        </w:rPr>
        <w:t>能力包括物质、制度、社会、技术或经济手段，以及技术人员、领导力、管理能力等属性。</w:t>
      </w:r>
    </w:p>
    <w:p w14:paraId="607DB819">
      <w:pPr>
        <w:pStyle w:val="59"/>
        <w:ind w:firstLine="420"/>
        <w:rPr>
          <w:color w:val="auto"/>
          <w:highlight w:val="none"/>
        </w:rPr>
      </w:pPr>
      <w:r>
        <w:rPr>
          <w:rFonts w:hint="eastAsia"/>
          <w:color w:val="auto"/>
          <w:highlight w:val="none"/>
        </w:rPr>
        <w:t>[来源：GB/T 44483—2024，3.1.25]</w:t>
      </w:r>
      <w:r>
        <w:rPr>
          <w:color w:val="auto"/>
          <w:highlight w:val="none"/>
        </w:rPr>
        <w:t xml:space="preserve"> </w:t>
      </w:r>
    </w:p>
    <w:p w14:paraId="520C7497">
      <w:pPr>
        <w:pStyle w:val="226"/>
        <w:ind w:left="420" w:hanging="420" w:hangingChars="200"/>
        <w:rPr>
          <w:rFonts w:hint="eastAsia" w:ascii="黑体" w:hAnsi="黑体" w:eastAsia="黑体"/>
          <w:color w:val="auto"/>
          <w:highlight w:val="none"/>
        </w:rPr>
      </w:pPr>
      <w:bookmarkStart w:id="48" w:name="9"/>
      <w:bookmarkEnd w:id="48"/>
      <w:r>
        <w:rPr>
          <w:rFonts w:ascii="黑体" w:hAnsi="黑体" w:eastAsia="黑体"/>
          <w:color w:val="auto"/>
          <w:highlight w:val="none"/>
        </w:rPr>
        <w:br w:type="textWrapping"/>
      </w:r>
      <w:r>
        <w:rPr>
          <w:rFonts w:hint="eastAsia" w:ascii="黑体" w:hAnsi="黑体" w:eastAsia="黑体"/>
          <w:color w:val="auto"/>
          <w:highlight w:val="none"/>
        </w:rPr>
        <w:t>韧性 resilience</w:t>
      </w:r>
    </w:p>
    <w:p w14:paraId="42E1B912">
      <w:pPr>
        <w:pStyle w:val="59"/>
        <w:ind w:firstLine="420"/>
        <w:rPr>
          <w:color w:val="auto"/>
          <w:highlight w:val="none"/>
        </w:rPr>
      </w:pPr>
      <w:r>
        <w:rPr>
          <w:rFonts w:hint="eastAsia"/>
          <w:color w:val="auto"/>
          <w:highlight w:val="none"/>
        </w:rPr>
        <w:t>承受和适应环境变化的能力。</w:t>
      </w:r>
    </w:p>
    <w:p w14:paraId="6885B6D0">
      <w:pPr>
        <w:pStyle w:val="182"/>
        <w:rPr>
          <w:color w:val="auto"/>
          <w:highlight w:val="none"/>
        </w:rPr>
      </w:pPr>
      <w:r>
        <w:rPr>
          <w:rFonts w:hint="eastAsia"/>
          <w:color w:val="auto"/>
          <w:highlight w:val="none"/>
        </w:rPr>
        <w:t>在城市韧性的环境下，在变化环境中的承受和适应能力由对威胁的预测、准备和恢复等能力，以及城市系统各部分的能力综合确定。</w:t>
      </w:r>
    </w:p>
    <w:p w14:paraId="6CC32A25">
      <w:pPr>
        <w:pStyle w:val="59"/>
        <w:ind w:firstLine="420"/>
        <w:rPr>
          <w:b/>
          <w:color w:val="auto"/>
          <w:highlight w:val="none"/>
        </w:rPr>
      </w:pPr>
      <w:r>
        <w:rPr>
          <w:rFonts w:hint="eastAsia"/>
          <w:color w:val="auto"/>
          <w:highlight w:val="none"/>
        </w:rPr>
        <w:t>[来源：GB/T 44483—2024，3.1.</w:t>
      </w:r>
      <w:r>
        <w:rPr>
          <w:rFonts w:hint="eastAsia"/>
          <w:color w:val="auto"/>
          <w:highlight w:val="none"/>
          <w:lang w:val="en-US" w:eastAsia="zh-CN"/>
        </w:rPr>
        <w:t>203</w:t>
      </w:r>
      <w:r>
        <w:rPr>
          <w:rFonts w:hint="eastAsia"/>
          <w:color w:val="auto"/>
          <w:highlight w:val="none"/>
        </w:rPr>
        <w:t>]</w:t>
      </w:r>
    </w:p>
    <w:p w14:paraId="1634AC74">
      <w:pPr>
        <w:pStyle w:val="226"/>
        <w:ind w:left="420" w:hanging="420" w:hangingChars="200"/>
        <w:rPr>
          <w:rFonts w:hint="eastAsia" w:ascii="黑体" w:hAnsi="黑体" w:eastAsia="黑体"/>
          <w:color w:val="auto"/>
          <w:highlight w:val="none"/>
        </w:rPr>
      </w:pPr>
      <w:r>
        <w:rPr>
          <w:rFonts w:ascii="黑体" w:hAnsi="黑体" w:eastAsia="黑体"/>
          <w:color w:val="auto"/>
          <w:highlight w:val="none"/>
        </w:rPr>
        <w:br w:type="textWrapping"/>
      </w:r>
      <w:r>
        <w:rPr>
          <w:rFonts w:hint="eastAsia" w:ascii="黑体" w:hAnsi="黑体" w:eastAsia="黑体"/>
          <w:color w:val="auto"/>
          <w:highlight w:val="none"/>
        </w:rPr>
        <w:t>冲击 shock</w:t>
      </w:r>
    </w:p>
    <w:p w14:paraId="7DC89DE7">
      <w:pPr>
        <w:pStyle w:val="59"/>
        <w:ind w:firstLine="420"/>
        <w:rPr>
          <w:color w:val="auto"/>
          <w:highlight w:val="none"/>
        </w:rPr>
      </w:pPr>
      <w:r>
        <w:rPr>
          <w:rFonts w:hint="eastAsia"/>
          <w:color w:val="auto"/>
          <w:highlight w:val="none"/>
        </w:rPr>
        <w:t>不确定的、突然</w:t>
      </w:r>
      <w:r>
        <w:rPr>
          <w:rFonts w:hint="eastAsia"/>
          <w:strike w:val="0"/>
          <w:color w:val="auto"/>
          <w:highlight w:val="none"/>
        </w:rPr>
        <w:t>的</w:t>
      </w:r>
      <w:r>
        <w:rPr>
          <w:rFonts w:hint="eastAsia"/>
          <w:strike w:val="0"/>
          <w:dstrike w:val="0"/>
          <w:color w:val="auto"/>
          <w:highlight w:val="none"/>
        </w:rPr>
        <w:t>或长期的</w:t>
      </w:r>
      <w:r>
        <w:rPr>
          <w:rFonts w:hint="eastAsia"/>
          <w:strike w:val="0"/>
          <w:color w:val="auto"/>
          <w:highlight w:val="none"/>
        </w:rPr>
        <w:t>，可</w:t>
      </w:r>
      <w:r>
        <w:rPr>
          <w:rFonts w:hint="eastAsia"/>
          <w:color w:val="auto"/>
          <w:highlight w:val="none"/>
        </w:rPr>
        <w:t>能会影响城市系统的目标的事件。</w:t>
      </w:r>
    </w:p>
    <w:p w14:paraId="145E96DD">
      <w:pPr>
        <w:pStyle w:val="182"/>
        <w:rPr>
          <w:color w:val="auto"/>
          <w:highlight w:val="none"/>
        </w:rPr>
      </w:pPr>
      <w:r>
        <w:rPr>
          <w:color w:val="auto"/>
          <w:highlight w:val="none"/>
        </w:rPr>
        <w:t>表2涉及对冲击、压力和趋势的评估。</w:t>
      </w:r>
    </w:p>
    <w:p w14:paraId="0BCE5E27">
      <w:pPr>
        <w:pStyle w:val="59"/>
        <w:ind w:firstLine="420"/>
        <w:rPr>
          <w:color w:val="auto"/>
          <w:highlight w:val="none"/>
        </w:rPr>
      </w:pPr>
      <w:r>
        <w:rPr>
          <w:rFonts w:hint="eastAsia"/>
          <w:color w:val="auto"/>
          <w:highlight w:val="none"/>
        </w:rPr>
        <w:t>[来源：GB/T 44483—2024，3.1.</w:t>
      </w:r>
      <w:r>
        <w:rPr>
          <w:rFonts w:hint="eastAsia"/>
          <w:color w:val="auto"/>
          <w:highlight w:val="none"/>
          <w:lang w:val="en-US" w:eastAsia="zh-CN"/>
        </w:rPr>
        <w:t>260</w:t>
      </w:r>
      <w:r>
        <w:rPr>
          <w:rFonts w:hint="eastAsia"/>
          <w:color w:val="auto"/>
          <w:highlight w:val="none"/>
        </w:rPr>
        <w:t>]</w:t>
      </w:r>
      <w:r>
        <w:rPr>
          <w:color w:val="auto"/>
          <w:highlight w:val="none"/>
        </w:rPr>
        <w:t xml:space="preserve"> </w:t>
      </w:r>
    </w:p>
    <w:p w14:paraId="06FEA4AF">
      <w:pPr>
        <w:pStyle w:val="226"/>
        <w:ind w:left="420" w:hanging="420" w:hangingChars="200"/>
        <w:rPr>
          <w:rFonts w:hint="eastAsia" w:ascii="黑体" w:hAnsi="黑体" w:eastAsia="黑体"/>
          <w:color w:val="auto"/>
          <w:highlight w:val="none"/>
        </w:rPr>
      </w:pPr>
      <w:r>
        <w:rPr>
          <w:rFonts w:ascii="黑体" w:hAnsi="黑体" w:eastAsia="黑体"/>
          <w:color w:val="auto"/>
          <w:highlight w:val="none"/>
        </w:rPr>
        <w:br w:type="textWrapping"/>
      </w:r>
      <w:r>
        <w:rPr>
          <w:rFonts w:ascii="黑体" w:hAnsi="黑体" w:eastAsia="黑体"/>
          <w:color w:val="auto"/>
          <w:highlight w:val="none"/>
        </w:rPr>
        <w:t>利益相关方</w:t>
      </w:r>
      <w:r>
        <w:rPr>
          <w:rFonts w:hint="eastAsia" w:ascii="黑体" w:hAnsi="黑体" w:eastAsia="黑体"/>
          <w:color w:val="auto"/>
          <w:highlight w:val="none"/>
        </w:rPr>
        <w:t xml:space="preserve"> </w:t>
      </w:r>
      <w:r>
        <w:rPr>
          <w:rFonts w:ascii="黑体" w:hAnsi="黑体" w:eastAsia="黑体"/>
          <w:color w:val="auto"/>
          <w:highlight w:val="none"/>
        </w:rPr>
        <w:t>stakeholder</w:t>
      </w:r>
    </w:p>
    <w:p w14:paraId="54EFFD98">
      <w:pPr>
        <w:pStyle w:val="59"/>
        <w:ind w:firstLine="420"/>
        <w:rPr>
          <w:color w:val="auto"/>
          <w:highlight w:val="none"/>
        </w:rPr>
      </w:pPr>
      <w:r>
        <w:rPr>
          <w:color w:val="auto"/>
          <w:highlight w:val="none"/>
        </w:rPr>
        <w:t>能够影响决策或活动、受其影响，或认为自身受其影响的个人或组织。</w:t>
      </w:r>
    </w:p>
    <w:p w14:paraId="1A7A4958">
      <w:pPr>
        <w:pStyle w:val="59"/>
        <w:ind w:firstLine="420"/>
        <w:rPr>
          <w:color w:val="auto"/>
          <w:highlight w:val="none"/>
        </w:rPr>
      </w:pPr>
      <w:r>
        <w:rPr>
          <w:rFonts w:hint="eastAsia"/>
          <w:color w:val="auto"/>
          <w:highlight w:val="none"/>
        </w:rPr>
        <w:t>[来源：GB/T 44483—2024，3.1.</w:t>
      </w:r>
      <w:r>
        <w:rPr>
          <w:rFonts w:hint="eastAsia"/>
          <w:color w:val="auto"/>
          <w:highlight w:val="none"/>
          <w:lang w:val="en-US" w:eastAsia="zh-CN"/>
        </w:rPr>
        <w:t>129，有修改</w:t>
      </w:r>
      <w:r>
        <w:rPr>
          <w:rFonts w:hint="eastAsia"/>
          <w:color w:val="auto"/>
          <w:highlight w:val="none"/>
        </w:rPr>
        <w:t>]</w:t>
      </w:r>
    </w:p>
    <w:p w14:paraId="605C68BE">
      <w:pPr>
        <w:pStyle w:val="226"/>
        <w:ind w:left="420" w:hanging="420" w:hangingChars="200"/>
        <w:rPr>
          <w:rFonts w:hint="eastAsia" w:ascii="黑体" w:hAnsi="黑体" w:eastAsia="黑体"/>
          <w:color w:val="auto"/>
          <w:highlight w:val="none"/>
        </w:rPr>
      </w:pPr>
      <w:r>
        <w:rPr>
          <w:rFonts w:ascii="黑体" w:hAnsi="黑体" w:eastAsia="黑体"/>
          <w:color w:val="auto"/>
          <w:highlight w:val="none"/>
        </w:rPr>
        <w:br w:type="textWrapping"/>
      </w:r>
      <w:r>
        <w:rPr>
          <w:rFonts w:hint="eastAsia" w:ascii="黑体" w:hAnsi="黑体" w:eastAsia="黑体"/>
          <w:color w:val="auto"/>
          <w:highlight w:val="none"/>
        </w:rPr>
        <w:t>压力 stress</w:t>
      </w:r>
    </w:p>
    <w:p w14:paraId="542B2E91">
      <w:pPr>
        <w:pStyle w:val="59"/>
        <w:ind w:firstLine="420"/>
        <w:rPr>
          <w:color w:val="auto"/>
          <w:highlight w:val="none"/>
        </w:rPr>
      </w:pPr>
      <w:r>
        <w:rPr>
          <w:rFonts w:hint="eastAsia"/>
          <w:color w:val="auto"/>
          <w:highlight w:val="none"/>
        </w:rPr>
        <w:t>城市系统的长期和持续的动态压力</w:t>
      </w:r>
      <w:r>
        <w:rPr>
          <w:rFonts w:hint="eastAsia"/>
          <w:color w:val="auto"/>
          <w:highlight w:val="none"/>
          <w:lang w:eastAsia="zh-CN"/>
        </w:rPr>
        <w:t>，</w:t>
      </w:r>
      <w:r>
        <w:rPr>
          <w:rFonts w:hint="eastAsia"/>
          <w:color w:val="auto"/>
          <w:highlight w:val="none"/>
        </w:rPr>
        <w:t>对系统实现目标的能力具有潜在的累积影响。</w:t>
      </w:r>
    </w:p>
    <w:p w14:paraId="17A65FF2">
      <w:pPr>
        <w:pStyle w:val="59"/>
        <w:ind w:firstLine="420"/>
        <w:rPr>
          <w:color w:val="auto"/>
          <w:highlight w:val="none"/>
        </w:rPr>
      </w:pPr>
      <w:r>
        <w:rPr>
          <w:rFonts w:hint="eastAsia"/>
          <w:color w:val="auto"/>
          <w:highlight w:val="none"/>
        </w:rPr>
        <w:t>[来源：GB/T 44483—2024，3.1.</w:t>
      </w:r>
      <w:r>
        <w:rPr>
          <w:rFonts w:hint="eastAsia"/>
          <w:color w:val="auto"/>
          <w:highlight w:val="none"/>
          <w:lang w:val="en-US" w:eastAsia="zh-CN"/>
        </w:rPr>
        <w:t>266</w:t>
      </w:r>
      <w:r>
        <w:rPr>
          <w:rFonts w:hint="eastAsia"/>
          <w:color w:val="auto"/>
          <w:highlight w:val="none"/>
        </w:rPr>
        <w:t>]</w:t>
      </w:r>
      <w:r>
        <w:rPr>
          <w:color w:val="auto"/>
          <w:highlight w:val="none"/>
        </w:rPr>
        <w:t xml:space="preserve"> </w:t>
      </w:r>
    </w:p>
    <w:p w14:paraId="295B7783">
      <w:pPr>
        <w:pStyle w:val="226"/>
        <w:ind w:left="420" w:hanging="420" w:hangingChars="200"/>
        <w:rPr>
          <w:rFonts w:hint="eastAsia" w:ascii="黑体" w:hAnsi="黑体" w:eastAsia="黑体"/>
          <w:color w:val="auto"/>
          <w:highlight w:val="none"/>
        </w:rPr>
      </w:pPr>
      <w:r>
        <w:rPr>
          <w:rFonts w:ascii="黑体" w:hAnsi="黑体" w:eastAsia="黑体"/>
          <w:color w:val="auto"/>
          <w:highlight w:val="none"/>
        </w:rPr>
        <w:br w:type="textWrapping"/>
      </w:r>
      <w:r>
        <w:rPr>
          <w:rFonts w:ascii="黑体" w:hAnsi="黑体" w:eastAsia="黑体"/>
          <w:color w:val="auto"/>
          <w:highlight w:val="none"/>
        </w:rPr>
        <w:t>城市</w:t>
      </w:r>
      <w:r>
        <w:rPr>
          <w:rFonts w:hint="eastAsia" w:ascii="黑体" w:hAnsi="黑体" w:eastAsia="黑体"/>
          <w:color w:val="auto"/>
          <w:highlight w:val="none"/>
          <w:lang w:val="en-US" w:eastAsia="zh-CN"/>
        </w:rPr>
        <w:t xml:space="preserve"> city</w:t>
      </w:r>
    </w:p>
    <w:p w14:paraId="5D530775">
      <w:pPr>
        <w:pStyle w:val="59"/>
        <w:ind w:firstLine="420"/>
        <w:rPr>
          <w:rFonts w:hint="eastAsia"/>
          <w:color w:val="auto"/>
          <w:highlight w:val="none"/>
        </w:rPr>
      </w:pPr>
      <w:r>
        <w:rPr>
          <w:rFonts w:hint="eastAsia"/>
          <w:color w:val="auto"/>
          <w:highlight w:val="none"/>
        </w:rPr>
        <w:t xml:space="preserve">以非农产业和非农业人口聚集为主要特征的居民点。包括按国家行政建制设立的市和镇。 </w:t>
      </w:r>
    </w:p>
    <w:p w14:paraId="1118052A">
      <w:pPr>
        <w:pStyle w:val="59"/>
        <w:ind w:firstLine="420"/>
        <w:rPr>
          <w:rFonts w:hint="eastAsia"/>
          <w:color w:val="auto"/>
          <w:highlight w:val="none"/>
        </w:rPr>
      </w:pPr>
      <w:r>
        <w:rPr>
          <w:rFonts w:hint="eastAsia"/>
          <w:color w:val="auto"/>
          <w:highlight w:val="none"/>
        </w:rPr>
        <w:t>[来源：GB/T 50280-1998,定义2.0.2</w:t>
      </w:r>
      <w:r>
        <w:rPr>
          <w:rFonts w:hint="eastAsia"/>
          <w:color w:val="auto"/>
          <w:highlight w:val="none"/>
          <w:lang w:val="en-US" w:eastAsia="zh-CN"/>
        </w:rPr>
        <w:t>，有修改</w:t>
      </w:r>
      <w:r>
        <w:rPr>
          <w:rFonts w:hint="eastAsia"/>
          <w:color w:val="auto"/>
          <w:highlight w:val="none"/>
        </w:rPr>
        <w:t>]</w:t>
      </w:r>
    </w:p>
    <w:p w14:paraId="3142DBFF">
      <w:pPr>
        <w:pStyle w:val="226"/>
        <w:ind w:left="420" w:hanging="420" w:hangingChars="200"/>
        <w:rPr>
          <w:rFonts w:hint="eastAsia" w:ascii="黑体" w:hAnsi="黑体" w:eastAsia="黑体"/>
          <w:color w:val="auto"/>
          <w:highlight w:val="none"/>
        </w:rPr>
      </w:pPr>
      <w:r>
        <w:rPr>
          <w:rFonts w:ascii="黑体" w:hAnsi="黑体" w:eastAsia="黑体"/>
          <w:color w:val="auto"/>
          <w:highlight w:val="none"/>
        </w:rPr>
        <w:br w:type="textWrapping"/>
      </w:r>
      <w:r>
        <w:rPr>
          <w:rFonts w:hint="eastAsia" w:ascii="黑体" w:hAnsi="黑体" w:eastAsia="黑体"/>
          <w:color w:val="auto"/>
          <w:highlight w:val="none"/>
        </w:rPr>
        <w:t>城市韧性 urban resilience</w:t>
      </w:r>
    </w:p>
    <w:p w14:paraId="6CFEA073">
      <w:pPr>
        <w:pStyle w:val="59"/>
        <w:ind w:firstLine="420"/>
        <w:rPr>
          <w:color w:val="auto"/>
          <w:highlight w:val="none"/>
        </w:rPr>
      </w:pPr>
      <w:r>
        <w:rPr>
          <w:rFonts w:hint="eastAsia"/>
          <w:color w:val="auto"/>
          <w:highlight w:val="none"/>
        </w:rPr>
        <w:t>在变化的环境中，任何城市系统及其居民在预测、准备、响应和吸收冲击，面对压力和挑战时积极适应和转变，同时促进包容性和可持续发展的能力。</w:t>
      </w:r>
    </w:p>
    <w:p w14:paraId="7F5E46CF">
      <w:pPr>
        <w:pStyle w:val="183"/>
        <w:bidi w:val="0"/>
        <w:ind w:left="811" w:leftChars="0" w:hanging="448" w:firstLineChars="0"/>
        <w:rPr>
          <w:color w:val="auto"/>
          <w:highlight w:val="none"/>
        </w:rPr>
      </w:pPr>
      <w:r>
        <w:rPr>
          <w:rFonts w:hint="default"/>
          <w:color w:val="auto"/>
          <w:highlight w:val="none"/>
        </w:rPr>
        <w:t>更具韧性的城市系统的特征在于，能够在短期到中期内持续应对冲扰，同时有能力减轻压力并适应变化和风险，并能抓住机遇。因此，城市韧性不仅取决于城市系统应对冲击的能力，还取决于长期承受压力和挑战的能力。</w:t>
      </w:r>
    </w:p>
    <w:p w14:paraId="5ECF7280">
      <w:pPr>
        <w:pStyle w:val="183"/>
        <w:bidi w:val="0"/>
        <w:ind w:left="811" w:leftChars="0" w:hanging="448" w:firstLineChars="0"/>
        <w:rPr>
          <w:color w:val="auto"/>
          <w:highlight w:val="none"/>
        </w:rPr>
      </w:pPr>
      <w:r>
        <w:rPr>
          <w:rFonts w:hint="default"/>
          <w:color w:val="auto"/>
          <w:highlight w:val="none"/>
        </w:rPr>
        <w:t>城市韧性取决于复杂城市系统各个组成部分的单独和组合的韧性。尽管</w:t>
      </w:r>
      <w:r>
        <w:rPr>
          <w:rFonts w:hint="default"/>
          <w:color w:val="auto"/>
          <w:highlight w:val="none"/>
          <w:lang w:eastAsia="zh-CN"/>
        </w:rPr>
        <w:t>城市内</w:t>
      </w:r>
      <w:r>
        <w:rPr>
          <w:rFonts w:hint="default"/>
          <w:color w:val="auto"/>
          <w:highlight w:val="none"/>
        </w:rPr>
        <w:t>的市区、城镇或社区可能在各自边界内表现出更高的韧性，但城市韧性涵盖了城市群的更广泛的地理范围。城市系统的韧性是通过每个独立的系统组成部分的韧性能力来衡量的，并取决于系统范围内城市群中最弱的韧性。</w:t>
      </w:r>
    </w:p>
    <w:p w14:paraId="576889B7">
      <w:pPr>
        <w:pStyle w:val="183"/>
        <w:bidi w:val="0"/>
        <w:ind w:left="811" w:leftChars="0" w:hanging="448" w:firstLineChars="0"/>
        <w:rPr>
          <w:color w:val="auto"/>
          <w:highlight w:val="none"/>
        </w:rPr>
      </w:pPr>
      <w:r>
        <w:rPr>
          <w:rFonts w:hint="default"/>
          <w:color w:val="auto"/>
          <w:highlight w:val="none"/>
        </w:rPr>
        <w:t>宜通过定性和定量数据来衡量和分析城市系统的韧性，以便在系统遭受冲击、压力和挑战时评估韧性，计划并采取相应的行动。</w:t>
      </w:r>
    </w:p>
    <w:p w14:paraId="60781CED">
      <w:pPr>
        <w:pStyle w:val="59"/>
        <w:ind w:firstLine="420"/>
        <w:rPr>
          <w:color w:val="auto"/>
          <w:highlight w:val="none"/>
        </w:rPr>
      </w:pPr>
      <w:r>
        <w:rPr>
          <w:rFonts w:hint="eastAsia"/>
          <w:color w:val="auto"/>
          <w:highlight w:val="none"/>
        </w:rPr>
        <w:t>[来源：GB/T 44483—2024，3.1.</w:t>
      </w:r>
      <w:r>
        <w:rPr>
          <w:rFonts w:hint="eastAsia"/>
          <w:color w:val="auto"/>
          <w:highlight w:val="none"/>
          <w:lang w:val="en-US" w:eastAsia="zh-CN"/>
        </w:rPr>
        <w:t>281</w:t>
      </w:r>
      <w:r>
        <w:rPr>
          <w:rFonts w:hint="eastAsia"/>
          <w:color w:val="auto"/>
          <w:highlight w:val="none"/>
        </w:rPr>
        <w:t>]</w:t>
      </w:r>
      <w:r>
        <w:rPr>
          <w:color w:val="auto"/>
          <w:highlight w:val="none"/>
        </w:rPr>
        <w:t xml:space="preserve"> </w:t>
      </w:r>
    </w:p>
    <w:p w14:paraId="7AFA9C11">
      <w:pPr>
        <w:pStyle w:val="226"/>
        <w:ind w:left="420" w:hanging="420" w:hangingChars="200"/>
        <w:rPr>
          <w:rFonts w:hint="eastAsia" w:ascii="黑体" w:hAnsi="黑体" w:eastAsia="黑体"/>
          <w:color w:val="auto"/>
          <w:highlight w:val="none"/>
        </w:rPr>
      </w:pPr>
      <w:r>
        <w:rPr>
          <w:rFonts w:ascii="黑体" w:hAnsi="黑体" w:eastAsia="黑体"/>
          <w:color w:val="auto"/>
          <w:highlight w:val="none"/>
        </w:rPr>
        <w:br w:type="textWrapping"/>
      </w:r>
      <w:r>
        <w:rPr>
          <w:rFonts w:hint="eastAsia" w:ascii="黑体" w:hAnsi="黑体" w:eastAsia="黑体"/>
          <w:color w:val="auto"/>
          <w:highlight w:val="none"/>
        </w:rPr>
        <w:t>城市系统 urban system</w:t>
      </w:r>
    </w:p>
    <w:p w14:paraId="7B422E8F">
      <w:pPr>
        <w:pStyle w:val="59"/>
        <w:ind w:firstLine="420"/>
        <w:rPr>
          <w:rFonts w:hint="eastAsia"/>
          <w:color w:val="auto"/>
          <w:highlight w:val="none"/>
        </w:rPr>
      </w:pPr>
      <w:r>
        <w:rPr>
          <w:rFonts w:hint="eastAsia"/>
          <w:color w:val="auto"/>
          <w:highlight w:val="none"/>
        </w:rPr>
        <w:t>人类居住区、系统组件的集成和复杂集合，在物理、功能、组织和空间等维度具有普遍和相互依赖特征，并由经有效治理机制管理的人员、资产及过程组成。</w:t>
      </w:r>
    </w:p>
    <w:p w14:paraId="08DDEBAF">
      <w:pPr>
        <w:pStyle w:val="183"/>
        <w:numPr>
          <w:ilvl w:val="0"/>
          <w:numId w:val="32"/>
        </w:numPr>
        <w:bidi w:val="0"/>
        <w:ind w:left="811" w:leftChars="0" w:hanging="448" w:firstLineChars="0"/>
        <w:rPr>
          <w:rFonts w:hint="eastAsia"/>
          <w:color w:val="auto"/>
          <w:highlight w:val="none"/>
        </w:rPr>
      </w:pPr>
      <w:r>
        <w:rPr>
          <w:rFonts w:hint="eastAsia"/>
          <w:color w:val="auto"/>
          <w:highlight w:val="none"/>
        </w:rPr>
        <w:t>城市系统的组成和要素是动态的，会随时间而变化。</w:t>
      </w:r>
    </w:p>
    <w:p w14:paraId="42C4A8A9">
      <w:pPr>
        <w:pStyle w:val="183"/>
        <w:numPr>
          <w:ilvl w:val="0"/>
          <w:numId w:val="32"/>
        </w:numPr>
        <w:bidi w:val="0"/>
        <w:ind w:left="811" w:leftChars="0" w:hanging="448" w:firstLineChars="0"/>
        <w:rPr>
          <w:rFonts w:hint="eastAsia"/>
          <w:color w:val="auto"/>
          <w:highlight w:val="none"/>
        </w:rPr>
      </w:pPr>
      <w:r>
        <w:rPr>
          <w:rFonts w:hint="eastAsia"/>
          <w:color w:val="auto"/>
          <w:highlight w:val="none"/>
        </w:rPr>
        <w:t>无论规模、文化、区位、经济或政治环境，每个城市区域都具有城市系统的特征。</w:t>
      </w:r>
    </w:p>
    <w:p w14:paraId="589A42BE">
      <w:pPr>
        <w:pStyle w:val="183"/>
        <w:numPr>
          <w:ilvl w:val="0"/>
          <w:numId w:val="32"/>
        </w:numPr>
        <w:bidi w:val="0"/>
        <w:ind w:left="811" w:leftChars="0" w:hanging="448" w:firstLineChars="0"/>
        <w:rPr>
          <w:rFonts w:hint="eastAsia"/>
          <w:color w:val="auto"/>
          <w:highlight w:val="none"/>
        </w:rPr>
      </w:pPr>
      <w:r>
        <w:rPr>
          <w:rFonts w:hint="eastAsia"/>
          <w:color w:val="auto"/>
          <w:highlight w:val="none"/>
        </w:rPr>
        <w:t>城市系统为特征，城市地区确定管理其多个组成部分之间复杂的相互作用和相互依赖性的目标，以实现社会、经济、文化和环境等各方面的功能。</w:t>
      </w:r>
    </w:p>
    <w:p w14:paraId="44AB9171">
      <w:pPr>
        <w:pStyle w:val="59"/>
        <w:ind w:left="0" w:leftChars="0" w:firstLine="0" w:firstLineChars="0"/>
        <w:rPr>
          <w:b/>
          <w:color w:val="auto"/>
          <w:highlight w:val="none"/>
        </w:rPr>
      </w:pPr>
      <w:r>
        <w:rPr>
          <w:rFonts w:hint="eastAsia"/>
          <w:color w:val="auto"/>
          <w:highlight w:val="none"/>
        </w:rPr>
        <w:t>[来源：GB/T 44483—2024，3.1.</w:t>
      </w:r>
      <w:r>
        <w:rPr>
          <w:rFonts w:hint="eastAsia"/>
          <w:color w:val="auto"/>
          <w:highlight w:val="none"/>
          <w:lang w:val="en-US" w:eastAsia="zh-CN"/>
        </w:rPr>
        <w:t>282</w:t>
      </w:r>
      <w:r>
        <w:rPr>
          <w:rFonts w:hint="eastAsia"/>
          <w:color w:val="auto"/>
          <w:highlight w:val="none"/>
        </w:rPr>
        <w:t>]</w:t>
      </w:r>
    </w:p>
    <w:p w14:paraId="04F77645">
      <w:pPr>
        <w:pStyle w:val="226"/>
        <w:ind w:left="420" w:hanging="420" w:hangingChars="200"/>
        <w:rPr>
          <w:rFonts w:hint="eastAsia" w:ascii="黑体" w:hAnsi="黑体" w:eastAsia="黑体"/>
          <w:bCs/>
          <w:color w:val="auto"/>
          <w:highlight w:val="none"/>
        </w:rPr>
      </w:pPr>
      <w:r>
        <w:rPr>
          <w:rFonts w:ascii="黑体" w:hAnsi="黑体" w:eastAsia="黑体"/>
          <w:color w:val="auto"/>
          <w:highlight w:val="none"/>
        </w:rPr>
        <w:br w:type="textWrapping"/>
      </w:r>
      <w:r>
        <w:rPr>
          <w:rFonts w:ascii="黑体" w:hAnsi="黑体" w:eastAsia="黑体"/>
          <w:color w:val="auto"/>
          <w:highlight w:val="none"/>
        </w:rPr>
        <w:t>弱势群体</w:t>
      </w:r>
      <w:r>
        <w:rPr>
          <w:rFonts w:hint="eastAsia" w:ascii="黑体" w:hAnsi="黑体" w:eastAsia="黑体"/>
          <w:color w:val="auto"/>
          <w:highlight w:val="none"/>
          <w:lang w:val="en-US" w:eastAsia="zh-CN"/>
        </w:rPr>
        <w:t xml:space="preserve"> vulnerable persons</w:t>
      </w:r>
    </w:p>
    <w:p w14:paraId="46D83621">
      <w:pPr>
        <w:pStyle w:val="59"/>
        <w:ind w:firstLine="420"/>
        <w:rPr>
          <w:rFonts w:hint="eastAsia"/>
          <w:color w:val="auto"/>
          <w:highlight w:val="none"/>
        </w:rPr>
      </w:pPr>
      <w:r>
        <w:rPr>
          <w:rFonts w:hint="eastAsia"/>
          <w:color w:val="auto"/>
          <w:highlight w:val="none"/>
        </w:rPr>
        <w:t>较难预测、应对突发事件或难以从突发事件的影响中恢复的个体的总称。</w:t>
      </w:r>
    </w:p>
    <w:p w14:paraId="58FBFED0">
      <w:pPr>
        <w:pStyle w:val="182"/>
        <w:rPr>
          <w:rFonts w:hint="eastAsia"/>
          <w:color w:val="auto"/>
          <w:highlight w:val="none"/>
        </w:rPr>
      </w:pPr>
      <w:r>
        <w:rPr>
          <w:rFonts w:hint="eastAsia"/>
          <w:color w:val="auto"/>
          <w:highlight w:val="none"/>
        </w:rPr>
        <w:t>在本文件中，个体被定义为弱势者的依据不是因为其天生易受伤害，而是根据突发事件发生时他们的实际处境决定的</w:t>
      </w:r>
      <w:r>
        <w:rPr>
          <w:rFonts w:hint="eastAsia"/>
          <w:color w:val="auto"/>
          <w:highlight w:val="none"/>
          <w:lang w:eastAsia="zh-CN"/>
        </w:rPr>
        <w:t>。</w:t>
      </w:r>
    </w:p>
    <w:p w14:paraId="7EA58257">
      <w:pPr>
        <w:pStyle w:val="59"/>
        <w:ind w:firstLine="420"/>
        <w:rPr>
          <w:color w:val="auto"/>
          <w:highlight w:val="none"/>
        </w:rPr>
      </w:pPr>
      <w:r>
        <w:rPr>
          <w:rFonts w:hint="eastAsia"/>
          <w:color w:val="auto"/>
          <w:highlight w:val="none"/>
        </w:rPr>
        <w:t>[来源：</w:t>
      </w:r>
      <w:r>
        <w:rPr>
          <w:rFonts w:hint="eastAsia"/>
          <w:color w:val="auto"/>
          <w:highlight w:val="none"/>
          <w:lang w:val="en-US" w:eastAsia="zh-CN"/>
        </w:rPr>
        <w:t>GB/T 41670</w:t>
      </w:r>
      <w:r>
        <w:rPr>
          <w:color w:val="auto"/>
          <w:highlight w:val="none"/>
        </w:rPr>
        <w:t>:202</w:t>
      </w:r>
      <w:r>
        <w:rPr>
          <w:rFonts w:hint="eastAsia"/>
          <w:color w:val="auto"/>
          <w:highlight w:val="none"/>
          <w:lang w:val="en-US" w:eastAsia="zh-CN"/>
        </w:rPr>
        <w:t>2</w:t>
      </w:r>
      <w:r>
        <w:rPr>
          <w:color w:val="auto"/>
          <w:highlight w:val="none"/>
        </w:rPr>
        <w:t>，3.</w:t>
      </w:r>
      <w:r>
        <w:rPr>
          <w:rFonts w:hint="eastAsia"/>
          <w:color w:val="auto"/>
          <w:highlight w:val="none"/>
          <w:lang w:val="en-US" w:eastAsia="zh-CN"/>
        </w:rPr>
        <w:t>2</w:t>
      </w:r>
      <w:r>
        <w:rPr>
          <w:rFonts w:hint="eastAsia"/>
          <w:color w:val="auto"/>
          <w:highlight w:val="none"/>
        </w:rPr>
        <w:t>]</w:t>
      </w:r>
      <w:r>
        <w:rPr>
          <w:color w:val="auto"/>
          <w:highlight w:val="none"/>
        </w:rPr>
        <w:t xml:space="preserve"> </w:t>
      </w:r>
    </w:p>
    <w:p w14:paraId="391483E2">
      <w:pPr>
        <w:pStyle w:val="107"/>
        <w:shd w:val="clear"/>
        <w:spacing w:before="312" w:after="312"/>
        <w:rPr>
          <w:color w:val="auto"/>
          <w:highlight w:val="none"/>
        </w:rPr>
      </w:pPr>
      <w:bookmarkStart w:id="49" w:name="_Toc24897"/>
      <w:bookmarkEnd w:id="49"/>
      <w:bookmarkStart w:id="50" w:name="_Toc10957"/>
      <w:bookmarkEnd w:id="50"/>
      <w:bookmarkStart w:id="51" w:name="_Toc17834"/>
      <w:bookmarkEnd w:id="51"/>
      <w:bookmarkStart w:id="52" w:name="_Toc13823"/>
      <w:bookmarkStart w:id="53" w:name="_Toc20492"/>
      <w:bookmarkStart w:id="54" w:name="_Toc10057"/>
      <w:bookmarkStart w:id="55" w:name="_Toc13230"/>
      <w:bookmarkStart w:id="56" w:name="_Toc206170524"/>
      <w:r>
        <w:rPr>
          <w:color w:val="auto"/>
          <w:highlight w:val="none"/>
        </w:rPr>
        <w:t>城市韧性</w:t>
      </w:r>
      <w:r>
        <w:rPr>
          <w:rFonts w:hint="eastAsia"/>
          <w:color w:val="auto"/>
          <w:highlight w:val="none"/>
          <w:lang w:val="en-US" w:eastAsia="zh-CN"/>
        </w:rPr>
        <w:t>建设</w:t>
      </w:r>
      <w:r>
        <w:rPr>
          <w:color w:val="auto"/>
          <w:highlight w:val="none"/>
        </w:rPr>
        <w:t>原则</w:t>
      </w:r>
      <w:bookmarkEnd w:id="52"/>
      <w:bookmarkEnd w:id="53"/>
    </w:p>
    <w:p w14:paraId="18B9B3F6">
      <w:pPr>
        <w:pStyle w:val="59"/>
        <w:shd w:val="clear"/>
        <w:ind w:firstLine="420"/>
        <w:rPr>
          <w:color w:val="auto"/>
          <w:highlight w:val="none"/>
        </w:rPr>
      </w:pPr>
      <w:r>
        <w:rPr>
          <w:color w:val="auto"/>
          <w:highlight w:val="none"/>
        </w:rPr>
        <w:t>为提升城市韧性，</w:t>
      </w:r>
      <w:r>
        <w:rPr>
          <w:rFonts w:hint="eastAsia"/>
          <w:color w:val="auto"/>
          <w:highlight w:val="none"/>
        </w:rPr>
        <w:t>城市韧性建设领导小组</w:t>
      </w:r>
      <w:r>
        <w:rPr>
          <w:color w:val="auto"/>
          <w:highlight w:val="none"/>
        </w:rPr>
        <w:t>与利益相关方</w:t>
      </w:r>
      <w:r>
        <w:rPr>
          <w:rFonts w:hint="eastAsia"/>
          <w:color w:val="auto"/>
          <w:highlight w:val="none"/>
          <w:lang w:eastAsia="zh-CN"/>
        </w:rPr>
        <w:t>宜遵循</w:t>
      </w:r>
      <w:r>
        <w:rPr>
          <w:color w:val="auto"/>
          <w:highlight w:val="none"/>
        </w:rPr>
        <w:t>表1中</w:t>
      </w:r>
      <w:r>
        <w:rPr>
          <w:rFonts w:hint="eastAsia"/>
          <w:color w:val="auto"/>
          <w:highlight w:val="none"/>
          <w:lang w:val="en-US" w:eastAsia="zh-CN"/>
        </w:rPr>
        <w:t>所列的原则，这些原则是构建</w:t>
      </w:r>
      <w:r>
        <w:rPr>
          <w:color w:val="auto"/>
          <w:highlight w:val="none"/>
        </w:rPr>
        <w:t>韧性城市系统的</w:t>
      </w:r>
      <w:r>
        <w:rPr>
          <w:rFonts w:hint="eastAsia"/>
          <w:color w:val="auto"/>
          <w:highlight w:val="none"/>
          <w:lang w:val="en-US" w:eastAsia="zh-CN"/>
        </w:rPr>
        <w:t>基础</w:t>
      </w:r>
      <w:r>
        <w:rPr>
          <w:color w:val="auto"/>
          <w:highlight w:val="none"/>
        </w:rPr>
        <w:t>。</w:t>
      </w:r>
      <w:r>
        <w:rPr>
          <w:rFonts w:hint="eastAsia"/>
          <w:color w:val="auto"/>
          <w:highlight w:val="none"/>
        </w:rPr>
        <w:t>城市韧性建设领导小组是委员会、管理机构，或在城市韧性建设中拥有最终决策权的机构</w:t>
      </w:r>
      <w:r>
        <w:rPr>
          <w:color w:val="auto"/>
          <w:highlight w:val="none"/>
        </w:rPr>
        <w:t>。这些原则是所有韧性</w:t>
      </w:r>
      <w:r>
        <w:rPr>
          <w:rFonts w:hint="eastAsia"/>
          <w:color w:val="auto"/>
          <w:highlight w:val="none"/>
          <w:lang w:val="en-US" w:eastAsia="zh-CN"/>
        </w:rPr>
        <w:t>措施</w:t>
      </w:r>
      <w:r>
        <w:rPr>
          <w:color w:val="auto"/>
          <w:highlight w:val="none"/>
        </w:rPr>
        <w:t>、</w:t>
      </w:r>
      <w:r>
        <w:rPr>
          <w:rFonts w:hint="eastAsia"/>
          <w:color w:val="auto"/>
          <w:highlight w:val="none"/>
          <w:lang w:val="en-US" w:eastAsia="zh-CN"/>
        </w:rPr>
        <w:t>策略</w:t>
      </w:r>
      <w:r>
        <w:rPr>
          <w:color w:val="auto"/>
          <w:highlight w:val="none"/>
        </w:rPr>
        <w:t>和成果的核心内容。</w:t>
      </w:r>
    </w:p>
    <w:p w14:paraId="13BD4223">
      <w:pPr>
        <w:pStyle w:val="115"/>
        <w:shd w:val="clear"/>
        <w:spacing w:before="156" w:after="156"/>
        <w:rPr>
          <w:color w:val="auto"/>
          <w:highlight w:val="none"/>
        </w:rPr>
      </w:pPr>
      <w:bookmarkStart w:id="57" w:name="11"/>
      <w:bookmarkEnd w:id="57"/>
      <w:r>
        <w:rPr>
          <w:color w:val="auto"/>
          <w:highlight w:val="none"/>
        </w:rPr>
        <w:br w:type="page"/>
      </w:r>
      <w:r>
        <w:rPr>
          <w:rFonts w:hint="eastAsia"/>
          <w:color w:val="auto"/>
          <w:highlight w:val="none"/>
        </w:rPr>
        <w:t xml:space="preserve"> </w:t>
      </w:r>
      <w:r>
        <w:rPr>
          <w:rFonts w:hint="eastAsia"/>
          <w:color w:val="auto"/>
          <w:highlight w:val="none"/>
          <w:lang w:val="en-US" w:eastAsia="zh-CN"/>
        </w:rPr>
        <w:t>城市韧性建设</w:t>
      </w:r>
      <w:r>
        <w:rPr>
          <w:color w:val="auto"/>
          <w:highlight w:val="none"/>
        </w:rPr>
        <w:t>原则</w:t>
      </w:r>
      <w:r>
        <w:rPr>
          <w:rFonts w:hint="eastAsia"/>
          <w:color w:val="auto"/>
          <w:highlight w:val="none"/>
          <w:lang w:val="en-US" w:eastAsia="zh-CN"/>
        </w:rPr>
        <w:t>及说明</w:t>
      </w:r>
    </w:p>
    <w:tbl>
      <w:tblPr>
        <w:tblStyle w:val="239"/>
        <w:tblW w:w="5006" w:type="pct"/>
        <w:tblInd w:w="8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28" w:type="dxa"/>
          <w:left w:w="100" w:type="dxa"/>
          <w:bottom w:w="28" w:type="dxa"/>
          <w:right w:w="100" w:type="dxa"/>
        </w:tblCellMar>
      </w:tblPr>
      <w:tblGrid>
        <w:gridCol w:w="1329"/>
        <w:gridCol w:w="8016"/>
      </w:tblGrid>
      <w:tr w14:paraId="46E2AF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100" w:type="dxa"/>
            <w:bottom w:w="28" w:type="dxa"/>
            <w:right w:w="100" w:type="dxa"/>
          </w:tblCellMar>
        </w:tblPrEx>
        <w:trPr>
          <w:trHeight w:val="467" w:hRule="atLeast"/>
        </w:trPr>
        <w:tc>
          <w:tcPr>
            <w:tcW w:w="711" w:type="pct"/>
            <w:tcBorders>
              <w:bottom w:val="single" w:color="auto" w:sz="8" w:space="0"/>
            </w:tcBorders>
            <w:vAlign w:val="center"/>
          </w:tcPr>
          <w:p w14:paraId="78A91B0E">
            <w:pPr>
              <w:pStyle w:val="59"/>
              <w:shd w:val="clear"/>
              <w:spacing w:line="240" w:lineRule="auto"/>
              <w:ind w:firstLine="0" w:firstLineChars="0"/>
              <w:jc w:val="center"/>
              <w:rPr>
                <w:rFonts w:eastAsia="Times New Roman"/>
                <w:b/>
                <w:bCs/>
                <w:color w:val="auto"/>
                <w:sz w:val="18"/>
                <w:highlight w:val="none"/>
              </w:rPr>
            </w:pPr>
            <w:r>
              <w:rPr>
                <w:rFonts w:eastAsia="Times New Roman"/>
                <w:b/>
                <w:color w:val="auto"/>
                <w:sz w:val="18"/>
                <w:highlight w:val="none"/>
              </w:rPr>
              <w:t>原则</w:t>
            </w:r>
          </w:p>
        </w:tc>
        <w:tc>
          <w:tcPr>
            <w:tcW w:w="4289" w:type="pct"/>
            <w:tcBorders>
              <w:bottom w:val="single" w:color="auto" w:sz="8" w:space="0"/>
            </w:tcBorders>
            <w:vAlign w:val="center"/>
          </w:tcPr>
          <w:p w14:paraId="1825B949">
            <w:pPr>
              <w:pStyle w:val="59"/>
              <w:shd w:val="clear"/>
              <w:spacing w:line="240" w:lineRule="auto"/>
              <w:ind w:firstLine="0" w:firstLineChars="0"/>
              <w:jc w:val="center"/>
              <w:rPr>
                <w:rFonts w:eastAsia="Times New Roman"/>
                <w:b/>
                <w:bCs/>
                <w:color w:val="auto"/>
                <w:sz w:val="18"/>
                <w:highlight w:val="none"/>
              </w:rPr>
            </w:pPr>
            <w:r>
              <w:rPr>
                <w:rFonts w:hint="eastAsia" w:hAnsi="宋体" w:eastAsia="Times New Roman" w:cs="宋体"/>
                <w:b/>
                <w:color w:val="auto"/>
                <w:sz w:val="18"/>
                <w:highlight w:val="none"/>
              </w:rPr>
              <w:t>说明</w:t>
            </w:r>
          </w:p>
        </w:tc>
      </w:tr>
      <w:tr w14:paraId="273C8C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100" w:type="dxa"/>
            <w:bottom w:w="28" w:type="dxa"/>
            <w:right w:w="100" w:type="dxa"/>
          </w:tblCellMar>
        </w:tblPrEx>
        <w:trPr>
          <w:trHeight w:val="976" w:hRule="atLeast"/>
        </w:trPr>
        <w:tc>
          <w:tcPr>
            <w:tcW w:w="711" w:type="pct"/>
            <w:tcBorders>
              <w:top w:val="single" w:color="auto" w:sz="8" w:space="0"/>
            </w:tcBorders>
            <w:vAlign w:val="center"/>
          </w:tcPr>
          <w:p w14:paraId="73C8CF47">
            <w:pPr>
              <w:pStyle w:val="59"/>
              <w:shd w:val="clear"/>
              <w:spacing w:line="240" w:lineRule="auto"/>
              <w:ind w:firstLine="0" w:firstLineChars="0"/>
              <w:jc w:val="center"/>
              <w:rPr>
                <w:rFonts w:eastAsia="Times New Roman"/>
                <w:color w:val="auto"/>
                <w:sz w:val="18"/>
                <w:highlight w:val="none"/>
              </w:rPr>
            </w:pPr>
            <w:r>
              <w:rPr>
                <w:rFonts w:hint="eastAsia" w:hAnsi="宋体" w:cs="宋体"/>
                <w:color w:val="auto"/>
                <w:sz w:val="18"/>
                <w:highlight w:val="none"/>
                <w:lang w:val="en-US" w:eastAsia="zh-CN"/>
              </w:rPr>
              <w:t>责任明确</w:t>
            </w:r>
          </w:p>
        </w:tc>
        <w:tc>
          <w:tcPr>
            <w:tcW w:w="4289" w:type="pct"/>
            <w:tcBorders>
              <w:top w:val="single" w:color="auto" w:sz="8" w:space="0"/>
            </w:tcBorders>
            <w:vAlign w:val="center"/>
          </w:tcPr>
          <w:p w14:paraId="07AE9873">
            <w:pPr>
              <w:pStyle w:val="59"/>
              <w:shd w:val="clear"/>
              <w:spacing w:line="240" w:lineRule="auto"/>
              <w:ind w:firstLine="0" w:firstLineChars="0"/>
              <w:jc w:val="left"/>
              <w:rPr>
                <w:rFonts w:eastAsia="Times New Roman"/>
                <w:color w:val="auto"/>
                <w:sz w:val="18"/>
                <w:highlight w:val="none"/>
              </w:rPr>
            </w:pPr>
            <w:r>
              <w:rPr>
                <w:rFonts w:hint="eastAsia" w:hAnsi="宋体" w:cs="宋体"/>
                <w:color w:val="auto"/>
                <w:sz w:val="18"/>
                <w:highlight w:val="none"/>
                <w:lang w:val="en-US" w:eastAsia="zh-CN"/>
              </w:rPr>
              <w:t>坚持</w:t>
            </w:r>
            <w:r>
              <w:rPr>
                <w:rFonts w:hint="eastAsia" w:hAnsi="宋体" w:eastAsia="Times New Roman" w:cs="宋体"/>
                <w:color w:val="auto"/>
                <w:sz w:val="18"/>
                <w:highlight w:val="none"/>
              </w:rPr>
              <w:t>有效治理方式，明确职责分工</w:t>
            </w:r>
            <w:r>
              <w:rPr>
                <w:rFonts w:hint="eastAsia" w:hAnsi="宋体" w:cs="宋体"/>
                <w:color w:val="auto"/>
                <w:sz w:val="18"/>
                <w:highlight w:val="none"/>
                <w:lang w:val="en-US" w:eastAsia="zh-CN"/>
              </w:rPr>
              <w:t>与</w:t>
            </w:r>
            <w:r>
              <w:rPr>
                <w:rFonts w:hint="eastAsia" w:hAnsi="宋体" w:eastAsia="Times New Roman" w:cs="宋体"/>
                <w:color w:val="auto"/>
                <w:sz w:val="18"/>
                <w:highlight w:val="none"/>
              </w:rPr>
              <w:t>问责机制，凝聚统一</w:t>
            </w:r>
            <w:r>
              <w:rPr>
                <w:rFonts w:hint="eastAsia" w:hAnsi="宋体" w:cs="宋体"/>
                <w:color w:val="auto"/>
                <w:sz w:val="18"/>
                <w:highlight w:val="none"/>
                <w:lang w:val="en-US" w:eastAsia="zh-CN"/>
              </w:rPr>
              <w:t>发展</w:t>
            </w:r>
            <w:r>
              <w:rPr>
                <w:rFonts w:hint="eastAsia" w:hAnsi="宋体" w:eastAsia="Times New Roman" w:cs="宋体"/>
                <w:color w:val="auto"/>
                <w:sz w:val="18"/>
                <w:highlight w:val="none"/>
              </w:rPr>
              <w:t>愿景并</w:t>
            </w:r>
            <w:r>
              <w:rPr>
                <w:rFonts w:hint="eastAsia" w:hAnsi="宋体" w:cs="宋体"/>
                <w:color w:val="auto"/>
                <w:sz w:val="18"/>
                <w:highlight w:val="none"/>
                <w:lang w:val="en-US" w:eastAsia="zh-CN"/>
              </w:rPr>
              <w:t>保障治理透明</w:t>
            </w:r>
            <w:r>
              <w:rPr>
                <w:rFonts w:hint="eastAsia" w:hAnsi="宋体" w:eastAsia="Times New Roman" w:cs="宋体"/>
                <w:color w:val="auto"/>
                <w:sz w:val="18"/>
                <w:highlight w:val="none"/>
              </w:rPr>
              <w:t>；</w:t>
            </w:r>
            <w:r>
              <w:rPr>
                <w:rFonts w:hint="eastAsia" w:hAnsi="宋体" w:cs="宋体"/>
                <w:color w:val="auto"/>
                <w:sz w:val="18"/>
                <w:highlight w:val="none"/>
                <w:lang w:val="en-US" w:eastAsia="zh-CN"/>
              </w:rPr>
              <w:t>注重形成超越</w:t>
            </w:r>
            <w:r>
              <w:rPr>
                <w:rFonts w:hint="eastAsia" w:hAnsi="宋体" w:eastAsia="Times New Roman" w:cs="宋体"/>
                <w:color w:val="auto"/>
                <w:sz w:val="18"/>
                <w:highlight w:val="none"/>
              </w:rPr>
              <w:t>短期决策周期（如年度预算</w:t>
            </w:r>
            <w:r>
              <w:rPr>
                <w:rFonts w:hint="eastAsia" w:hAnsi="宋体" w:cs="宋体"/>
                <w:color w:val="auto"/>
                <w:sz w:val="18"/>
                <w:highlight w:val="none"/>
                <w:lang w:eastAsia="zh-CN"/>
              </w:rPr>
              <w:t>、</w:t>
            </w:r>
            <w:r>
              <w:rPr>
                <w:rFonts w:hint="eastAsia" w:hAnsi="宋体" w:cs="宋体"/>
                <w:color w:val="auto"/>
                <w:sz w:val="18"/>
                <w:highlight w:val="none"/>
                <w:lang w:val="en-US" w:eastAsia="zh-CN"/>
              </w:rPr>
              <w:t>政府规划以及短期投资计划和实施方案</w:t>
            </w:r>
            <w:r>
              <w:rPr>
                <w:rFonts w:hint="eastAsia" w:hAnsi="宋体" w:eastAsia="Times New Roman" w:cs="宋体"/>
                <w:color w:val="auto"/>
                <w:sz w:val="18"/>
                <w:highlight w:val="none"/>
              </w:rPr>
              <w:t>）的长期城市韧性</w:t>
            </w:r>
            <w:r>
              <w:rPr>
                <w:rFonts w:hint="eastAsia" w:hAnsi="宋体" w:cs="宋体"/>
                <w:color w:val="auto"/>
                <w:sz w:val="18"/>
                <w:highlight w:val="none"/>
                <w:lang w:val="en-US" w:eastAsia="zh-CN"/>
              </w:rPr>
              <w:t>建设成效</w:t>
            </w:r>
            <w:r>
              <w:rPr>
                <w:rFonts w:hint="eastAsia" w:hAnsi="宋体" w:eastAsia="Times New Roman" w:cs="宋体"/>
                <w:color w:val="auto"/>
                <w:sz w:val="18"/>
                <w:highlight w:val="none"/>
              </w:rPr>
              <w:t>，避免治理碎片化，确保建立长期</w:t>
            </w:r>
            <w:r>
              <w:rPr>
                <w:rFonts w:hint="eastAsia" w:hAnsi="宋体" w:cs="宋体"/>
                <w:color w:val="auto"/>
                <w:sz w:val="18"/>
                <w:highlight w:val="none"/>
                <w:lang w:eastAsia="zh-CN"/>
              </w:rPr>
              <w:t>、可</w:t>
            </w:r>
            <w:r>
              <w:rPr>
                <w:rFonts w:hint="eastAsia" w:hAnsi="宋体" w:eastAsia="Times New Roman" w:cs="宋体"/>
                <w:color w:val="auto"/>
                <w:sz w:val="18"/>
                <w:highlight w:val="none"/>
              </w:rPr>
              <w:t>持续的</w:t>
            </w:r>
            <w:r>
              <w:rPr>
                <w:rFonts w:hint="eastAsia" w:hAnsi="宋体" w:cs="宋体"/>
                <w:color w:val="auto"/>
                <w:sz w:val="18"/>
                <w:highlight w:val="none"/>
                <w:lang w:val="en-US" w:eastAsia="zh-CN"/>
              </w:rPr>
              <w:t>资金保障机制，</w:t>
            </w:r>
            <w:r>
              <w:rPr>
                <w:rFonts w:hint="eastAsia" w:hAnsi="宋体" w:eastAsia="Times New Roman" w:cs="宋体"/>
                <w:color w:val="auto"/>
                <w:sz w:val="18"/>
                <w:highlight w:val="none"/>
              </w:rPr>
              <w:t>为城市韧性建设项目</w:t>
            </w:r>
            <w:r>
              <w:rPr>
                <w:rFonts w:hint="eastAsia" w:hAnsi="宋体" w:cs="宋体"/>
                <w:color w:val="auto"/>
                <w:sz w:val="18"/>
                <w:highlight w:val="none"/>
                <w:lang w:val="en-US" w:eastAsia="zh-CN"/>
              </w:rPr>
              <w:t>提供稳定、持续的支持</w:t>
            </w:r>
            <w:r>
              <w:rPr>
                <w:rFonts w:hint="eastAsia" w:hAnsi="宋体" w:eastAsia="Times New Roman" w:cs="宋体"/>
                <w:color w:val="auto"/>
                <w:sz w:val="18"/>
                <w:highlight w:val="none"/>
              </w:rPr>
              <w:t>。</w:t>
            </w:r>
          </w:p>
        </w:tc>
      </w:tr>
      <w:tr w14:paraId="099904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100" w:type="dxa"/>
            <w:bottom w:w="28" w:type="dxa"/>
            <w:right w:w="100" w:type="dxa"/>
          </w:tblCellMar>
        </w:tblPrEx>
        <w:tc>
          <w:tcPr>
            <w:tcW w:w="711" w:type="pct"/>
            <w:vAlign w:val="center"/>
          </w:tcPr>
          <w:p w14:paraId="26DFD49B">
            <w:pPr>
              <w:pStyle w:val="59"/>
              <w:shd w:val="clear"/>
              <w:spacing w:line="240" w:lineRule="auto"/>
              <w:ind w:firstLine="0" w:firstLineChars="0"/>
              <w:jc w:val="center"/>
              <w:rPr>
                <w:rFonts w:eastAsia="Times New Roman"/>
                <w:color w:val="auto"/>
                <w:sz w:val="18"/>
                <w:highlight w:val="none"/>
              </w:rPr>
            </w:pPr>
            <w:r>
              <w:rPr>
                <w:rFonts w:hint="eastAsia" w:hAnsi="宋体" w:cs="宋体"/>
                <w:color w:val="auto"/>
                <w:sz w:val="18"/>
                <w:highlight w:val="none"/>
                <w:lang w:val="en-US" w:eastAsia="zh-CN"/>
              </w:rPr>
              <w:t>灵活适应</w:t>
            </w:r>
          </w:p>
        </w:tc>
        <w:tc>
          <w:tcPr>
            <w:tcW w:w="4289" w:type="pct"/>
            <w:vAlign w:val="center"/>
          </w:tcPr>
          <w:p w14:paraId="24FE9856">
            <w:pPr>
              <w:pStyle w:val="59"/>
              <w:shd w:val="clear"/>
              <w:spacing w:line="240" w:lineRule="auto"/>
              <w:ind w:firstLine="0" w:firstLineChars="0"/>
              <w:jc w:val="left"/>
              <w:rPr>
                <w:rFonts w:eastAsia="Times New Roman"/>
                <w:color w:val="auto"/>
                <w:sz w:val="18"/>
                <w:highlight w:val="none"/>
              </w:rPr>
            </w:pPr>
            <w:r>
              <w:rPr>
                <w:rFonts w:hint="eastAsia" w:hAnsi="宋体" w:eastAsia="Times New Roman" w:cs="宋体"/>
                <w:color w:val="auto"/>
                <w:sz w:val="18"/>
                <w:highlight w:val="none"/>
                <w:lang w:val="en-US" w:eastAsia="zh-CN"/>
              </w:rPr>
              <w:t>培养</w:t>
            </w:r>
            <w:r>
              <w:rPr>
                <w:rFonts w:hint="eastAsia" w:hAnsi="宋体" w:eastAsia="Times New Roman" w:cs="宋体"/>
                <w:color w:val="auto"/>
                <w:sz w:val="18"/>
                <w:highlight w:val="none"/>
              </w:rPr>
              <w:t>灵活</w:t>
            </w:r>
            <w:r>
              <w:rPr>
                <w:rFonts w:hint="eastAsia" w:hAnsi="宋体" w:cs="宋体"/>
                <w:color w:val="auto"/>
                <w:sz w:val="18"/>
                <w:highlight w:val="none"/>
                <w:lang w:val="en-US" w:eastAsia="zh-CN"/>
              </w:rPr>
              <w:t>适应能力与应变能力</w:t>
            </w:r>
            <w:r>
              <w:rPr>
                <w:rFonts w:hint="eastAsia" w:hAnsi="宋体" w:eastAsia="Times New Roman" w:cs="宋体"/>
                <w:color w:val="auto"/>
                <w:sz w:val="18"/>
                <w:highlight w:val="none"/>
              </w:rPr>
              <w:t>，</w:t>
            </w:r>
            <w:r>
              <w:rPr>
                <w:rFonts w:hint="eastAsia" w:hAnsi="宋体" w:cs="宋体"/>
                <w:color w:val="auto"/>
                <w:sz w:val="18"/>
                <w:highlight w:val="none"/>
                <w:lang w:val="en-US" w:eastAsia="zh-CN"/>
              </w:rPr>
              <w:t>构建</w:t>
            </w:r>
            <w:r>
              <w:rPr>
                <w:rFonts w:hint="eastAsia" w:hAnsi="宋体" w:eastAsia="Times New Roman" w:cs="宋体"/>
                <w:color w:val="auto"/>
                <w:sz w:val="18"/>
                <w:highlight w:val="none"/>
              </w:rPr>
              <w:t>能在变化环境中快速</w:t>
            </w:r>
            <w:r>
              <w:rPr>
                <w:rFonts w:hint="eastAsia" w:hAnsi="宋体" w:eastAsia="Times New Roman" w:cs="宋体"/>
                <w:color w:val="auto"/>
                <w:sz w:val="18"/>
                <w:highlight w:val="none"/>
                <w:lang w:val="en-US" w:eastAsia="zh-CN"/>
              </w:rPr>
              <w:t>演进</w:t>
            </w:r>
            <w:r>
              <w:rPr>
                <w:rFonts w:hint="eastAsia" w:hAnsi="宋体" w:eastAsia="Times New Roman" w:cs="宋体"/>
                <w:color w:val="auto"/>
                <w:sz w:val="18"/>
                <w:highlight w:val="none"/>
              </w:rPr>
              <w:t>与</w:t>
            </w:r>
            <w:r>
              <w:rPr>
                <w:rFonts w:hint="eastAsia" w:hAnsi="宋体" w:cs="宋体"/>
                <w:color w:val="auto"/>
                <w:sz w:val="18"/>
                <w:highlight w:val="none"/>
                <w:lang w:val="en-US" w:eastAsia="zh-CN"/>
              </w:rPr>
              <w:t>灵活</w:t>
            </w:r>
            <w:r>
              <w:rPr>
                <w:rFonts w:hint="eastAsia" w:hAnsi="宋体" w:eastAsia="Times New Roman" w:cs="宋体"/>
                <w:color w:val="auto"/>
                <w:sz w:val="18"/>
                <w:highlight w:val="none"/>
              </w:rPr>
              <w:t>调整的城市系统</w:t>
            </w:r>
            <w:r>
              <w:rPr>
                <w:rFonts w:hint="eastAsia"/>
                <w:color w:val="auto"/>
                <w:sz w:val="18"/>
                <w:highlight w:val="none"/>
                <w:lang w:eastAsia="zh-CN"/>
              </w:rPr>
              <w:t>，</w:t>
            </w:r>
            <w:r>
              <w:rPr>
                <w:rFonts w:hint="eastAsia" w:hAnsi="宋体" w:eastAsia="Times New Roman" w:cs="宋体"/>
                <w:color w:val="auto"/>
                <w:sz w:val="18"/>
                <w:highlight w:val="none"/>
              </w:rPr>
              <w:t>以</w:t>
            </w:r>
            <w:r>
              <w:rPr>
                <w:rFonts w:hint="eastAsia" w:hAnsi="宋体" w:cs="宋体"/>
                <w:color w:val="auto"/>
                <w:sz w:val="18"/>
                <w:highlight w:val="none"/>
                <w:lang w:val="en-US" w:eastAsia="zh-CN"/>
              </w:rPr>
              <w:t>有效</w:t>
            </w:r>
            <w:r>
              <w:rPr>
                <w:rFonts w:hint="eastAsia" w:hAnsi="宋体" w:eastAsia="Times New Roman" w:cs="宋体"/>
                <w:color w:val="auto"/>
                <w:sz w:val="18"/>
                <w:highlight w:val="none"/>
              </w:rPr>
              <w:t>应对风险</w:t>
            </w:r>
            <w:r>
              <w:rPr>
                <w:rFonts w:hint="eastAsia" w:hAnsi="宋体" w:cs="宋体"/>
                <w:color w:val="auto"/>
                <w:sz w:val="18"/>
                <w:highlight w:val="none"/>
                <w:lang w:val="en-US" w:eastAsia="zh-CN"/>
              </w:rPr>
              <w:t>并</w:t>
            </w:r>
            <w:r>
              <w:rPr>
                <w:rFonts w:hint="eastAsia" w:hAnsi="宋体" w:eastAsia="Times New Roman" w:cs="宋体"/>
                <w:color w:val="auto"/>
                <w:sz w:val="18"/>
                <w:highlight w:val="none"/>
              </w:rPr>
              <w:t>把握</w:t>
            </w:r>
            <w:r>
              <w:rPr>
                <w:rFonts w:hint="eastAsia" w:hAnsi="宋体" w:cs="宋体"/>
                <w:color w:val="auto"/>
                <w:sz w:val="18"/>
                <w:highlight w:val="none"/>
                <w:lang w:val="en-US" w:eastAsia="zh-CN"/>
              </w:rPr>
              <w:t>发展</w:t>
            </w:r>
            <w:r>
              <w:rPr>
                <w:rFonts w:hint="eastAsia" w:hAnsi="宋体" w:eastAsia="Times New Roman" w:cs="宋体"/>
                <w:color w:val="auto"/>
                <w:sz w:val="18"/>
                <w:highlight w:val="none"/>
              </w:rPr>
              <w:t>机遇。这种适应</w:t>
            </w:r>
            <w:r>
              <w:rPr>
                <w:rFonts w:hint="eastAsia" w:hAnsi="宋体" w:cs="宋体"/>
                <w:color w:val="auto"/>
                <w:sz w:val="18"/>
                <w:highlight w:val="none"/>
                <w:lang w:val="en-US" w:eastAsia="zh-CN"/>
              </w:rPr>
              <w:t>能力强调主动</w:t>
            </w:r>
            <w:r>
              <w:rPr>
                <w:rFonts w:hint="eastAsia" w:hAnsi="宋体" w:eastAsia="Times New Roman" w:cs="宋体"/>
                <w:color w:val="auto"/>
                <w:sz w:val="18"/>
                <w:highlight w:val="none"/>
              </w:rPr>
              <w:t>接纳不断增长的不确定性与变化，能将现有资源</w:t>
            </w:r>
            <w:r>
              <w:rPr>
                <w:rFonts w:hint="eastAsia" w:hAnsi="宋体" w:cs="宋体"/>
                <w:color w:val="auto"/>
                <w:sz w:val="18"/>
                <w:highlight w:val="none"/>
                <w:lang w:val="en-US" w:eastAsia="zh-CN"/>
              </w:rPr>
              <w:t>灵活用于新的目标和场景</w:t>
            </w:r>
            <w:r>
              <w:rPr>
                <w:rFonts w:hint="eastAsia" w:hAnsi="宋体" w:eastAsia="Times New Roman" w:cs="宋体"/>
                <w:color w:val="auto"/>
                <w:sz w:val="18"/>
                <w:highlight w:val="none"/>
              </w:rPr>
              <w:t>。在</w:t>
            </w:r>
            <w:r>
              <w:rPr>
                <w:rFonts w:hint="eastAsia" w:hAnsi="宋体" w:cs="宋体"/>
                <w:color w:val="auto"/>
                <w:sz w:val="18"/>
                <w:highlight w:val="none"/>
                <w:lang w:val="en-US" w:eastAsia="zh-CN"/>
              </w:rPr>
              <w:t>遭受</w:t>
            </w:r>
            <w:r>
              <w:rPr>
                <w:rFonts w:hint="eastAsia" w:hAnsi="宋体" w:eastAsia="Times New Roman" w:cs="宋体"/>
                <w:color w:val="auto"/>
                <w:sz w:val="18"/>
                <w:highlight w:val="none"/>
              </w:rPr>
              <w:t>冲击或面临压力时，迅速找到不同的方式来实现预期目标或满足需求，调动传统应对体系内外的人力、财力、技术及</w:t>
            </w:r>
            <w:r>
              <w:rPr>
                <w:rFonts w:hint="eastAsia" w:hAnsi="宋体" w:cs="宋体"/>
                <w:color w:val="auto"/>
                <w:sz w:val="18"/>
                <w:highlight w:val="none"/>
                <w:lang w:val="en-US" w:eastAsia="zh-CN"/>
              </w:rPr>
              <w:t>物质资源，</w:t>
            </w:r>
            <w:r>
              <w:rPr>
                <w:rFonts w:hint="eastAsia" w:hAnsi="宋体" w:eastAsia="Times New Roman" w:cs="宋体"/>
                <w:color w:val="auto"/>
                <w:sz w:val="18"/>
                <w:highlight w:val="none"/>
              </w:rPr>
              <w:t>在逆境</w:t>
            </w:r>
            <w:r>
              <w:rPr>
                <w:rFonts w:hint="eastAsia" w:hAnsi="宋体" w:cs="宋体"/>
                <w:color w:val="auto"/>
                <w:sz w:val="18"/>
                <w:highlight w:val="none"/>
                <w:lang w:val="en-US" w:eastAsia="zh-CN"/>
              </w:rPr>
              <w:t>中提供创新性的解决方案</w:t>
            </w:r>
            <w:r>
              <w:rPr>
                <w:rFonts w:hint="eastAsia" w:hAnsi="宋体" w:eastAsia="Times New Roman" w:cs="宋体"/>
                <w:color w:val="auto"/>
                <w:sz w:val="18"/>
                <w:highlight w:val="none"/>
              </w:rPr>
              <w:t>。</w:t>
            </w:r>
          </w:p>
        </w:tc>
      </w:tr>
      <w:tr w14:paraId="39D47B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100" w:type="dxa"/>
            <w:bottom w:w="28" w:type="dxa"/>
            <w:right w:w="100" w:type="dxa"/>
          </w:tblCellMar>
        </w:tblPrEx>
        <w:tc>
          <w:tcPr>
            <w:tcW w:w="711" w:type="pct"/>
            <w:vAlign w:val="center"/>
          </w:tcPr>
          <w:p w14:paraId="163FAEDE">
            <w:pPr>
              <w:pStyle w:val="59"/>
              <w:shd w:val="clear"/>
              <w:spacing w:line="240" w:lineRule="auto"/>
              <w:ind w:firstLine="0" w:firstLineChars="0"/>
              <w:jc w:val="center"/>
              <w:rPr>
                <w:rFonts w:hint="default" w:eastAsia="宋体"/>
                <w:color w:val="auto"/>
                <w:sz w:val="18"/>
                <w:highlight w:val="none"/>
                <w:lang w:val="en-US" w:eastAsia="zh-CN"/>
              </w:rPr>
            </w:pPr>
            <w:r>
              <w:rPr>
                <w:rFonts w:hint="eastAsia"/>
                <w:color w:val="auto"/>
                <w:sz w:val="18"/>
                <w:szCs w:val="18"/>
                <w:highlight w:val="none"/>
                <w:lang w:val="en-US" w:eastAsia="zh-CN"/>
              </w:rPr>
              <w:t>风险研判</w:t>
            </w:r>
          </w:p>
        </w:tc>
        <w:tc>
          <w:tcPr>
            <w:tcW w:w="4289" w:type="pct"/>
            <w:vAlign w:val="center"/>
          </w:tcPr>
          <w:p w14:paraId="4F94C3DA">
            <w:pPr>
              <w:pStyle w:val="59"/>
              <w:shd w:val="clear"/>
              <w:spacing w:line="240" w:lineRule="auto"/>
              <w:ind w:firstLine="0" w:firstLineChars="0"/>
              <w:jc w:val="left"/>
              <w:rPr>
                <w:rFonts w:eastAsia="Times New Roman"/>
                <w:color w:val="auto"/>
                <w:sz w:val="18"/>
                <w:highlight w:val="none"/>
              </w:rPr>
            </w:pPr>
            <w:r>
              <w:rPr>
                <w:rFonts w:hint="eastAsia" w:hAnsi="宋体" w:eastAsia="Times New Roman" w:cs="宋体"/>
                <w:color w:val="auto"/>
                <w:sz w:val="18"/>
                <w:highlight w:val="none"/>
              </w:rPr>
              <w:t>收集信息、</w:t>
            </w:r>
            <w:r>
              <w:rPr>
                <w:rFonts w:hint="eastAsia" w:hAnsi="宋体" w:eastAsia="Times New Roman" w:cs="宋体"/>
                <w:color w:val="auto"/>
                <w:sz w:val="18"/>
                <w:highlight w:val="none"/>
                <w:lang w:val="en-US" w:eastAsia="zh-CN"/>
              </w:rPr>
              <w:t>利用</w:t>
            </w:r>
            <w:r>
              <w:rPr>
                <w:rFonts w:hint="eastAsia" w:hAnsi="宋体" w:eastAsia="Times New Roman" w:cs="宋体"/>
                <w:color w:val="auto"/>
                <w:sz w:val="18"/>
                <w:highlight w:val="none"/>
              </w:rPr>
              <w:t>实时数据开展前瞻性</w:t>
            </w:r>
            <w:r>
              <w:rPr>
                <w:rFonts w:hint="eastAsia" w:hAnsi="宋体" w:cs="宋体"/>
                <w:color w:val="auto"/>
                <w:sz w:val="18"/>
                <w:highlight w:val="none"/>
                <w:lang w:val="en-US" w:eastAsia="zh-CN"/>
              </w:rPr>
              <w:t>研判</w:t>
            </w:r>
            <w:r>
              <w:rPr>
                <w:rFonts w:hint="eastAsia" w:hAnsi="宋体" w:eastAsia="Times New Roman" w:cs="宋体"/>
                <w:color w:val="auto"/>
                <w:sz w:val="18"/>
                <w:highlight w:val="none"/>
              </w:rPr>
              <w:t>，以提升</w:t>
            </w:r>
            <w:r>
              <w:rPr>
                <w:rFonts w:hint="eastAsia" w:hAnsi="宋体" w:cs="宋体"/>
                <w:color w:val="auto"/>
                <w:sz w:val="18"/>
                <w:highlight w:val="none"/>
                <w:lang w:val="en-US" w:eastAsia="zh-CN"/>
              </w:rPr>
              <w:t>风险</w:t>
            </w:r>
            <w:r>
              <w:rPr>
                <w:rFonts w:hint="eastAsia" w:hAnsi="宋体" w:eastAsia="Times New Roman" w:cs="宋体"/>
                <w:color w:val="auto"/>
                <w:sz w:val="18"/>
                <w:highlight w:val="none"/>
              </w:rPr>
              <w:t>认知</w:t>
            </w:r>
            <w:r>
              <w:rPr>
                <w:rFonts w:hint="eastAsia" w:hAnsi="宋体" w:cs="宋体"/>
                <w:color w:val="auto"/>
                <w:sz w:val="18"/>
                <w:highlight w:val="none"/>
                <w:lang w:val="en-US" w:eastAsia="zh-CN"/>
              </w:rPr>
              <w:t>能力</w:t>
            </w:r>
            <w:r>
              <w:rPr>
                <w:rFonts w:hint="eastAsia" w:hAnsi="宋体" w:eastAsia="Times New Roman" w:cs="宋体"/>
                <w:color w:val="auto"/>
                <w:sz w:val="18"/>
                <w:highlight w:val="none"/>
              </w:rPr>
              <w:t>、预判变化</w:t>
            </w:r>
            <w:r>
              <w:rPr>
                <w:rFonts w:hint="eastAsia" w:hAnsi="宋体" w:cs="宋体"/>
                <w:color w:val="auto"/>
                <w:sz w:val="18"/>
                <w:highlight w:val="none"/>
                <w:lang w:val="en-US" w:eastAsia="zh-CN"/>
              </w:rPr>
              <w:t>趋势</w:t>
            </w:r>
            <w:r>
              <w:rPr>
                <w:rFonts w:hint="eastAsia" w:hAnsi="宋体" w:eastAsia="Times New Roman" w:cs="宋体"/>
                <w:color w:val="auto"/>
                <w:sz w:val="18"/>
                <w:highlight w:val="none"/>
              </w:rPr>
              <w:t>，</w:t>
            </w:r>
            <w:r>
              <w:rPr>
                <w:rFonts w:hint="eastAsia" w:hAnsi="宋体" w:cs="宋体"/>
                <w:color w:val="auto"/>
                <w:sz w:val="18"/>
                <w:highlight w:val="none"/>
                <w:lang w:val="en-US" w:eastAsia="zh-CN"/>
              </w:rPr>
              <w:t>并</w:t>
            </w:r>
            <w:r>
              <w:rPr>
                <w:rFonts w:hint="eastAsia" w:hAnsi="宋体" w:eastAsia="Times New Roman" w:cs="宋体"/>
                <w:color w:val="auto"/>
                <w:sz w:val="18"/>
                <w:highlight w:val="none"/>
              </w:rPr>
              <w:t>为循证决策提供</w:t>
            </w:r>
            <w:r>
              <w:rPr>
                <w:rFonts w:hint="eastAsia" w:hAnsi="宋体" w:cs="宋体"/>
                <w:color w:val="auto"/>
                <w:sz w:val="18"/>
                <w:highlight w:val="none"/>
                <w:lang w:val="en-US" w:eastAsia="zh-CN"/>
              </w:rPr>
              <w:t>支撑</w:t>
            </w:r>
            <w:r>
              <w:rPr>
                <w:rFonts w:hint="eastAsia" w:hAnsi="宋体" w:eastAsia="Times New Roman" w:cs="宋体"/>
                <w:color w:val="auto"/>
                <w:sz w:val="18"/>
                <w:highlight w:val="none"/>
              </w:rPr>
              <w:t>。通过</w:t>
            </w:r>
            <w:r>
              <w:rPr>
                <w:rFonts w:hint="eastAsia" w:hAnsi="宋体" w:cs="宋体"/>
                <w:color w:val="auto"/>
                <w:sz w:val="18"/>
                <w:highlight w:val="none"/>
                <w:lang w:val="en-US" w:eastAsia="zh-CN"/>
              </w:rPr>
              <w:t>开展</w:t>
            </w:r>
            <w:r>
              <w:rPr>
                <w:rFonts w:hint="eastAsia" w:hAnsi="宋体" w:eastAsia="Times New Roman" w:cs="宋体"/>
                <w:color w:val="auto"/>
                <w:sz w:val="18"/>
                <w:highlight w:val="none"/>
              </w:rPr>
              <w:t>评估、</w:t>
            </w:r>
            <w:r>
              <w:rPr>
                <w:rFonts w:hint="eastAsia" w:hAnsi="宋体" w:cs="宋体"/>
                <w:color w:val="auto"/>
                <w:sz w:val="18"/>
                <w:highlight w:val="none"/>
                <w:lang w:val="en-US" w:eastAsia="zh-CN"/>
              </w:rPr>
              <w:t>积累</w:t>
            </w:r>
            <w:r>
              <w:rPr>
                <w:rFonts w:hint="eastAsia" w:hAnsi="宋体" w:eastAsia="Times New Roman" w:cs="宋体"/>
                <w:color w:val="auto"/>
                <w:sz w:val="18"/>
                <w:highlight w:val="none"/>
              </w:rPr>
              <w:t>知识资本、学习</w:t>
            </w:r>
            <w:r>
              <w:rPr>
                <w:rFonts w:hint="eastAsia" w:hAnsi="宋体" w:cs="宋体"/>
                <w:color w:val="auto"/>
                <w:sz w:val="18"/>
                <w:highlight w:val="none"/>
                <w:lang w:val="en-US" w:eastAsia="zh-CN"/>
              </w:rPr>
              <w:t>与总结反思，不断优化和改进治理实践</w:t>
            </w:r>
            <w:r>
              <w:rPr>
                <w:rFonts w:hint="eastAsia" w:hAnsi="宋体" w:eastAsia="Times New Roman" w:cs="宋体"/>
                <w:color w:val="auto"/>
                <w:sz w:val="18"/>
                <w:highlight w:val="none"/>
              </w:rPr>
              <w:t>，以实现更优的未来</w:t>
            </w:r>
            <w:r>
              <w:rPr>
                <w:rFonts w:hint="eastAsia" w:hAnsi="宋体" w:cs="宋体"/>
                <w:color w:val="auto"/>
                <w:sz w:val="18"/>
                <w:highlight w:val="none"/>
                <w:lang w:val="en-US" w:eastAsia="zh-CN"/>
              </w:rPr>
              <w:t>发展成效</w:t>
            </w:r>
            <w:r>
              <w:rPr>
                <w:rFonts w:hint="eastAsia" w:hAnsi="宋体" w:eastAsia="Times New Roman" w:cs="宋体"/>
                <w:color w:val="auto"/>
                <w:sz w:val="18"/>
                <w:highlight w:val="none"/>
              </w:rPr>
              <w:t>。</w:t>
            </w:r>
          </w:p>
        </w:tc>
      </w:tr>
      <w:tr w14:paraId="2E0A9E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100" w:type="dxa"/>
            <w:bottom w:w="28" w:type="dxa"/>
            <w:right w:w="100" w:type="dxa"/>
          </w:tblCellMar>
        </w:tblPrEx>
        <w:tc>
          <w:tcPr>
            <w:tcW w:w="711" w:type="pct"/>
            <w:vAlign w:val="center"/>
          </w:tcPr>
          <w:p w14:paraId="29D0164C">
            <w:pPr>
              <w:pStyle w:val="59"/>
              <w:shd w:val="clear"/>
              <w:spacing w:line="240" w:lineRule="auto"/>
              <w:ind w:firstLine="0" w:firstLineChars="0"/>
              <w:jc w:val="center"/>
              <w:rPr>
                <w:rFonts w:eastAsia="Times New Roman"/>
                <w:color w:val="auto"/>
                <w:sz w:val="18"/>
                <w:highlight w:val="none"/>
              </w:rPr>
            </w:pPr>
            <w:r>
              <w:rPr>
                <w:rFonts w:hint="eastAsia" w:hAnsi="宋体" w:cs="宋体"/>
                <w:color w:val="auto"/>
                <w:sz w:val="18"/>
                <w:highlight w:val="none"/>
                <w:lang w:val="en-US" w:eastAsia="zh-CN"/>
              </w:rPr>
              <w:t>多元协同</w:t>
            </w:r>
          </w:p>
        </w:tc>
        <w:tc>
          <w:tcPr>
            <w:tcW w:w="4289" w:type="pct"/>
            <w:vAlign w:val="center"/>
          </w:tcPr>
          <w:p w14:paraId="4870D19D">
            <w:pPr>
              <w:pStyle w:val="59"/>
              <w:shd w:val="clear"/>
              <w:spacing w:line="240" w:lineRule="auto"/>
              <w:ind w:firstLine="0" w:firstLineChars="0"/>
              <w:jc w:val="left"/>
              <w:rPr>
                <w:rFonts w:eastAsia="Times New Roman"/>
                <w:color w:val="auto"/>
                <w:sz w:val="18"/>
                <w:highlight w:val="none"/>
              </w:rPr>
            </w:pPr>
            <w:r>
              <w:rPr>
                <w:rFonts w:hint="eastAsia" w:hAnsi="宋体" w:eastAsia="Times New Roman" w:cs="宋体"/>
                <w:color w:val="auto"/>
                <w:sz w:val="18"/>
                <w:highlight w:val="none"/>
              </w:rPr>
              <w:t>与社区开展广泛</w:t>
            </w:r>
            <w:r>
              <w:rPr>
                <w:rFonts w:hint="eastAsia" w:hAnsi="宋体" w:cs="宋体"/>
                <w:color w:val="auto"/>
                <w:sz w:val="18"/>
                <w:highlight w:val="none"/>
                <w:lang w:val="en-US" w:eastAsia="zh-CN"/>
              </w:rPr>
              <w:t>协商和协同共建</w:t>
            </w:r>
            <w:r>
              <w:rPr>
                <w:rFonts w:hint="eastAsia" w:hAnsi="宋体" w:eastAsia="Times New Roman" w:cs="宋体"/>
                <w:color w:val="auto"/>
                <w:sz w:val="18"/>
                <w:highlight w:val="none"/>
              </w:rPr>
              <w:t>，以增强社区凝聚力、巩固社会</w:t>
            </w:r>
            <w:r>
              <w:rPr>
                <w:rFonts w:hint="eastAsia" w:hAnsi="宋体" w:cs="宋体"/>
                <w:color w:val="auto"/>
                <w:sz w:val="18"/>
                <w:highlight w:val="none"/>
                <w:lang w:val="en-US" w:eastAsia="zh-CN"/>
              </w:rPr>
              <w:t>协同关系</w:t>
            </w:r>
            <w:r>
              <w:rPr>
                <w:rFonts w:hint="eastAsia" w:hAnsi="宋体" w:eastAsia="Times New Roman" w:cs="宋体"/>
                <w:color w:val="auto"/>
                <w:sz w:val="18"/>
                <w:highlight w:val="none"/>
              </w:rPr>
              <w:t>，赋予</w:t>
            </w:r>
            <w:r>
              <w:rPr>
                <w:rFonts w:hint="eastAsia" w:hAnsi="宋体" w:cs="宋体"/>
                <w:color w:val="auto"/>
                <w:sz w:val="18"/>
                <w:highlight w:val="none"/>
                <w:lang w:val="en-US" w:eastAsia="zh-CN"/>
              </w:rPr>
              <w:t>公众</w:t>
            </w:r>
            <w:r>
              <w:rPr>
                <w:rFonts w:hint="eastAsia" w:hAnsi="宋体" w:eastAsia="Times New Roman" w:cs="宋体"/>
                <w:color w:val="auto"/>
                <w:sz w:val="18"/>
                <w:highlight w:val="none"/>
              </w:rPr>
              <w:t>参与权，</w:t>
            </w:r>
            <w:r>
              <w:rPr>
                <w:rFonts w:hint="eastAsia" w:hAnsi="宋体" w:cs="宋体"/>
                <w:color w:val="auto"/>
                <w:sz w:val="18"/>
                <w:highlight w:val="none"/>
                <w:lang w:val="en-US" w:eastAsia="zh-CN"/>
              </w:rPr>
              <w:t>形成</w:t>
            </w:r>
            <w:r>
              <w:rPr>
                <w:rFonts w:hint="eastAsia" w:hAnsi="宋体" w:eastAsia="Times New Roman" w:cs="宋体"/>
                <w:color w:val="auto"/>
                <w:sz w:val="18"/>
                <w:highlight w:val="none"/>
              </w:rPr>
              <w:t>全社会共同参与的</w:t>
            </w:r>
            <w:r>
              <w:rPr>
                <w:rFonts w:hint="eastAsia" w:hAnsi="宋体" w:cs="宋体"/>
                <w:color w:val="auto"/>
                <w:sz w:val="18"/>
                <w:highlight w:val="none"/>
                <w:lang w:val="en-US" w:eastAsia="zh-CN"/>
              </w:rPr>
              <w:t>城市韧性建设格局</w:t>
            </w:r>
            <w:r>
              <w:rPr>
                <w:rFonts w:hint="eastAsia" w:hAnsi="宋体" w:eastAsia="Times New Roman" w:cs="宋体"/>
                <w:color w:val="auto"/>
                <w:sz w:val="18"/>
                <w:highlight w:val="none"/>
              </w:rPr>
              <w:t>。社区各方就</w:t>
            </w:r>
            <w:r>
              <w:rPr>
                <w:rFonts w:hint="eastAsia" w:hAnsi="宋体" w:cs="宋体"/>
                <w:color w:val="auto"/>
                <w:sz w:val="18"/>
                <w:highlight w:val="none"/>
                <w:lang w:val="en-US" w:eastAsia="zh-CN"/>
              </w:rPr>
              <w:t>城市</w:t>
            </w:r>
            <w:r>
              <w:rPr>
                <w:rFonts w:hint="eastAsia" w:hAnsi="宋体" w:eastAsia="Times New Roman" w:cs="宋体"/>
                <w:color w:val="auto"/>
                <w:sz w:val="18"/>
                <w:highlight w:val="none"/>
              </w:rPr>
              <w:t>未来</w:t>
            </w:r>
            <w:r>
              <w:rPr>
                <w:rFonts w:hint="eastAsia" w:hAnsi="宋体" w:cs="宋体"/>
                <w:color w:val="auto"/>
                <w:sz w:val="18"/>
                <w:highlight w:val="none"/>
                <w:lang w:val="en-US" w:eastAsia="zh-CN"/>
              </w:rPr>
              <w:t>发展</w:t>
            </w:r>
            <w:r>
              <w:rPr>
                <w:rFonts w:hint="eastAsia" w:hAnsi="宋体" w:eastAsia="Times New Roman" w:cs="宋体"/>
                <w:color w:val="auto"/>
                <w:sz w:val="18"/>
                <w:highlight w:val="none"/>
              </w:rPr>
              <w:t>愿景达成共识，</w:t>
            </w:r>
            <w:r>
              <w:rPr>
                <w:rFonts w:hint="eastAsia" w:hAnsi="宋体" w:cs="宋体"/>
                <w:color w:val="auto"/>
                <w:sz w:val="18"/>
                <w:highlight w:val="none"/>
                <w:lang w:val="en-US" w:eastAsia="zh-CN"/>
              </w:rPr>
              <w:t>充分认识其</w:t>
            </w:r>
            <w:r>
              <w:rPr>
                <w:rFonts w:hint="eastAsia" w:hAnsi="宋体" w:eastAsia="Times New Roman" w:cs="宋体"/>
                <w:color w:val="auto"/>
                <w:sz w:val="18"/>
                <w:highlight w:val="none"/>
              </w:rPr>
              <w:t>面临的冲击与压力，</w:t>
            </w:r>
            <w:r>
              <w:rPr>
                <w:rFonts w:hint="eastAsia" w:hAnsi="宋体" w:cs="宋体"/>
                <w:color w:val="auto"/>
                <w:sz w:val="18"/>
                <w:highlight w:val="none"/>
                <w:lang w:val="en-US" w:eastAsia="zh-CN"/>
              </w:rPr>
              <w:t>并明确</w:t>
            </w:r>
            <w:r>
              <w:rPr>
                <w:rFonts w:hint="eastAsia" w:hAnsi="宋体" w:eastAsia="Times New Roman" w:cs="宋体"/>
                <w:color w:val="auto"/>
                <w:sz w:val="18"/>
                <w:highlight w:val="none"/>
              </w:rPr>
              <w:t>各自在</w:t>
            </w:r>
            <w:r>
              <w:rPr>
                <w:rFonts w:hint="eastAsia" w:hAnsi="宋体" w:cs="宋体"/>
                <w:color w:val="auto"/>
                <w:sz w:val="18"/>
                <w:highlight w:val="none"/>
                <w:lang w:val="en-US" w:eastAsia="zh-CN"/>
              </w:rPr>
              <w:t>维护</w:t>
            </w:r>
            <w:r>
              <w:rPr>
                <w:rFonts w:hint="eastAsia" w:hAnsi="宋体" w:eastAsia="Times New Roman" w:cs="宋体"/>
                <w:color w:val="auto"/>
                <w:sz w:val="18"/>
                <w:highlight w:val="none"/>
              </w:rPr>
              <w:t>和提升城市韧性中所发挥的</w:t>
            </w:r>
            <w:r>
              <w:rPr>
                <w:rFonts w:hint="eastAsia" w:hAnsi="宋体" w:cs="宋体"/>
                <w:color w:val="auto"/>
                <w:sz w:val="18"/>
                <w:highlight w:val="none"/>
                <w:lang w:val="en-US" w:eastAsia="zh-CN"/>
              </w:rPr>
              <w:t>职责分工与互补作用</w:t>
            </w:r>
            <w:r>
              <w:rPr>
                <w:rFonts w:hint="eastAsia" w:hAnsi="宋体" w:eastAsia="Times New Roman" w:cs="宋体"/>
                <w:color w:val="auto"/>
                <w:sz w:val="18"/>
                <w:highlight w:val="none"/>
              </w:rPr>
              <w:t>。同时，确保</w:t>
            </w:r>
            <w:r>
              <w:rPr>
                <w:rFonts w:hint="eastAsia" w:hAnsi="宋体" w:cs="宋体"/>
                <w:color w:val="auto"/>
                <w:sz w:val="18"/>
                <w:highlight w:val="none"/>
                <w:lang w:val="en-US" w:eastAsia="zh-CN"/>
              </w:rPr>
              <w:t>城市内关联网络中的发展效益得到公平分配</w:t>
            </w:r>
            <w:r>
              <w:rPr>
                <w:rFonts w:hint="eastAsia" w:hAnsi="宋体" w:eastAsia="Times New Roman" w:cs="宋体"/>
                <w:color w:val="auto"/>
                <w:sz w:val="18"/>
                <w:highlight w:val="none"/>
              </w:rPr>
              <w:t>，风险影响得到合理分担</w:t>
            </w:r>
            <w:r>
              <w:rPr>
                <w:rFonts w:hint="eastAsia" w:hAnsi="宋体" w:cs="宋体"/>
                <w:color w:val="auto"/>
                <w:sz w:val="18"/>
                <w:highlight w:val="none"/>
                <w:lang w:eastAsia="zh-CN"/>
              </w:rPr>
              <w:t>，</w:t>
            </w:r>
            <w:r>
              <w:rPr>
                <w:rFonts w:hint="eastAsia" w:hAnsi="宋体" w:cs="宋体"/>
                <w:color w:val="auto"/>
                <w:sz w:val="18"/>
                <w:highlight w:val="none"/>
                <w:lang w:val="en-US" w:eastAsia="zh-CN"/>
              </w:rPr>
              <w:t>缓解</w:t>
            </w:r>
            <w:r>
              <w:rPr>
                <w:rFonts w:hint="eastAsia" w:hAnsi="宋体" w:eastAsia="Times New Roman" w:cs="宋体"/>
                <w:color w:val="auto"/>
                <w:sz w:val="18"/>
                <w:highlight w:val="none"/>
              </w:rPr>
              <w:t>社会压力，</w:t>
            </w:r>
            <w:r>
              <w:rPr>
                <w:rFonts w:hint="eastAsia" w:hAnsi="宋体" w:cs="宋体"/>
                <w:color w:val="auto"/>
                <w:sz w:val="18"/>
                <w:highlight w:val="none"/>
              </w:rPr>
              <w:t>减少</w:t>
            </w:r>
            <w:r>
              <w:rPr>
                <w:rFonts w:hint="eastAsia" w:hAnsi="宋体" w:cs="宋体"/>
                <w:color w:val="auto"/>
                <w:sz w:val="18"/>
                <w:highlight w:val="none"/>
                <w:lang w:eastAsia="zh-CN"/>
              </w:rPr>
              <w:t>弱势群体</w:t>
            </w:r>
            <w:r>
              <w:rPr>
                <w:rFonts w:hint="eastAsia" w:hAnsi="宋体" w:cs="宋体"/>
                <w:color w:val="auto"/>
                <w:sz w:val="18"/>
                <w:highlight w:val="none"/>
              </w:rPr>
              <w:t>因风险事件受到的不利影响</w:t>
            </w:r>
            <w:r>
              <w:rPr>
                <w:rFonts w:hint="eastAsia" w:hAnsi="宋体" w:eastAsia="Times New Roman" w:cs="宋体"/>
                <w:color w:val="auto"/>
                <w:sz w:val="18"/>
                <w:highlight w:val="none"/>
              </w:rPr>
              <w:t>。</w:t>
            </w:r>
          </w:p>
        </w:tc>
      </w:tr>
      <w:tr w14:paraId="6CE27B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100" w:type="dxa"/>
            <w:bottom w:w="28" w:type="dxa"/>
            <w:right w:w="100" w:type="dxa"/>
          </w:tblCellMar>
        </w:tblPrEx>
        <w:tc>
          <w:tcPr>
            <w:tcW w:w="711" w:type="pct"/>
            <w:vAlign w:val="center"/>
          </w:tcPr>
          <w:p w14:paraId="39FC078A">
            <w:pPr>
              <w:pStyle w:val="59"/>
              <w:shd w:val="clear"/>
              <w:spacing w:line="240" w:lineRule="auto"/>
              <w:ind w:firstLine="0" w:firstLineChars="0"/>
              <w:jc w:val="center"/>
              <w:rPr>
                <w:rFonts w:hint="default" w:eastAsia="宋体"/>
                <w:color w:val="auto"/>
                <w:sz w:val="18"/>
                <w:highlight w:val="none"/>
                <w:lang w:val="en-US" w:eastAsia="zh-CN"/>
              </w:rPr>
            </w:pPr>
            <w:r>
              <w:rPr>
                <w:rFonts w:hint="eastAsia" w:hAnsi="宋体" w:cs="宋体"/>
                <w:color w:val="auto"/>
                <w:sz w:val="18"/>
                <w:highlight w:val="none"/>
                <w:lang w:val="en-US" w:eastAsia="zh-CN"/>
              </w:rPr>
              <w:t>系统整合</w:t>
            </w:r>
          </w:p>
        </w:tc>
        <w:tc>
          <w:tcPr>
            <w:tcW w:w="4289" w:type="pct"/>
            <w:vAlign w:val="center"/>
          </w:tcPr>
          <w:p w14:paraId="35452187">
            <w:pPr>
              <w:pStyle w:val="59"/>
              <w:shd w:val="clear"/>
              <w:spacing w:line="240" w:lineRule="auto"/>
              <w:ind w:firstLine="0" w:firstLineChars="0"/>
              <w:jc w:val="left"/>
              <w:rPr>
                <w:rFonts w:eastAsia="Times New Roman"/>
                <w:color w:val="auto"/>
                <w:sz w:val="18"/>
                <w:highlight w:val="none"/>
              </w:rPr>
            </w:pPr>
            <w:r>
              <w:rPr>
                <w:rFonts w:hint="eastAsia" w:hAnsi="宋体" w:eastAsia="Times New Roman" w:cs="宋体"/>
                <w:color w:val="auto"/>
                <w:sz w:val="18"/>
                <w:highlight w:val="none"/>
              </w:rPr>
              <w:t>整合并协调城市系统，打破</w:t>
            </w:r>
            <w:r>
              <w:rPr>
                <w:rFonts w:hint="eastAsia" w:hAnsi="宋体" w:cs="宋体"/>
                <w:color w:val="auto"/>
                <w:sz w:val="18"/>
                <w:highlight w:val="none"/>
                <w:lang w:val="en-US" w:eastAsia="zh-CN"/>
              </w:rPr>
              <w:t>部门</w:t>
            </w:r>
            <w:r>
              <w:rPr>
                <w:rFonts w:hint="eastAsia" w:hAnsi="宋体" w:eastAsia="Times New Roman" w:cs="宋体"/>
                <w:color w:val="auto"/>
                <w:sz w:val="18"/>
                <w:highlight w:val="none"/>
              </w:rPr>
              <w:t>壁垒，凝聚决策者、各部门、各领域的力量，协调</w:t>
            </w:r>
            <w:r>
              <w:rPr>
                <w:rFonts w:hint="eastAsia" w:hAnsi="宋体" w:cs="宋体"/>
                <w:color w:val="auto"/>
                <w:sz w:val="18"/>
                <w:highlight w:val="none"/>
                <w:lang w:val="en-US" w:eastAsia="zh-CN"/>
              </w:rPr>
              <w:t>资源</w:t>
            </w:r>
            <w:r>
              <w:rPr>
                <w:rFonts w:hint="eastAsia" w:hAnsi="宋体" w:eastAsia="Times New Roman" w:cs="宋体"/>
                <w:color w:val="auto"/>
                <w:sz w:val="18"/>
                <w:highlight w:val="none"/>
              </w:rPr>
              <w:t>预算、</w:t>
            </w:r>
            <w:r>
              <w:rPr>
                <w:rFonts w:hint="eastAsia" w:hAnsi="宋体" w:cs="宋体"/>
                <w:color w:val="auto"/>
                <w:sz w:val="18"/>
                <w:highlight w:val="none"/>
                <w:lang w:val="en-US" w:eastAsia="zh-CN"/>
              </w:rPr>
              <w:t>行动计划</w:t>
            </w:r>
            <w:r>
              <w:rPr>
                <w:rFonts w:hint="eastAsia" w:hAnsi="宋体" w:eastAsia="Times New Roman" w:cs="宋体"/>
                <w:color w:val="auto"/>
                <w:sz w:val="18"/>
                <w:highlight w:val="none"/>
              </w:rPr>
              <w:t>与</w:t>
            </w:r>
            <w:r>
              <w:rPr>
                <w:rFonts w:hint="eastAsia" w:hAnsi="宋体" w:cs="宋体"/>
                <w:color w:val="auto"/>
                <w:sz w:val="18"/>
                <w:highlight w:val="none"/>
                <w:lang w:val="en-US" w:eastAsia="zh-CN"/>
              </w:rPr>
              <w:t>工作</w:t>
            </w:r>
            <w:r>
              <w:rPr>
                <w:rFonts w:hint="eastAsia" w:hAnsi="宋体" w:eastAsia="Times New Roman" w:cs="宋体"/>
                <w:color w:val="auto"/>
                <w:sz w:val="18"/>
                <w:highlight w:val="none"/>
              </w:rPr>
              <w:t>议程。秉持系统思维，从整体视角出发，深入理解不同</w:t>
            </w:r>
            <w:r>
              <w:rPr>
                <w:rFonts w:hint="eastAsia" w:hAnsi="宋体" w:cs="宋体"/>
                <w:color w:val="auto"/>
                <w:sz w:val="18"/>
                <w:highlight w:val="none"/>
                <w:lang w:eastAsia="zh-CN"/>
              </w:rPr>
              <w:t>利益相关方</w:t>
            </w:r>
            <w:r>
              <w:rPr>
                <w:rFonts w:hint="eastAsia" w:hAnsi="宋体" w:eastAsia="Times New Roman" w:cs="宋体"/>
                <w:color w:val="auto"/>
                <w:sz w:val="18"/>
                <w:highlight w:val="none"/>
              </w:rPr>
              <w:t>之间的复杂</w:t>
            </w:r>
            <w:r>
              <w:rPr>
                <w:rFonts w:hint="eastAsia" w:hAnsi="宋体" w:cs="宋体"/>
                <w:color w:val="auto"/>
                <w:sz w:val="18"/>
                <w:highlight w:val="none"/>
                <w:lang w:val="en-US" w:eastAsia="zh-CN"/>
              </w:rPr>
              <w:t>性</w:t>
            </w:r>
            <w:r>
              <w:rPr>
                <w:rFonts w:hint="eastAsia" w:hAnsi="宋体" w:eastAsia="Times New Roman" w:cs="宋体"/>
                <w:color w:val="auto"/>
                <w:sz w:val="18"/>
                <w:highlight w:val="none"/>
              </w:rPr>
              <w:t>与相互</w:t>
            </w:r>
            <w:r>
              <w:rPr>
                <w:rFonts w:hint="eastAsia" w:hAnsi="宋体" w:cs="宋体"/>
                <w:color w:val="auto"/>
                <w:sz w:val="18"/>
                <w:highlight w:val="none"/>
                <w:lang w:val="en-US" w:eastAsia="zh-CN"/>
              </w:rPr>
              <w:t>依赖性</w:t>
            </w:r>
            <w:r>
              <w:rPr>
                <w:rFonts w:hint="eastAsia" w:hAnsi="宋体" w:eastAsia="Times New Roman" w:cs="宋体"/>
                <w:color w:val="auto"/>
                <w:sz w:val="18"/>
                <w:highlight w:val="none"/>
              </w:rPr>
              <w:t>，找到能够提供多重效益、防止系统性连锁故障和失衡崩溃的解决方案。</w:t>
            </w:r>
          </w:p>
        </w:tc>
      </w:tr>
      <w:tr w14:paraId="76DE33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100" w:type="dxa"/>
            <w:bottom w:w="28" w:type="dxa"/>
            <w:right w:w="100" w:type="dxa"/>
          </w:tblCellMar>
        </w:tblPrEx>
        <w:tc>
          <w:tcPr>
            <w:tcW w:w="711" w:type="pct"/>
            <w:vAlign w:val="center"/>
          </w:tcPr>
          <w:p w14:paraId="279822E9">
            <w:pPr>
              <w:pStyle w:val="59"/>
              <w:shd w:val="clear"/>
              <w:spacing w:line="240" w:lineRule="auto"/>
              <w:ind w:firstLine="0" w:firstLineChars="0"/>
              <w:jc w:val="center"/>
              <w:rPr>
                <w:rFonts w:eastAsia="Times New Roman"/>
                <w:color w:val="auto"/>
                <w:sz w:val="18"/>
                <w:highlight w:val="none"/>
              </w:rPr>
            </w:pPr>
            <w:r>
              <w:rPr>
                <w:rFonts w:hint="eastAsia" w:hAnsi="宋体" w:cs="宋体"/>
                <w:color w:val="auto"/>
                <w:sz w:val="18"/>
                <w:highlight w:val="none"/>
                <w:lang w:val="en-US" w:eastAsia="zh-CN"/>
              </w:rPr>
              <w:t>事前预防</w:t>
            </w:r>
          </w:p>
        </w:tc>
        <w:tc>
          <w:tcPr>
            <w:tcW w:w="4289" w:type="pct"/>
            <w:vAlign w:val="center"/>
          </w:tcPr>
          <w:p w14:paraId="3AC2431A">
            <w:pPr>
              <w:pStyle w:val="59"/>
              <w:shd w:val="clear"/>
              <w:spacing w:line="240" w:lineRule="auto"/>
              <w:ind w:firstLine="0" w:firstLineChars="0"/>
              <w:jc w:val="left"/>
              <w:rPr>
                <w:rFonts w:eastAsia="Times New Roman"/>
                <w:color w:val="auto"/>
                <w:sz w:val="18"/>
                <w:highlight w:val="none"/>
              </w:rPr>
            </w:pPr>
            <w:r>
              <w:rPr>
                <w:rFonts w:hint="eastAsia" w:hAnsi="宋体" w:eastAsia="Times New Roman" w:cs="宋体"/>
                <w:color w:val="auto"/>
                <w:sz w:val="18"/>
                <w:highlight w:val="none"/>
              </w:rPr>
              <w:t>通过稳健设计、冗余配置、备用能力及</w:t>
            </w:r>
            <w:r>
              <w:rPr>
                <w:rFonts w:hint="eastAsia" w:hAnsi="宋体" w:cs="宋体"/>
                <w:color w:val="auto"/>
                <w:sz w:val="18"/>
                <w:highlight w:val="none"/>
                <w:lang w:eastAsia="zh-CN"/>
              </w:rPr>
              <w:t>失效保护措施</w:t>
            </w:r>
            <w:r>
              <w:rPr>
                <w:rFonts w:hint="eastAsia" w:hAnsi="宋体" w:eastAsia="Times New Roman" w:cs="宋体"/>
                <w:color w:val="auto"/>
                <w:sz w:val="18"/>
                <w:highlight w:val="none"/>
              </w:rPr>
              <w:t>等途径，应对已识别的系统</w:t>
            </w:r>
            <w:r>
              <w:rPr>
                <w:rFonts w:hint="eastAsia" w:hAnsi="宋体" w:cs="宋体"/>
                <w:color w:val="auto"/>
                <w:sz w:val="18"/>
                <w:highlight w:val="none"/>
                <w:lang w:val="en-US" w:eastAsia="zh-CN"/>
              </w:rPr>
              <w:t>脆弱性</w:t>
            </w:r>
            <w:r>
              <w:rPr>
                <w:rFonts w:hint="eastAsia" w:hAnsi="宋体" w:eastAsia="Times New Roman" w:cs="宋体"/>
                <w:color w:val="auto"/>
                <w:sz w:val="18"/>
                <w:highlight w:val="none"/>
              </w:rPr>
              <w:t>，</w:t>
            </w:r>
            <w:r>
              <w:rPr>
                <w:rFonts w:hint="eastAsia" w:hAnsi="宋体" w:cs="宋体"/>
                <w:color w:val="auto"/>
                <w:sz w:val="18"/>
                <w:highlight w:val="none"/>
                <w:lang w:val="en-US" w:eastAsia="zh-CN"/>
              </w:rPr>
              <w:t>统筹</w:t>
            </w:r>
            <w:r>
              <w:rPr>
                <w:rFonts w:hint="eastAsia" w:hAnsi="宋体" w:eastAsia="Times New Roman" w:cs="宋体"/>
                <w:color w:val="auto"/>
                <w:sz w:val="18"/>
                <w:highlight w:val="none"/>
              </w:rPr>
              <w:t>平衡风险、性能与成本。</w:t>
            </w:r>
            <w:r>
              <w:rPr>
                <w:rFonts w:hint="eastAsia" w:hAnsi="宋体" w:cs="宋体"/>
                <w:color w:val="auto"/>
                <w:sz w:val="18"/>
                <w:highlight w:val="none"/>
                <w:lang w:val="en-US" w:eastAsia="zh-CN"/>
              </w:rPr>
              <w:t>及时做出</w:t>
            </w:r>
            <w:r>
              <w:rPr>
                <w:rFonts w:hint="eastAsia" w:hAnsi="宋体" w:eastAsia="Times New Roman" w:cs="宋体"/>
                <w:color w:val="auto"/>
                <w:sz w:val="18"/>
                <w:highlight w:val="none"/>
              </w:rPr>
              <w:t>响应以减轻事件</w:t>
            </w:r>
            <w:r>
              <w:rPr>
                <w:rFonts w:hint="eastAsia" w:hAnsi="宋体" w:cs="宋体"/>
                <w:color w:val="auto"/>
                <w:sz w:val="18"/>
                <w:highlight w:val="none"/>
                <w:lang w:val="en-US" w:eastAsia="zh-CN"/>
              </w:rPr>
              <w:t>造成</w:t>
            </w:r>
            <w:r>
              <w:rPr>
                <w:rFonts w:hint="eastAsia" w:hAnsi="宋体" w:eastAsia="Times New Roman" w:cs="宋体"/>
                <w:color w:val="auto"/>
                <w:sz w:val="18"/>
                <w:highlight w:val="none"/>
              </w:rPr>
              <w:t>的不利影响，并恢复</w:t>
            </w:r>
            <w:r>
              <w:rPr>
                <w:rFonts w:hint="eastAsia" w:hAnsi="宋体" w:cs="宋体"/>
                <w:color w:val="auto"/>
                <w:sz w:val="18"/>
                <w:highlight w:val="none"/>
                <w:lang w:val="en-US" w:eastAsia="zh-CN"/>
              </w:rPr>
              <w:t>运行</w:t>
            </w:r>
            <w:r>
              <w:rPr>
                <w:rFonts w:hint="eastAsia" w:hAnsi="宋体" w:eastAsia="Times New Roman" w:cs="宋体"/>
                <w:color w:val="auto"/>
                <w:sz w:val="18"/>
                <w:highlight w:val="none"/>
              </w:rPr>
              <w:t>进程。</w:t>
            </w:r>
          </w:p>
        </w:tc>
      </w:tr>
      <w:tr w14:paraId="2721DF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100" w:type="dxa"/>
            <w:bottom w:w="28" w:type="dxa"/>
            <w:right w:w="100" w:type="dxa"/>
          </w:tblCellMar>
        </w:tblPrEx>
        <w:tc>
          <w:tcPr>
            <w:tcW w:w="711" w:type="pct"/>
            <w:vAlign w:val="center"/>
          </w:tcPr>
          <w:p w14:paraId="5481238E">
            <w:pPr>
              <w:pStyle w:val="59"/>
              <w:shd w:val="clear"/>
              <w:spacing w:line="240" w:lineRule="auto"/>
              <w:ind w:firstLine="0" w:firstLineChars="0"/>
              <w:jc w:val="center"/>
              <w:rPr>
                <w:rFonts w:eastAsia="Times New Roman"/>
                <w:color w:val="auto"/>
                <w:sz w:val="18"/>
                <w:highlight w:val="none"/>
              </w:rPr>
            </w:pPr>
            <w:r>
              <w:rPr>
                <w:rFonts w:hint="eastAsia" w:hAnsi="宋体" w:cs="宋体"/>
                <w:color w:val="auto"/>
                <w:sz w:val="18"/>
                <w:highlight w:val="none"/>
                <w:lang w:val="en-US" w:eastAsia="zh-CN"/>
              </w:rPr>
              <w:t>持续发展</w:t>
            </w:r>
          </w:p>
        </w:tc>
        <w:tc>
          <w:tcPr>
            <w:tcW w:w="4289" w:type="pct"/>
            <w:vAlign w:val="center"/>
          </w:tcPr>
          <w:p w14:paraId="2D3629DA">
            <w:pPr>
              <w:pStyle w:val="59"/>
              <w:shd w:val="clear"/>
              <w:spacing w:line="240" w:lineRule="auto"/>
              <w:ind w:firstLine="0" w:firstLineChars="0"/>
              <w:jc w:val="left"/>
              <w:rPr>
                <w:rFonts w:eastAsia="Times New Roman"/>
                <w:color w:val="auto"/>
                <w:sz w:val="18"/>
                <w:highlight w:val="none"/>
              </w:rPr>
            </w:pPr>
            <w:r>
              <w:rPr>
                <w:rFonts w:hint="eastAsia" w:hAnsi="宋体" w:eastAsia="Times New Roman" w:cs="宋体"/>
                <w:color w:val="auto"/>
                <w:sz w:val="18"/>
                <w:highlight w:val="none"/>
              </w:rPr>
              <w:t>致力于可持续</w:t>
            </w:r>
            <w:r>
              <w:rPr>
                <w:rFonts w:hint="eastAsia" w:hAnsi="宋体" w:cs="宋体"/>
                <w:color w:val="auto"/>
                <w:sz w:val="18"/>
                <w:highlight w:val="none"/>
                <w:lang w:eastAsia="zh-CN"/>
              </w:rPr>
              <w:t>、</w:t>
            </w:r>
            <w:r>
              <w:rPr>
                <w:rFonts w:hint="eastAsia" w:hAnsi="宋体" w:eastAsia="Times New Roman" w:cs="宋体"/>
                <w:color w:val="auto"/>
                <w:sz w:val="18"/>
                <w:highlight w:val="none"/>
              </w:rPr>
              <w:t>资源高效的解决方案，以联合国可持续发展目标为基础</w:t>
            </w:r>
            <w:r>
              <w:rPr>
                <w:rFonts w:hint="eastAsia" w:hAnsi="宋体" w:cs="宋体"/>
                <w:color w:val="auto"/>
                <w:sz w:val="18"/>
                <w:highlight w:val="none"/>
                <w:lang w:eastAsia="zh-CN"/>
              </w:rPr>
              <w:t>，</w:t>
            </w:r>
            <w:r>
              <w:rPr>
                <w:rFonts w:hint="eastAsia" w:hAnsi="宋体" w:eastAsia="Times New Roman" w:cs="宋体"/>
                <w:color w:val="auto"/>
                <w:sz w:val="18"/>
                <w:highlight w:val="none"/>
              </w:rPr>
              <w:t>在不损害后代福祉与生态系统质量的前提下开展相关实践</w:t>
            </w:r>
            <w:r>
              <w:rPr>
                <w:rFonts w:hint="eastAsia" w:hAnsi="宋体" w:cs="宋体"/>
                <w:color w:val="auto"/>
                <w:sz w:val="18"/>
                <w:highlight w:val="none"/>
                <w:lang w:eastAsia="zh-CN"/>
              </w:rPr>
              <w:t>，</w:t>
            </w:r>
            <w:r>
              <w:rPr>
                <w:rFonts w:hint="eastAsia" w:hAnsi="宋体" w:eastAsia="Times New Roman" w:cs="宋体"/>
                <w:color w:val="auto"/>
                <w:sz w:val="18"/>
                <w:highlight w:val="none"/>
              </w:rPr>
              <w:t>推动城市韧性的长期建设与系统整体提升。</w:t>
            </w:r>
          </w:p>
        </w:tc>
      </w:tr>
      <w:tr w14:paraId="2048D3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100" w:type="dxa"/>
            <w:bottom w:w="28" w:type="dxa"/>
            <w:right w:w="100" w:type="dxa"/>
          </w:tblCellMar>
        </w:tblPrEx>
        <w:tc>
          <w:tcPr>
            <w:tcW w:w="711" w:type="pct"/>
            <w:vAlign w:val="center"/>
          </w:tcPr>
          <w:p w14:paraId="192D51BD">
            <w:pPr>
              <w:pStyle w:val="59"/>
              <w:shd w:val="clear"/>
              <w:spacing w:line="240" w:lineRule="auto"/>
              <w:ind w:firstLine="0" w:firstLineChars="0"/>
              <w:jc w:val="center"/>
              <w:rPr>
                <w:rFonts w:eastAsia="Times New Roman"/>
                <w:color w:val="auto"/>
                <w:sz w:val="18"/>
                <w:highlight w:val="none"/>
              </w:rPr>
            </w:pPr>
            <w:r>
              <w:rPr>
                <w:rFonts w:hint="eastAsia" w:hAnsi="宋体" w:cs="宋体"/>
                <w:color w:val="auto"/>
                <w:sz w:val="18"/>
                <w:highlight w:val="none"/>
                <w:lang w:val="en-US" w:eastAsia="zh-CN"/>
              </w:rPr>
              <w:t>创新转型</w:t>
            </w:r>
          </w:p>
        </w:tc>
        <w:tc>
          <w:tcPr>
            <w:tcW w:w="4289" w:type="pct"/>
            <w:vAlign w:val="center"/>
          </w:tcPr>
          <w:p w14:paraId="4B432586">
            <w:pPr>
              <w:pStyle w:val="59"/>
              <w:shd w:val="clear"/>
              <w:spacing w:line="240" w:lineRule="auto"/>
              <w:ind w:firstLine="0" w:firstLineChars="0"/>
              <w:jc w:val="left"/>
              <w:rPr>
                <w:rFonts w:eastAsia="Times New Roman"/>
                <w:color w:val="auto"/>
                <w:sz w:val="18"/>
                <w:highlight w:val="none"/>
              </w:rPr>
            </w:pPr>
            <w:r>
              <w:rPr>
                <w:rFonts w:hint="eastAsia" w:hAnsi="宋体" w:eastAsia="Times New Roman" w:cs="宋体"/>
                <w:color w:val="auto"/>
                <w:sz w:val="18"/>
                <w:highlight w:val="none"/>
              </w:rPr>
              <w:t>灾难</w:t>
            </w:r>
            <w:r>
              <w:rPr>
                <w:rFonts w:hint="eastAsia" w:hAnsi="宋体" w:cs="宋体"/>
                <w:color w:val="auto"/>
                <w:sz w:val="18"/>
                <w:highlight w:val="none"/>
                <w:lang w:val="en-US" w:eastAsia="zh-CN"/>
              </w:rPr>
              <w:t>发生后</w:t>
            </w:r>
            <w:r>
              <w:rPr>
                <w:rFonts w:hint="eastAsia" w:hAnsi="宋体" w:eastAsia="Times New Roman" w:cs="宋体"/>
                <w:color w:val="auto"/>
                <w:sz w:val="18"/>
                <w:highlight w:val="none"/>
              </w:rPr>
              <w:t>实现</w:t>
            </w:r>
            <w:r>
              <w:rPr>
                <w:rFonts w:hint="eastAsia" w:hAnsi="宋体" w:cs="宋体"/>
                <w:color w:val="auto"/>
                <w:sz w:val="18"/>
                <w:highlight w:val="none"/>
                <w:lang w:val="en-US" w:eastAsia="zh-CN"/>
              </w:rPr>
              <w:t>恢复与提升</w:t>
            </w:r>
            <w:r>
              <w:rPr>
                <w:rFonts w:hint="eastAsia" w:hAnsi="宋体" w:eastAsia="Times New Roman" w:cs="宋体"/>
                <w:color w:val="auto"/>
                <w:sz w:val="18"/>
                <w:highlight w:val="none"/>
              </w:rPr>
              <w:t>，让系统不仅得以存续，更能蓬勃发展。在多变的环境中迅速探索实现目标或满足需求的不同路径。突破传统观念、角色与模式的束缚，</w:t>
            </w:r>
            <w:r>
              <w:rPr>
                <w:rFonts w:hint="eastAsia" w:hAnsi="宋体" w:cs="宋体"/>
                <w:color w:val="auto"/>
                <w:sz w:val="18"/>
                <w:highlight w:val="none"/>
                <w:lang w:val="en-US" w:eastAsia="zh-CN"/>
              </w:rPr>
              <w:t>通过原创性思维</w:t>
            </w:r>
            <w:r>
              <w:rPr>
                <w:rFonts w:hint="eastAsia" w:hAnsi="宋体" w:eastAsia="Times New Roman" w:cs="宋体"/>
                <w:color w:val="auto"/>
                <w:sz w:val="18"/>
                <w:highlight w:val="none"/>
              </w:rPr>
              <w:t>与丰富的想象力</w:t>
            </w:r>
            <w:r>
              <w:rPr>
                <w:rFonts w:hint="eastAsia" w:hAnsi="宋体" w:cs="宋体"/>
                <w:color w:val="auto"/>
                <w:sz w:val="18"/>
                <w:highlight w:val="none"/>
                <w:lang w:val="en-US" w:eastAsia="zh-CN"/>
              </w:rPr>
              <w:t>创造新的解决方案与发展路径。</w:t>
            </w:r>
          </w:p>
        </w:tc>
      </w:tr>
    </w:tbl>
    <w:p w14:paraId="1CC94498">
      <w:pPr>
        <w:pStyle w:val="107"/>
        <w:shd w:val="clear"/>
        <w:spacing w:before="312" w:after="312"/>
        <w:rPr>
          <w:color w:val="auto"/>
          <w:highlight w:val="none"/>
        </w:rPr>
      </w:pPr>
      <w:bookmarkStart w:id="58" w:name="_Toc26849"/>
      <w:r>
        <w:rPr>
          <w:color w:val="auto"/>
          <w:highlight w:val="none"/>
        </w:rPr>
        <w:t>城市韧性</w:t>
      </w:r>
      <w:r>
        <w:rPr>
          <w:rFonts w:hint="eastAsia"/>
          <w:color w:val="auto"/>
          <w:highlight w:val="none"/>
          <w:lang w:val="en-US" w:eastAsia="zh-CN"/>
        </w:rPr>
        <w:t>建设</w:t>
      </w:r>
      <w:r>
        <w:rPr>
          <w:color w:val="auto"/>
          <w:highlight w:val="none"/>
        </w:rPr>
        <w:t>框架</w:t>
      </w:r>
      <w:bookmarkEnd w:id="58"/>
    </w:p>
    <w:p w14:paraId="57DBFA21">
      <w:pPr>
        <w:pStyle w:val="165"/>
        <w:bidi w:val="0"/>
        <w:rPr>
          <w:color w:val="auto"/>
          <w:highlight w:val="none"/>
        </w:rPr>
      </w:pPr>
      <w:r>
        <w:rPr>
          <w:rFonts w:hint="eastAsia"/>
          <w:color w:val="auto"/>
          <w:highlight w:val="none"/>
        </w:rPr>
        <w:t>本框架为城市韧性建设提供指导，城市韧性建设的</w:t>
      </w:r>
      <w:r>
        <w:rPr>
          <w:rFonts w:hint="eastAsia"/>
          <w:color w:val="auto"/>
          <w:highlight w:val="none"/>
          <w:lang w:val="en-US" w:eastAsia="zh-CN"/>
        </w:rPr>
        <w:t>实施</w:t>
      </w:r>
      <w:r>
        <w:rPr>
          <w:rFonts w:hint="eastAsia"/>
          <w:color w:val="auto"/>
          <w:highlight w:val="none"/>
        </w:rPr>
        <w:t>过程具有迭代性与持续性。各城市</w:t>
      </w:r>
      <w:r>
        <w:rPr>
          <w:rFonts w:hint="eastAsia"/>
          <w:color w:val="auto"/>
          <w:highlight w:val="none"/>
          <w:lang w:eastAsia="zh-CN"/>
        </w:rPr>
        <w:t>（</w:t>
      </w:r>
      <w:r>
        <w:rPr>
          <w:rFonts w:hint="eastAsia"/>
          <w:color w:val="auto"/>
          <w:highlight w:val="none"/>
        </w:rPr>
        <w:t>地区</w:t>
      </w:r>
      <w:r>
        <w:rPr>
          <w:rFonts w:hint="eastAsia"/>
          <w:color w:val="auto"/>
          <w:highlight w:val="none"/>
          <w:lang w:eastAsia="zh-CN"/>
        </w:rPr>
        <w:t>）</w:t>
      </w:r>
      <w:r>
        <w:rPr>
          <w:rFonts w:hint="eastAsia"/>
          <w:color w:val="auto"/>
          <w:highlight w:val="none"/>
        </w:rPr>
        <w:t>在落实本框架步骤时，所处的发展阶段和成熟度各不相同。城市韧性战略</w:t>
      </w:r>
      <w:r>
        <w:rPr>
          <w:rFonts w:hint="eastAsia"/>
          <w:color w:val="auto"/>
          <w:highlight w:val="none"/>
          <w:lang w:val="en-US" w:eastAsia="zh-CN"/>
        </w:rPr>
        <w:t>宜与</w:t>
      </w:r>
      <w:r>
        <w:rPr>
          <w:rFonts w:hint="eastAsia"/>
          <w:color w:val="auto"/>
          <w:highlight w:val="none"/>
        </w:rPr>
        <w:t>既有的地方性及国际性倡议相衔接，纳入城市发展总体规划框架。本框架包含五个关键步骤</w:t>
      </w:r>
      <w:r>
        <w:rPr>
          <w:rFonts w:hint="eastAsia"/>
          <w:color w:val="auto"/>
          <w:highlight w:val="none"/>
          <w:lang w:eastAsia="zh-CN"/>
        </w:rPr>
        <w:t>，</w:t>
      </w:r>
      <w:r>
        <w:rPr>
          <w:rFonts w:hint="eastAsia"/>
          <w:color w:val="auto"/>
          <w:highlight w:val="none"/>
          <w:lang w:val="en-US" w:eastAsia="zh-CN"/>
        </w:rPr>
        <w:t>具体如下</w:t>
      </w:r>
      <w:r>
        <w:rPr>
          <w:color w:val="auto"/>
          <w:highlight w:val="none"/>
        </w:rPr>
        <w:t>：</w:t>
      </w:r>
    </w:p>
    <w:p w14:paraId="7FFB1BC3">
      <w:pPr>
        <w:pStyle w:val="177"/>
        <w:bidi w:val="0"/>
        <w:ind w:left="851" w:leftChars="0" w:hanging="426" w:firstLineChars="0"/>
        <w:rPr>
          <w:color w:val="auto"/>
          <w:highlight w:val="none"/>
        </w:rPr>
      </w:pPr>
      <w:r>
        <w:rPr>
          <w:color w:val="auto"/>
          <w:highlight w:val="none"/>
        </w:rPr>
        <w:t>组织与</w:t>
      </w:r>
      <w:r>
        <w:rPr>
          <w:rFonts w:hint="eastAsia"/>
          <w:color w:val="auto"/>
          <w:highlight w:val="none"/>
        </w:rPr>
        <w:t>界定</w:t>
      </w:r>
      <w:r>
        <w:rPr>
          <w:color w:val="auto"/>
          <w:highlight w:val="none"/>
        </w:rPr>
        <w:t>：建立治理架构，</w:t>
      </w:r>
      <w:r>
        <w:rPr>
          <w:rFonts w:hint="eastAsia"/>
          <w:color w:val="auto"/>
          <w:highlight w:val="none"/>
        </w:rPr>
        <w:t>吸纳关键利益相关方参与</w:t>
      </w:r>
      <w:r>
        <w:rPr>
          <w:color w:val="auto"/>
          <w:highlight w:val="none"/>
        </w:rPr>
        <w:t>，</w:t>
      </w:r>
      <w:r>
        <w:rPr>
          <w:rFonts w:hint="eastAsia"/>
          <w:color w:val="auto"/>
          <w:highlight w:val="none"/>
        </w:rPr>
        <w:t>制定共同愿景、目标与</w:t>
      </w:r>
      <w:r>
        <w:rPr>
          <w:rFonts w:hint="eastAsia"/>
          <w:color w:val="auto"/>
          <w:highlight w:val="none"/>
          <w:lang w:val="en-US" w:eastAsia="zh-CN"/>
        </w:rPr>
        <w:t>任务</w:t>
      </w:r>
      <w:r>
        <w:rPr>
          <w:rFonts w:hint="eastAsia"/>
          <w:color w:val="auto"/>
          <w:highlight w:val="none"/>
        </w:rPr>
        <w:t>，并收集相关数据以支撑城市韧性管理</w:t>
      </w:r>
      <w:r>
        <w:rPr>
          <w:color w:val="auto"/>
          <w:highlight w:val="none"/>
        </w:rPr>
        <w:t>（第6</w:t>
      </w:r>
      <w:r>
        <w:rPr>
          <w:rFonts w:hint="eastAsia"/>
          <w:color w:val="auto"/>
          <w:highlight w:val="none"/>
        </w:rPr>
        <w:t>章</w:t>
      </w:r>
      <w:r>
        <w:rPr>
          <w:color w:val="auto"/>
          <w:highlight w:val="none"/>
        </w:rPr>
        <w:t>）</w:t>
      </w:r>
      <w:r>
        <w:rPr>
          <w:rFonts w:hint="eastAsia"/>
          <w:color w:val="auto"/>
          <w:highlight w:val="none"/>
          <w:lang w:eastAsia="zh-CN"/>
        </w:rPr>
        <w:t>；</w:t>
      </w:r>
    </w:p>
    <w:p w14:paraId="38D10D73">
      <w:pPr>
        <w:pStyle w:val="177"/>
        <w:bidi w:val="0"/>
        <w:ind w:left="851" w:leftChars="0" w:hanging="426" w:firstLineChars="0"/>
        <w:rPr>
          <w:color w:val="auto"/>
          <w:highlight w:val="none"/>
        </w:rPr>
      </w:pPr>
      <w:r>
        <w:rPr>
          <w:color w:val="auto"/>
          <w:highlight w:val="none"/>
        </w:rPr>
        <w:t>评估与排序：开展基于系统</w:t>
      </w:r>
      <w:r>
        <w:rPr>
          <w:rFonts w:hint="eastAsia"/>
          <w:color w:val="auto"/>
          <w:highlight w:val="none"/>
          <w:lang w:val="en-US" w:eastAsia="zh-CN"/>
        </w:rPr>
        <w:t>视角</w:t>
      </w:r>
      <w:r>
        <w:rPr>
          <w:color w:val="auto"/>
          <w:highlight w:val="none"/>
        </w:rPr>
        <w:t>的城市韧性评估，</w:t>
      </w:r>
      <w:r>
        <w:rPr>
          <w:rFonts w:hint="eastAsia"/>
          <w:color w:val="auto"/>
          <w:highlight w:val="none"/>
        </w:rPr>
        <w:t>并对各项韧性需求进行排序</w:t>
      </w:r>
      <w:r>
        <w:rPr>
          <w:color w:val="auto"/>
          <w:highlight w:val="none"/>
        </w:rPr>
        <w:t>（第7</w:t>
      </w:r>
      <w:r>
        <w:rPr>
          <w:rFonts w:hint="eastAsia"/>
          <w:color w:val="auto"/>
          <w:highlight w:val="none"/>
        </w:rPr>
        <w:t>章</w:t>
      </w:r>
      <w:r>
        <w:rPr>
          <w:color w:val="auto"/>
          <w:highlight w:val="none"/>
        </w:rPr>
        <w:t>）</w:t>
      </w:r>
      <w:r>
        <w:rPr>
          <w:rFonts w:hint="eastAsia"/>
          <w:color w:val="auto"/>
          <w:highlight w:val="none"/>
          <w:lang w:eastAsia="zh-CN"/>
        </w:rPr>
        <w:t>；</w:t>
      </w:r>
    </w:p>
    <w:p w14:paraId="34D04EFC">
      <w:pPr>
        <w:pStyle w:val="177"/>
        <w:bidi w:val="0"/>
        <w:ind w:left="851" w:leftChars="0" w:hanging="426" w:firstLineChars="0"/>
        <w:rPr>
          <w:color w:val="auto"/>
          <w:highlight w:val="none"/>
        </w:rPr>
      </w:pPr>
      <w:r>
        <w:rPr>
          <w:rFonts w:hint="eastAsia"/>
          <w:color w:val="auto"/>
          <w:highlight w:val="none"/>
          <w:lang w:val="en-US" w:eastAsia="zh-CN"/>
        </w:rPr>
        <w:t>战略制定</w:t>
      </w:r>
      <w:r>
        <w:rPr>
          <w:color w:val="auto"/>
          <w:highlight w:val="none"/>
        </w:rPr>
        <w:t>：</w:t>
      </w:r>
      <w:r>
        <w:rPr>
          <w:rFonts w:hint="eastAsia"/>
          <w:color w:val="auto"/>
          <w:highlight w:val="none"/>
        </w:rPr>
        <w:t>制定并</w:t>
      </w:r>
      <w:r>
        <w:rPr>
          <w:rFonts w:hint="eastAsia"/>
          <w:color w:val="auto"/>
          <w:highlight w:val="none"/>
          <w:lang w:val="en-US" w:eastAsia="zh-CN"/>
        </w:rPr>
        <w:t>持续</w:t>
      </w:r>
      <w:r>
        <w:rPr>
          <w:rFonts w:hint="eastAsia"/>
          <w:color w:val="auto"/>
          <w:highlight w:val="none"/>
        </w:rPr>
        <w:t>维护</w:t>
      </w:r>
      <w:r>
        <w:rPr>
          <w:rFonts w:hint="eastAsia"/>
          <w:color w:val="auto"/>
          <w:highlight w:val="none"/>
          <w:lang w:val="en-US" w:eastAsia="zh-CN"/>
        </w:rPr>
        <w:t>城市韧性行动的实施计划，以实现既定目标与任务</w:t>
      </w:r>
      <w:r>
        <w:rPr>
          <w:color w:val="auto"/>
          <w:highlight w:val="none"/>
        </w:rPr>
        <w:t>（第8</w:t>
      </w:r>
      <w:r>
        <w:rPr>
          <w:rFonts w:hint="eastAsia"/>
          <w:color w:val="auto"/>
          <w:highlight w:val="none"/>
        </w:rPr>
        <w:t>章</w:t>
      </w:r>
      <w:r>
        <w:rPr>
          <w:color w:val="auto"/>
          <w:highlight w:val="none"/>
        </w:rPr>
        <w:t>）</w:t>
      </w:r>
      <w:r>
        <w:rPr>
          <w:rFonts w:hint="eastAsia"/>
          <w:color w:val="auto"/>
          <w:highlight w:val="none"/>
          <w:lang w:eastAsia="zh-CN"/>
        </w:rPr>
        <w:t>；</w:t>
      </w:r>
    </w:p>
    <w:p w14:paraId="611F4F1A">
      <w:pPr>
        <w:pStyle w:val="177"/>
        <w:bidi w:val="0"/>
        <w:ind w:left="851" w:leftChars="0" w:hanging="426" w:firstLineChars="0"/>
        <w:rPr>
          <w:color w:val="auto"/>
          <w:highlight w:val="none"/>
        </w:rPr>
      </w:pPr>
      <w:bookmarkStart w:id="59" w:name="12"/>
      <w:bookmarkEnd w:id="59"/>
      <w:r>
        <w:rPr>
          <w:rFonts w:hint="eastAsia"/>
          <w:color w:val="auto"/>
          <w:highlight w:val="none"/>
        </w:rPr>
        <w:t>实施</w:t>
      </w:r>
      <w:r>
        <w:rPr>
          <w:color w:val="auto"/>
          <w:highlight w:val="none"/>
        </w:rPr>
        <w:t>：制定详细的韧性项目</w:t>
      </w:r>
      <w:r>
        <w:rPr>
          <w:rFonts w:hint="eastAsia"/>
          <w:color w:val="auto"/>
          <w:highlight w:val="none"/>
          <w:lang w:val="en-US" w:eastAsia="zh-CN"/>
        </w:rPr>
        <w:t>/</w:t>
      </w:r>
      <w:r>
        <w:rPr>
          <w:color w:val="auto"/>
          <w:highlight w:val="none"/>
        </w:rPr>
        <w:t>计划并对其</w:t>
      </w:r>
      <w:r>
        <w:rPr>
          <w:rFonts w:hint="eastAsia"/>
          <w:color w:val="auto"/>
          <w:highlight w:val="none"/>
          <w:lang w:val="en-US" w:eastAsia="zh-CN"/>
        </w:rPr>
        <w:t>实施</w:t>
      </w:r>
      <w:r>
        <w:rPr>
          <w:color w:val="auto"/>
          <w:highlight w:val="none"/>
        </w:rPr>
        <w:t>过程进行管理（第9</w:t>
      </w:r>
      <w:r>
        <w:rPr>
          <w:rFonts w:hint="eastAsia"/>
          <w:color w:val="auto"/>
          <w:highlight w:val="none"/>
        </w:rPr>
        <w:t>章</w:t>
      </w:r>
      <w:r>
        <w:rPr>
          <w:color w:val="auto"/>
          <w:highlight w:val="none"/>
        </w:rPr>
        <w:t>）</w:t>
      </w:r>
      <w:r>
        <w:rPr>
          <w:rFonts w:hint="eastAsia"/>
          <w:color w:val="auto"/>
          <w:highlight w:val="none"/>
          <w:lang w:eastAsia="zh-CN"/>
        </w:rPr>
        <w:t>；</w:t>
      </w:r>
    </w:p>
    <w:p w14:paraId="1558D514">
      <w:pPr>
        <w:pStyle w:val="177"/>
        <w:bidi w:val="0"/>
        <w:ind w:left="851" w:leftChars="0" w:hanging="426" w:firstLineChars="0"/>
        <w:rPr>
          <w:color w:val="auto"/>
          <w:highlight w:val="none"/>
        </w:rPr>
      </w:pPr>
      <w:r>
        <w:rPr>
          <w:color w:val="auto"/>
          <w:highlight w:val="none"/>
        </w:rPr>
        <w:t>持续改进：持续</w:t>
      </w:r>
      <w:r>
        <w:rPr>
          <w:rFonts w:hint="eastAsia"/>
          <w:color w:val="auto"/>
          <w:highlight w:val="none"/>
          <w:lang w:val="en-US" w:eastAsia="zh-CN"/>
        </w:rPr>
        <w:t>开展</w:t>
      </w:r>
      <w:r>
        <w:rPr>
          <w:color w:val="auto"/>
          <w:highlight w:val="none"/>
        </w:rPr>
        <w:t>监测、</w:t>
      </w:r>
      <w:r>
        <w:rPr>
          <w:rFonts w:hint="eastAsia"/>
          <w:color w:val="auto"/>
          <w:highlight w:val="none"/>
          <w:lang w:val="en-US" w:eastAsia="zh-CN"/>
        </w:rPr>
        <w:t>评估</w:t>
      </w:r>
      <w:r>
        <w:rPr>
          <w:color w:val="auto"/>
          <w:highlight w:val="none"/>
        </w:rPr>
        <w:t>、分析、调整、学习和创新（第10</w:t>
      </w:r>
      <w:r>
        <w:rPr>
          <w:rFonts w:hint="eastAsia"/>
          <w:color w:val="auto"/>
          <w:highlight w:val="none"/>
        </w:rPr>
        <w:t>章</w:t>
      </w:r>
      <w:r>
        <w:rPr>
          <w:color w:val="auto"/>
          <w:highlight w:val="none"/>
        </w:rPr>
        <w:t>）。</w:t>
      </w:r>
    </w:p>
    <w:p w14:paraId="0868DABC">
      <w:pPr>
        <w:pStyle w:val="165"/>
        <w:bidi w:val="0"/>
        <w:rPr>
          <w:color w:val="auto"/>
          <w:highlight w:val="none"/>
        </w:rPr>
      </w:pPr>
      <w:r>
        <w:rPr>
          <w:rFonts w:hint="eastAsia"/>
          <w:color w:val="auto"/>
          <w:highlight w:val="none"/>
        </w:rPr>
        <w:t>城市韧性建设领导小组</w:t>
      </w:r>
      <w:r>
        <w:rPr>
          <w:rFonts w:hint="eastAsia"/>
          <w:color w:val="auto"/>
          <w:highlight w:val="none"/>
          <w:lang w:eastAsia="zh-CN"/>
        </w:rPr>
        <w:t>宜</w:t>
      </w:r>
      <w:r>
        <w:rPr>
          <w:color w:val="auto"/>
          <w:highlight w:val="none"/>
        </w:rPr>
        <w:t>：</w:t>
      </w:r>
    </w:p>
    <w:p w14:paraId="4905F02E">
      <w:pPr>
        <w:pStyle w:val="135"/>
        <w:numPr>
          <w:ilvl w:val="-1"/>
          <w:numId w:val="0"/>
        </w:numPr>
        <w:shd w:val="clear"/>
        <w:ind w:left="425" w:firstLine="0"/>
        <w:rPr>
          <w:color w:val="auto"/>
          <w:highlight w:val="none"/>
        </w:rPr>
      </w:pPr>
      <w:r>
        <w:rPr>
          <w:rFonts w:hint="eastAsia"/>
          <w:color w:val="auto"/>
          <w:highlight w:val="none"/>
          <w:lang w:val="en-US" w:eastAsia="zh-CN"/>
        </w:rPr>
        <w:t>a）</w:t>
      </w:r>
      <w:r>
        <w:rPr>
          <w:color w:val="auto"/>
          <w:highlight w:val="none"/>
        </w:rPr>
        <w:t>在制定和实施城市韧性战略过程中，遵循上述a</w:t>
      </w:r>
      <w:r>
        <w:rPr>
          <w:rFonts w:hint="eastAsia"/>
          <w:color w:val="auto"/>
          <w:highlight w:val="none"/>
          <w:lang w:eastAsia="zh-CN"/>
        </w:rPr>
        <w:t>）</w:t>
      </w:r>
      <w:r>
        <w:rPr>
          <w:color w:val="auto"/>
          <w:highlight w:val="none"/>
        </w:rPr>
        <w:t>至e</w:t>
      </w:r>
      <w:r>
        <w:rPr>
          <w:rFonts w:hint="eastAsia"/>
          <w:color w:val="auto"/>
          <w:highlight w:val="none"/>
          <w:lang w:eastAsia="zh-CN"/>
        </w:rPr>
        <w:t>）</w:t>
      </w:r>
      <w:r>
        <w:rPr>
          <w:color w:val="auto"/>
          <w:highlight w:val="none"/>
        </w:rPr>
        <w:t>所述的框架，</w:t>
      </w:r>
      <w:r>
        <w:rPr>
          <w:rFonts w:hint="eastAsia"/>
          <w:color w:val="auto"/>
          <w:highlight w:val="none"/>
        </w:rPr>
        <w:t>并结合图1</w:t>
      </w:r>
      <w:r>
        <w:rPr>
          <w:rFonts w:hint="eastAsia"/>
          <w:color w:val="auto"/>
          <w:highlight w:val="none"/>
          <w:lang w:val="en-US" w:eastAsia="zh-CN"/>
        </w:rPr>
        <w:t>各</w:t>
      </w:r>
      <w:r>
        <w:rPr>
          <w:rFonts w:hint="eastAsia"/>
          <w:color w:val="auto"/>
          <w:highlight w:val="none"/>
        </w:rPr>
        <w:t>步骤对应的具体活动；</w:t>
      </w:r>
    </w:p>
    <w:p w14:paraId="7F3F9D54">
      <w:pPr>
        <w:pStyle w:val="135"/>
        <w:numPr>
          <w:ilvl w:val="-1"/>
          <w:numId w:val="0"/>
        </w:numPr>
        <w:shd w:val="clear"/>
        <w:ind w:left="425" w:firstLine="0"/>
        <w:rPr>
          <w:color w:val="auto"/>
          <w:highlight w:val="none"/>
        </w:rPr>
      </w:pPr>
      <w:r>
        <w:rPr>
          <w:rFonts w:hint="eastAsia"/>
          <w:color w:val="auto"/>
          <w:highlight w:val="none"/>
          <w:lang w:val="en-US" w:eastAsia="zh-CN"/>
        </w:rPr>
        <w:t>b）</w:t>
      </w:r>
      <w:r>
        <w:rPr>
          <w:color w:val="auto"/>
          <w:highlight w:val="none"/>
        </w:rPr>
        <w:t>在</w:t>
      </w:r>
      <w:r>
        <w:rPr>
          <w:rFonts w:hint="eastAsia"/>
          <w:color w:val="auto"/>
          <w:highlight w:val="none"/>
          <w:lang w:val="en-US" w:eastAsia="zh-CN"/>
        </w:rPr>
        <w:t>全过程各</w:t>
      </w:r>
      <w:r>
        <w:rPr>
          <w:color w:val="auto"/>
          <w:highlight w:val="none"/>
        </w:rPr>
        <w:t>步骤中，</w:t>
      </w:r>
      <w:r>
        <w:rPr>
          <w:rFonts w:hint="eastAsia"/>
          <w:color w:val="auto"/>
          <w:highlight w:val="none"/>
          <w:lang w:val="en-US" w:eastAsia="zh-CN"/>
        </w:rPr>
        <w:t>宜考虑</w:t>
      </w:r>
      <w:r>
        <w:rPr>
          <w:color w:val="auto"/>
          <w:highlight w:val="none"/>
        </w:rPr>
        <w:t>表1中规定的各项原则。</w:t>
      </w:r>
    </w:p>
    <w:p w14:paraId="66294032">
      <w:pPr>
        <w:pStyle w:val="59"/>
        <w:shd w:val="clear"/>
        <w:ind w:left="0" w:firstLine="0" w:firstLineChars="0"/>
        <w:jc w:val="center"/>
        <w:rPr>
          <w:color w:val="auto"/>
          <w:highlight w:val="none"/>
        </w:rPr>
      </w:pPr>
      <w:r>
        <w:rPr>
          <w:color w:val="auto"/>
          <w:highlight w:val="none"/>
        </w:rPr>
        <w:drawing>
          <wp:inline distT="0" distB="0" distL="114300" distR="114300">
            <wp:extent cx="5934075" cy="3284220"/>
            <wp:effectExtent l="0" t="0" r="9525" b="5080"/>
            <wp:docPr id="9" name="图片 9"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1"/>
                    <pic:cNvPicPr>
                      <a:picLocks noChangeAspect="1"/>
                    </pic:cNvPicPr>
                  </pic:nvPicPr>
                  <pic:blipFill>
                    <a:blip r:embed="rId21"/>
                    <a:stretch>
                      <a:fillRect/>
                    </a:stretch>
                  </pic:blipFill>
                  <pic:spPr>
                    <a:xfrm>
                      <a:off x="0" y="0"/>
                      <a:ext cx="5934075" cy="3284220"/>
                    </a:xfrm>
                    <a:prstGeom prst="rect">
                      <a:avLst/>
                    </a:prstGeom>
                  </pic:spPr>
                </pic:pic>
              </a:graphicData>
            </a:graphic>
          </wp:inline>
        </w:drawing>
      </w:r>
    </w:p>
    <w:p w14:paraId="70BAFBDD">
      <w:pPr>
        <w:pStyle w:val="117"/>
        <w:shd w:val="clear"/>
        <w:spacing w:before="156" w:after="156"/>
        <w:rPr>
          <w:color w:val="auto"/>
          <w:highlight w:val="none"/>
        </w:rPr>
      </w:pPr>
      <w:r>
        <w:rPr>
          <w:rFonts w:hint="eastAsia"/>
          <w:color w:val="auto"/>
          <w:highlight w:val="none"/>
        </w:rPr>
        <w:t>城市韧性</w:t>
      </w:r>
      <w:r>
        <w:rPr>
          <w:rFonts w:hint="eastAsia"/>
          <w:color w:val="auto"/>
          <w:highlight w:val="none"/>
          <w:lang w:val="en-US" w:eastAsia="zh-CN"/>
        </w:rPr>
        <w:t>建设</w:t>
      </w:r>
      <w:r>
        <w:rPr>
          <w:rFonts w:hint="eastAsia"/>
          <w:color w:val="auto"/>
          <w:highlight w:val="none"/>
        </w:rPr>
        <w:t>框架图</w:t>
      </w:r>
    </w:p>
    <w:bookmarkEnd w:id="54"/>
    <w:p w14:paraId="0E97264E">
      <w:pPr>
        <w:pStyle w:val="107"/>
        <w:spacing w:before="312" w:after="312"/>
        <w:rPr>
          <w:bCs/>
          <w:color w:val="auto"/>
          <w:highlight w:val="none"/>
        </w:rPr>
      </w:pPr>
      <w:bookmarkStart w:id="60" w:name="_Toc13182"/>
      <w:r>
        <w:rPr>
          <w:color w:val="auto"/>
          <w:highlight w:val="none"/>
        </w:rPr>
        <w:t>组织与</w:t>
      </w:r>
      <w:r>
        <w:rPr>
          <w:rFonts w:hint="eastAsia"/>
          <w:color w:val="auto"/>
          <w:highlight w:val="none"/>
        </w:rPr>
        <w:t>界定</w:t>
      </w:r>
      <w:bookmarkEnd w:id="60"/>
    </w:p>
    <w:bookmarkEnd w:id="55"/>
    <w:bookmarkEnd w:id="56"/>
    <w:p w14:paraId="303BAD58">
      <w:pPr>
        <w:widowControl/>
        <w:numPr>
          <w:ilvl w:val="2"/>
          <w:numId w:val="0"/>
        </w:numPr>
        <w:spacing w:before="156" w:beforeLines="50" w:after="156" w:afterLines="50"/>
        <w:outlineLvl w:val="1"/>
        <w:rPr>
          <w:rFonts w:ascii="黑体" w:hAnsi="Times New Roman" w:eastAsia="黑体" w:cs="Times New Roman"/>
          <w:bCs/>
          <w:color w:val="auto"/>
          <w:kern w:val="0"/>
          <w:szCs w:val="20"/>
          <w:highlight w:val="none"/>
        </w:rPr>
      </w:pPr>
      <w:bookmarkStart w:id="61" w:name="_Toc1699"/>
      <w:bookmarkEnd w:id="61"/>
      <w:bookmarkStart w:id="62" w:name="_Toc24716"/>
      <w:bookmarkEnd w:id="62"/>
      <w:bookmarkStart w:id="63" w:name="_Toc27654"/>
      <w:bookmarkStart w:id="64" w:name="_Toc206170523"/>
      <w:bookmarkStart w:id="65" w:name="_Toc8698"/>
      <w:bookmarkStart w:id="66" w:name="_Toc31250"/>
      <w:bookmarkStart w:id="67" w:name="_Toc7615"/>
      <w:r>
        <w:rPr>
          <w:rFonts w:hint="eastAsia" w:ascii="黑体" w:hAnsi="Times New Roman" w:eastAsia="黑体" w:cs="Times New Roman"/>
          <w:color w:val="auto"/>
          <w:kern w:val="0"/>
          <w:szCs w:val="20"/>
          <w:highlight w:val="none"/>
        </w:rPr>
        <w:t>6</w:t>
      </w:r>
      <w:r>
        <w:rPr>
          <w:rFonts w:ascii="黑体" w:hAnsi="Times New Roman" w:eastAsia="黑体" w:cs="Times New Roman"/>
          <w:color w:val="auto"/>
          <w:kern w:val="0"/>
          <w:szCs w:val="20"/>
          <w:highlight w:val="none"/>
        </w:rPr>
        <w:t>.1 治理、领导力和承诺</w:t>
      </w:r>
      <w:bookmarkEnd w:id="63"/>
      <w:bookmarkEnd w:id="64"/>
      <w:bookmarkEnd w:id="65"/>
    </w:p>
    <w:p w14:paraId="7C75D71E">
      <w:pPr>
        <w:numPr>
          <w:ilvl w:val="3"/>
          <w:numId w:val="0"/>
        </w:numPr>
        <w:spacing w:before="156" w:beforeLines="50" w:after="156" w:afterLines="50"/>
        <w:outlineLvl w:val="2"/>
        <w:rPr>
          <w:rFonts w:ascii="黑体" w:hAnsi="Times New Roman" w:eastAsia="黑体" w:cs="Times New Roman"/>
          <w:bCs/>
          <w:color w:val="auto"/>
          <w:kern w:val="0"/>
          <w:szCs w:val="20"/>
          <w:highlight w:val="none"/>
        </w:rPr>
      </w:pPr>
      <w:r>
        <w:rPr>
          <w:rFonts w:hint="eastAsia" w:ascii="黑体" w:hAnsi="Times New Roman" w:eastAsia="黑体" w:cs="Times New Roman"/>
          <w:color w:val="auto"/>
          <w:kern w:val="0"/>
          <w:szCs w:val="20"/>
          <w:highlight w:val="none"/>
        </w:rPr>
        <w:t>6</w:t>
      </w:r>
      <w:r>
        <w:rPr>
          <w:rFonts w:ascii="黑体" w:hAnsi="Times New Roman" w:eastAsia="黑体" w:cs="Times New Roman"/>
          <w:color w:val="auto"/>
          <w:kern w:val="0"/>
          <w:szCs w:val="20"/>
          <w:highlight w:val="none"/>
        </w:rPr>
        <w:t xml:space="preserve">.1.1 </w:t>
      </w:r>
      <w:r>
        <w:rPr>
          <w:rFonts w:hint="eastAsia" w:ascii="黑体" w:hAnsi="Times New Roman" w:eastAsia="黑体" w:cs="Times New Roman"/>
          <w:color w:val="auto"/>
          <w:kern w:val="0"/>
          <w:szCs w:val="20"/>
          <w:highlight w:val="none"/>
        </w:rPr>
        <w:t>概述</w:t>
      </w:r>
    </w:p>
    <w:p w14:paraId="4FCA850C">
      <w:pPr>
        <w:widowControl/>
        <w:autoSpaceDE w:val="0"/>
        <w:autoSpaceDN w:val="0"/>
        <w:ind w:firstLine="420" w:firstLineChars="200"/>
        <w:rPr>
          <w:rFonts w:ascii="宋体" w:hAnsi="Times New Roman" w:eastAsia="宋体" w:cs="Times New Roman"/>
          <w:color w:val="auto"/>
          <w:kern w:val="0"/>
          <w:szCs w:val="20"/>
          <w:highlight w:val="none"/>
        </w:rPr>
      </w:pPr>
      <w:bookmarkStart w:id="68" w:name="_Hlk239236556"/>
      <w:r>
        <w:rPr>
          <w:rFonts w:hint="eastAsia" w:ascii="宋体" w:hAnsi="Times New Roman" w:eastAsia="宋体" w:cs="Times New Roman"/>
          <w:color w:val="auto"/>
          <w:kern w:val="0"/>
          <w:szCs w:val="20"/>
          <w:highlight w:val="none"/>
        </w:rPr>
        <w:t>城市韧性建设领导小组</w:t>
      </w:r>
      <w:bookmarkEnd w:id="68"/>
      <w:r>
        <w:rPr>
          <w:rFonts w:hint="eastAsia" w:ascii="宋体" w:hAnsi="Times New Roman" w:eastAsia="宋体" w:cs="Times New Roman"/>
          <w:color w:val="auto"/>
          <w:kern w:val="0"/>
          <w:szCs w:val="20"/>
          <w:highlight w:val="none"/>
        </w:rPr>
        <w:t>为</w:t>
      </w:r>
      <w:r>
        <w:rPr>
          <w:rFonts w:ascii="宋体" w:hAnsi="Times New Roman" w:eastAsia="宋体" w:cs="Times New Roman"/>
          <w:color w:val="auto"/>
          <w:kern w:val="0"/>
          <w:szCs w:val="20"/>
          <w:highlight w:val="none"/>
        </w:rPr>
        <w:t>支持城市韧性的提升，</w:t>
      </w:r>
      <w:r>
        <w:rPr>
          <w:rFonts w:hint="eastAsia" w:ascii="宋体" w:hAnsi="Times New Roman" w:eastAsia="宋体" w:cs="Times New Roman"/>
          <w:color w:val="auto"/>
          <w:kern w:val="0"/>
          <w:szCs w:val="20"/>
          <w:highlight w:val="none"/>
        </w:rPr>
        <w:t>宜</w:t>
      </w:r>
      <w:r>
        <w:rPr>
          <w:rFonts w:ascii="宋体" w:hAnsi="Times New Roman" w:eastAsia="宋体" w:cs="Times New Roman"/>
          <w:color w:val="auto"/>
          <w:kern w:val="0"/>
          <w:szCs w:val="20"/>
          <w:highlight w:val="none"/>
        </w:rPr>
        <w:t>建立健全治</w:t>
      </w:r>
      <w:r>
        <w:rPr>
          <w:rFonts w:hint="eastAsia" w:ascii="宋体" w:hAnsi="Times New Roman" w:eastAsia="宋体" w:cs="Times New Roman"/>
          <w:color w:val="auto"/>
          <w:kern w:val="0"/>
          <w:szCs w:val="20"/>
          <w:highlight w:val="none"/>
        </w:rPr>
        <w:t>理措施，构建诚信</w:t>
      </w:r>
      <w:r>
        <w:rPr>
          <w:rFonts w:ascii="宋体" w:hAnsi="Times New Roman" w:eastAsia="宋体" w:cs="Times New Roman"/>
          <w:color w:val="auto"/>
          <w:kern w:val="0"/>
          <w:szCs w:val="20"/>
          <w:highlight w:val="none"/>
        </w:rPr>
        <w:t>、透明</w:t>
      </w:r>
      <w:r>
        <w:rPr>
          <w:rFonts w:hint="eastAsia" w:ascii="宋体" w:hAnsi="Times New Roman" w:eastAsia="宋体" w:cs="Times New Roman"/>
          <w:color w:val="auto"/>
          <w:kern w:val="0"/>
          <w:szCs w:val="20"/>
          <w:highlight w:val="none"/>
        </w:rPr>
        <w:t>、责任明晰</w:t>
      </w:r>
      <w:r>
        <w:rPr>
          <w:rFonts w:ascii="宋体" w:hAnsi="Times New Roman" w:eastAsia="宋体" w:cs="Times New Roman"/>
          <w:color w:val="auto"/>
          <w:kern w:val="0"/>
          <w:szCs w:val="20"/>
          <w:highlight w:val="none"/>
        </w:rPr>
        <w:t>的环境，</w:t>
      </w:r>
      <w:r>
        <w:rPr>
          <w:rFonts w:hint="eastAsia" w:ascii="宋体" w:hAnsi="Times New Roman" w:eastAsia="宋体" w:cs="Times New Roman"/>
          <w:color w:val="auto"/>
          <w:kern w:val="0"/>
          <w:szCs w:val="20"/>
          <w:highlight w:val="none"/>
        </w:rPr>
        <w:t>推动城市韧性政策与战略落地实施</w:t>
      </w:r>
      <w:r>
        <w:rPr>
          <w:rFonts w:ascii="宋体" w:hAnsi="Times New Roman" w:eastAsia="宋体" w:cs="Times New Roman"/>
          <w:color w:val="auto"/>
          <w:kern w:val="0"/>
          <w:szCs w:val="20"/>
          <w:highlight w:val="none"/>
        </w:rPr>
        <w:t>。可采用</w:t>
      </w:r>
      <w:r>
        <w:rPr>
          <w:rFonts w:hint="eastAsia" w:ascii="宋体" w:hAnsi="Times New Roman" w:eastAsia="宋体" w:cs="Times New Roman"/>
          <w:color w:val="auto"/>
          <w:kern w:val="0"/>
          <w:szCs w:val="20"/>
          <w:highlight w:val="none"/>
        </w:rPr>
        <w:t>既</w:t>
      </w:r>
      <w:r>
        <w:rPr>
          <w:rFonts w:ascii="宋体" w:hAnsi="Times New Roman" w:eastAsia="宋体" w:cs="Times New Roman"/>
          <w:color w:val="auto"/>
          <w:kern w:val="0"/>
          <w:szCs w:val="20"/>
          <w:highlight w:val="none"/>
        </w:rPr>
        <w:t>有的治理框架或</w:t>
      </w:r>
      <w:r>
        <w:rPr>
          <w:rFonts w:hint="eastAsia" w:ascii="宋体" w:hAnsi="Times New Roman" w:eastAsia="宋体" w:cs="Times New Roman"/>
          <w:color w:val="auto"/>
          <w:kern w:val="0"/>
          <w:szCs w:val="20"/>
          <w:highlight w:val="none"/>
        </w:rPr>
        <w:t>采用</w:t>
      </w:r>
      <w:r>
        <w:rPr>
          <w:rFonts w:ascii="宋体" w:hAnsi="Times New Roman" w:eastAsia="宋体" w:cs="Times New Roman"/>
          <w:color w:val="auto"/>
          <w:kern w:val="0"/>
          <w:szCs w:val="20"/>
          <w:highlight w:val="none"/>
        </w:rPr>
        <w:t>本文件所</w:t>
      </w:r>
      <w:r>
        <w:rPr>
          <w:rFonts w:hint="eastAsia" w:ascii="宋体" w:hAnsi="Times New Roman" w:eastAsia="宋体" w:cs="Times New Roman"/>
          <w:color w:val="auto"/>
          <w:kern w:val="0"/>
          <w:szCs w:val="20"/>
          <w:highlight w:val="none"/>
        </w:rPr>
        <w:t>提出</w:t>
      </w:r>
      <w:r>
        <w:rPr>
          <w:rFonts w:ascii="宋体" w:hAnsi="Times New Roman" w:eastAsia="宋体" w:cs="Times New Roman"/>
          <w:color w:val="auto"/>
          <w:kern w:val="0"/>
          <w:szCs w:val="20"/>
          <w:highlight w:val="none"/>
        </w:rPr>
        <w:t>的治理架构。</w:t>
      </w:r>
    </w:p>
    <w:p w14:paraId="275EED9C">
      <w:pPr>
        <w:numPr>
          <w:ilvl w:val="3"/>
          <w:numId w:val="0"/>
        </w:numPr>
        <w:spacing w:before="156" w:beforeLines="50" w:after="156" w:afterLines="50"/>
        <w:outlineLvl w:val="2"/>
        <w:rPr>
          <w:rFonts w:ascii="黑体" w:hAnsi="Times New Roman" w:eastAsia="黑体" w:cs="Times New Roman"/>
          <w:color w:val="auto"/>
          <w:kern w:val="0"/>
          <w:szCs w:val="20"/>
          <w:highlight w:val="none"/>
        </w:rPr>
      </w:pPr>
      <w:bookmarkStart w:id="69" w:name="_Toc27857"/>
      <w:bookmarkEnd w:id="69"/>
      <w:bookmarkStart w:id="70" w:name="_Toc24463"/>
      <w:r>
        <w:rPr>
          <w:rFonts w:hint="eastAsia" w:ascii="黑体" w:hAnsi="Times New Roman" w:eastAsia="黑体" w:cs="Times New Roman"/>
          <w:color w:val="auto"/>
          <w:kern w:val="0"/>
          <w:szCs w:val="20"/>
          <w:highlight w:val="none"/>
        </w:rPr>
        <w:t>6</w:t>
      </w:r>
      <w:r>
        <w:rPr>
          <w:rFonts w:ascii="黑体" w:hAnsi="Times New Roman" w:eastAsia="黑体" w:cs="Times New Roman"/>
          <w:color w:val="auto"/>
          <w:kern w:val="0"/>
          <w:szCs w:val="20"/>
          <w:highlight w:val="none"/>
        </w:rPr>
        <w:t xml:space="preserve">.1.2 </w:t>
      </w:r>
      <w:r>
        <w:rPr>
          <w:rFonts w:hint="eastAsia" w:ascii="黑体" w:hAnsi="Times New Roman" w:eastAsia="黑体" w:cs="Times New Roman"/>
          <w:color w:val="auto"/>
          <w:kern w:val="0"/>
          <w:szCs w:val="20"/>
          <w:highlight w:val="none"/>
        </w:rPr>
        <w:t>城市韧性建设领导小组组长</w:t>
      </w:r>
      <w:bookmarkEnd w:id="70"/>
    </w:p>
    <w:p w14:paraId="7FCE41C0">
      <w:pPr>
        <w:pStyle w:val="167"/>
        <w:bidi w:val="0"/>
        <w:rPr>
          <w:color w:val="auto"/>
          <w:highlight w:val="none"/>
        </w:rPr>
      </w:pPr>
      <w:bookmarkStart w:id="71" w:name="13"/>
      <w:bookmarkEnd w:id="71"/>
      <w:r>
        <w:rPr>
          <w:color w:val="auto"/>
          <w:highlight w:val="none"/>
        </w:rPr>
        <w:t>为提升城市韧性能力，需由具备</w:t>
      </w:r>
      <w:r>
        <w:rPr>
          <w:rFonts w:hint="eastAsia"/>
          <w:color w:val="auto"/>
          <w:highlight w:val="none"/>
        </w:rPr>
        <w:t>领导小组组长任命</w:t>
      </w:r>
      <w:r>
        <w:rPr>
          <w:color w:val="auto"/>
          <w:highlight w:val="none"/>
        </w:rPr>
        <w:t>权限的</w:t>
      </w:r>
      <w:r>
        <w:rPr>
          <w:rFonts w:hint="eastAsia"/>
          <w:color w:val="auto"/>
          <w:highlight w:val="none"/>
        </w:rPr>
        <w:t>部门</w:t>
      </w:r>
      <w:r>
        <w:rPr>
          <w:color w:val="auto"/>
          <w:highlight w:val="none"/>
        </w:rPr>
        <w:t>，</w:t>
      </w:r>
      <w:r>
        <w:rPr>
          <w:rFonts w:hint="eastAsia"/>
          <w:color w:val="auto"/>
          <w:highlight w:val="none"/>
        </w:rPr>
        <w:t>进行任命或赋予职权</w:t>
      </w:r>
      <w:r>
        <w:rPr>
          <w:color w:val="auto"/>
          <w:highlight w:val="none"/>
        </w:rPr>
        <w:t>。需</w:t>
      </w:r>
      <w:r>
        <w:rPr>
          <w:rFonts w:hint="eastAsia"/>
          <w:color w:val="auto"/>
          <w:highlight w:val="none"/>
        </w:rPr>
        <w:t>明确</w:t>
      </w:r>
      <w:r>
        <w:rPr>
          <w:color w:val="auto"/>
          <w:highlight w:val="none"/>
        </w:rPr>
        <w:t>该</w:t>
      </w:r>
      <w:r>
        <w:rPr>
          <w:rFonts w:hint="eastAsia"/>
          <w:color w:val="auto"/>
          <w:highlight w:val="none"/>
        </w:rPr>
        <w:t>领导小组组长的职责</w:t>
      </w:r>
      <w:r>
        <w:rPr>
          <w:color w:val="auto"/>
          <w:highlight w:val="none"/>
        </w:rPr>
        <w:t>界定，</w:t>
      </w:r>
      <w:r>
        <w:rPr>
          <w:rFonts w:hint="eastAsia"/>
          <w:color w:val="auto"/>
          <w:highlight w:val="none"/>
        </w:rPr>
        <w:t>明确对应</w:t>
      </w:r>
      <w:r>
        <w:rPr>
          <w:color w:val="auto"/>
          <w:highlight w:val="none"/>
        </w:rPr>
        <w:t>资质、</w:t>
      </w:r>
      <w:r>
        <w:rPr>
          <w:rFonts w:hint="eastAsia"/>
          <w:color w:val="auto"/>
          <w:highlight w:val="none"/>
        </w:rPr>
        <w:t>从业经历</w:t>
      </w:r>
      <w:r>
        <w:rPr>
          <w:color w:val="auto"/>
          <w:highlight w:val="none"/>
        </w:rPr>
        <w:t>及专业能力</w:t>
      </w:r>
      <w:r>
        <w:rPr>
          <w:rFonts w:hint="eastAsia"/>
          <w:color w:val="auto"/>
          <w:highlight w:val="none"/>
        </w:rPr>
        <w:t>的要求</w:t>
      </w:r>
      <w:r>
        <w:rPr>
          <w:color w:val="auto"/>
          <w:highlight w:val="none"/>
        </w:rPr>
        <w:t>，</w:t>
      </w:r>
      <w:r>
        <w:rPr>
          <w:rFonts w:hint="eastAsia"/>
          <w:color w:val="auto"/>
          <w:highlight w:val="none"/>
        </w:rPr>
        <w:t>确保</w:t>
      </w:r>
      <w:r>
        <w:rPr>
          <w:color w:val="auto"/>
          <w:highlight w:val="none"/>
        </w:rPr>
        <w:t>选拔出</w:t>
      </w:r>
      <w:r>
        <w:rPr>
          <w:rFonts w:hint="eastAsia"/>
          <w:color w:val="auto"/>
          <w:highlight w:val="none"/>
        </w:rPr>
        <w:t>能够胜任的合适人选担任该职务</w:t>
      </w:r>
      <w:r>
        <w:rPr>
          <w:color w:val="auto"/>
          <w:highlight w:val="none"/>
        </w:rPr>
        <w:t>。</w:t>
      </w:r>
    </w:p>
    <w:p w14:paraId="26BD58EA">
      <w:pPr>
        <w:pStyle w:val="167"/>
        <w:bidi w:val="0"/>
        <w:rPr>
          <w:color w:val="auto"/>
          <w:highlight w:val="none"/>
        </w:rPr>
      </w:pPr>
      <w:r>
        <w:rPr>
          <w:color w:val="auto"/>
          <w:highlight w:val="none"/>
        </w:rPr>
        <w:t>为</w:t>
      </w:r>
      <w:r>
        <w:rPr>
          <w:rFonts w:hint="eastAsia"/>
          <w:color w:val="auto"/>
          <w:highlight w:val="none"/>
        </w:rPr>
        <w:t>彰</w:t>
      </w:r>
      <w:r>
        <w:rPr>
          <w:color w:val="auto"/>
          <w:highlight w:val="none"/>
        </w:rPr>
        <w:t>显该岗位的重要性，</w:t>
      </w:r>
      <w:r>
        <w:rPr>
          <w:rFonts w:hint="eastAsia"/>
          <w:color w:val="auto"/>
          <w:highlight w:val="none"/>
        </w:rPr>
        <w:t>宜通过正式文件、新闻发布会、政府网站等方式向社会公开领导小组组长</w:t>
      </w:r>
      <w:r>
        <w:rPr>
          <w:color w:val="auto"/>
          <w:highlight w:val="none"/>
        </w:rPr>
        <w:t>的任命</w:t>
      </w:r>
      <w:r>
        <w:rPr>
          <w:rFonts w:hint="eastAsia"/>
          <w:color w:val="auto"/>
          <w:highlight w:val="none"/>
        </w:rPr>
        <w:t>及其主要职责</w:t>
      </w:r>
      <w:r>
        <w:rPr>
          <w:color w:val="auto"/>
          <w:highlight w:val="none"/>
        </w:rPr>
        <w:t>。</w:t>
      </w:r>
    </w:p>
    <w:p w14:paraId="4908CDB8">
      <w:pPr>
        <w:numPr>
          <w:ilvl w:val="3"/>
          <w:numId w:val="0"/>
        </w:numPr>
        <w:spacing w:before="156" w:beforeLines="50" w:after="156" w:afterLines="50"/>
        <w:outlineLvl w:val="2"/>
        <w:rPr>
          <w:rFonts w:ascii="黑体" w:hAnsi="Times New Roman" w:eastAsia="黑体" w:cs="Times New Roman"/>
          <w:color w:val="auto"/>
          <w:kern w:val="0"/>
          <w:szCs w:val="20"/>
          <w:highlight w:val="none"/>
        </w:rPr>
      </w:pPr>
      <w:bookmarkStart w:id="72" w:name="_Toc22485"/>
      <w:bookmarkEnd w:id="72"/>
      <w:bookmarkStart w:id="73" w:name="_Toc28057"/>
      <w:r>
        <w:rPr>
          <w:rFonts w:hint="eastAsia" w:ascii="黑体" w:hAnsi="Times New Roman" w:eastAsia="黑体" w:cs="Times New Roman"/>
          <w:color w:val="auto"/>
          <w:kern w:val="0"/>
          <w:szCs w:val="20"/>
          <w:highlight w:val="none"/>
        </w:rPr>
        <w:t>6</w:t>
      </w:r>
      <w:r>
        <w:rPr>
          <w:rFonts w:ascii="黑体" w:hAnsi="Times New Roman" w:eastAsia="黑体" w:cs="Times New Roman"/>
          <w:color w:val="auto"/>
          <w:kern w:val="0"/>
          <w:szCs w:val="20"/>
          <w:highlight w:val="none"/>
        </w:rPr>
        <w:t>.1.3 承诺</w:t>
      </w:r>
      <w:bookmarkEnd w:id="73"/>
    </w:p>
    <w:p w14:paraId="71C8D4F9">
      <w:pPr>
        <w:pStyle w:val="59"/>
        <w:bidi w:val="0"/>
        <w:rPr>
          <w:color w:val="auto"/>
          <w:highlight w:val="none"/>
        </w:rPr>
      </w:pPr>
      <w:r>
        <w:rPr>
          <w:rFonts w:hint="eastAsia"/>
          <w:color w:val="auto"/>
          <w:highlight w:val="none"/>
        </w:rPr>
        <w:t>城市韧性建设领导小组宜</w:t>
      </w:r>
      <w:r>
        <w:rPr>
          <w:color w:val="auto"/>
          <w:highlight w:val="none"/>
        </w:rPr>
        <w:t>：</w:t>
      </w:r>
    </w:p>
    <w:p w14:paraId="409F3916">
      <w:pPr>
        <w:pStyle w:val="177"/>
        <w:numPr>
          <w:ilvl w:val="0"/>
          <w:numId w:val="33"/>
        </w:numPr>
        <w:bidi w:val="0"/>
        <w:ind w:left="851" w:leftChars="0" w:hanging="426" w:firstLineChars="0"/>
        <w:rPr>
          <w:color w:val="auto"/>
          <w:highlight w:val="none"/>
        </w:rPr>
      </w:pPr>
      <w:r>
        <w:rPr>
          <w:color w:val="auto"/>
          <w:highlight w:val="none"/>
        </w:rPr>
        <w:t>展现对城市韧性建设坚定且持久的承诺；</w:t>
      </w:r>
    </w:p>
    <w:p w14:paraId="265072AC">
      <w:pPr>
        <w:pStyle w:val="177"/>
        <w:numPr>
          <w:ilvl w:val="0"/>
          <w:numId w:val="33"/>
        </w:numPr>
        <w:bidi w:val="0"/>
        <w:ind w:left="851" w:leftChars="0" w:hanging="426" w:firstLineChars="0"/>
        <w:rPr>
          <w:color w:val="auto"/>
          <w:highlight w:val="none"/>
        </w:rPr>
      </w:pPr>
      <w:r>
        <w:rPr>
          <w:color w:val="auto"/>
          <w:highlight w:val="none"/>
        </w:rPr>
        <w:t>动员在</w:t>
      </w:r>
      <w:r>
        <w:rPr>
          <w:rFonts w:hint="eastAsia"/>
          <w:color w:val="auto"/>
          <w:highlight w:val="none"/>
        </w:rPr>
        <w:t>领导小组办公室及领导小组成员单位中担任</w:t>
      </w:r>
      <w:r>
        <w:rPr>
          <w:color w:val="auto"/>
          <w:highlight w:val="none"/>
        </w:rPr>
        <w:t>正式</w:t>
      </w:r>
      <w:r>
        <w:rPr>
          <w:rFonts w:hint="eastAsia"/>
          <w:color w:val="auto"/>
          <w:highlight w:val="none"/>
        </w:rPr>
        <w:t>角色与</w:t>
      </w:r>
      <w:r>
        <w:rPr>
          <w:color w:val="auto"/>
          <w:highlight w:val="none"/>
        </w:rPr>
        <w:t>职责的所有相关方</w:t>
      </w:r>
      <w:r>
        <w:rPr>
          <w:rFonts w:hint="eastAsia"/>
          <w:color w:val="auto"/>
          <w:highlight w:val="none"/>
        </w:rPr>
        <w:t>提供支持</w:t>
      </w:r>
      <w:r>
        <w:rPr>
          <w:color w:val="auto"/>
          <w:highlight w:val="none"/>
        </w:rPr>
        <w:t>。</w:t>
      </w:r>
    </w:p>
    <w:p w14:paraId="774C0A2C">
      <w:pPr>
        <w:numPr>
          <w:ilvl w:val="3"/>
          <w:numId w:val="0"/>
        </w:numPr>
        <w:spacing w:before="156" w:beforeLines="50" w:after="156" w:afterLines="50"/>
        <w:outlineLvl w:val="2"/>
        <w:rPr>
          <w:rFonts w:ascii="黑体" w:hAnsi="Times New Roman" w:eastAsia="黑体" w:cs="Times New Roman"/>
          <w:bCs/>
          <w:color w:val="auto"/>
          <w:kern w:val="0"/>
          <w:szCs w:val="20"/>
          <w:highlight w:val="none"/>
        </w:rPr>
      </w:pPr>
      <w:bookmarkStart w:id="74" w:name="_Toc3554"/>
      <w:bookmarkEnd w:id="74"/>
      <w:bookmarkStart w:id="75" w:name="_Toc32733"/>
      <w:r>
        <w:rPr>
          <w:rFonts w:hint="eastAsia" w:ascii="黑体" w:hAnsi="Times New Roman" w:eastAsia="黑体" w:cs="Times New Roman"/>
          <w:color w:val="auto"/>
          <w:kern w:val="0"/>
          <w:szCs w:val="20"/>
          <w:highlight w:val="none"/>
        </w:rPr>
        <w:t>6</w:t>
      </w:r>
      <w:r>
        <w:rPr>
          <w:rFonts w:ascii="黑体" w:hAnsi="Times New Roman" w:eastAsia="黑体" w:cs="Times New Roman"/>
          <w:color w:val="auto"/>
          <w:kern w:val="0"/>
          <w:szCs w:val="20"/>
          <w:highlight w:val="none"/>
        </w:rPr>
        <w:t>.1.4 城市韧性政策</w:t>
      </w:r>
      <w:bookmarkEnd w:id="75"/>
    </w:p>
    <w:p w14:paraId="3B2F2415">
      <w:pPr>
        <w:pStyle w:val="59"/>
        <w:bidi w:val="0"/>
        <w:rPr>
          <w:color w:val="auto"/>
          <w:highlight w:val="none"/>
        </w:rPr>
      </w:pPr>
      <w:r>
        <w:rPr>
          <w:rFonts w:hint="eastAsia"/>
          <w:color w:val="auto"/>
          <w:highlight w:val="none"/>
        </w:rPr>
        <w:t>城市韧性建设领导小组宜</w:t>
      </w:r>
      <w:r>
        <w:rPr>
          <w:color w:val="auto"/>
          <w:highlight w:val="none"/>
        </w:rPr>
        <w:t>：</w:t>
      </w:r>
    </w:p>
    <w:p w14:paraId="1A881B43">
      <w:pPr>
        <w:pStyle w:val="177"/>
        <w:numPr>
          <w:ilvl w:val="0"/>
          <w:numId w:val="34"/>
        </w:numPr>
        <w:bidi w:val="0"/>
        <w:rPr>
          <w:color w:val="auto"/>
          <w:highlight w:val="none"/>
        </w:rPr>
      </w:pPr>
      <w:r>
        <w:rPr>
          <w:color w:val="auto"/>
          <w:highlight w:val="none"/>
        </w:rPr>
        <w:pict>
          <v:shape id="_x0000_s1026" o:spid="_x0000_s1026" o:spt="75" type="#_x0000_t75" style="position:absolute;left:0pt;margin-left:89.05pt;margin-top:147.75pt;height:132.1pt;width:293.65pt;mso-wrap-distance-bottom:0pt;mso-wrap-distance-top:0pt;z-index:251664384;mso-width-relative:page;mso-height-relative:page;" o:ole="t" filled="f" o:preferrelative="t" stroked="f" coordsize="21600,21600">
            <v:path/>
            <v:fill on="f" focussize="0,0"/>
            <v:stroke on="f"/>
            <v:imagedata r:id="rId23" cropleft="13668f" croptop="19155f" cropright="27937f" cropbottom="27213f" o:title=""/>
            <o:lock v:ext="edit" aspectratio="t"/>
            <w10:wrap type="topAndBottom"/>
          </v:shape>
          <o:OLEObject Type="Embed" ProgID="PowerPoint.Show.12" ShapeID="_x0000_s1026" DrawAspect="Content" ObjectID="_1468075725" r:id="rId22">
            <o:LockedField>false</o:LockedField>
          </o:OLEObject>
        </w:pict>
      </w:r>
      <w:r>
        <w:rPr>
          <w:color w:val="auto"/>
          <w:highlight w:val="none"/>
        </w:rPr>
        <w:t>制定城市韧性政策，</w:t>
      </w:r>
      <w:r>
        <w:rPr>
          <w:rFonts w:hint="eastAsia"/>
          <w:color w:val="auto"/>
          <w:highlight w:val="none"/>
        </w:rPr>
        <w:t>明确</w:t>
      </w:r>
      <w:r>
        <w:rPr>
          <w:color w:val="auto"/>
          <w:highlight w:val="none"/>
        </w:rPr>
        <w:t>城市韧性</w:t>
      </w:r>
      <w:r>
        <w:rPr>
          <w:rFonts w:hint="eastAsia"/>
          <w:color w:val="auto"/>
          <w:highlight w:val="none"/>
        </w:rPr>
        <w:t>建设过程中</w:t>
      </w:r>
      <w:r>
        <w:rPr>
          <w:color w:val="auto"/>
          <w:highlight w:val="none"/>
        </w:rPr>
        <w:t>的参与</w:t>
      </w:r>
      <w:r>
        <w:rPr>
          <w:rFonts w:hint="eastAsia"/>
          <w:color w:val="auto"/>
          <w:highlight w:val="none"/>
        </w:rPr>
        <w:t>准</w:t>
      </w:r>
      <w:r>
        <w:rPr>
          <w:color w:val="auto"/>
          <w:highlight w:val="none"/>
        </w:rPr>
        <w:t>则、预期目标及治理架构；</w:t>
      </w:r>
    </w:p>
    <w:p w14:paraId="728AA6D0">
      <w:pPr>
        <w:pStyle w:val="177"/>
        <w:numPr>
          <w:ilvl w:val="0"/>
          <w:numId w:val="34"/>
        </w:numPr>
        <w:bidi w:val="0"/>
        <w:rPr>
          <w:color w:val="auto"/>
          <w:highlight w:val="none"/>
        </w:rPr>
      </w:pPr>
      <w:r>
        <w:rPr>
          <w:color w:val="auto"/>
          <w:highlight w:val="none"/>
        </w:rPr>
        <w:t>将该政策作为核心</w:t>
      </w:r>
      <w:r>
        <w:rPr>
          <w:rFonts w:hint="eastAsia"/>
          <w:color w:val="auto"/>
          <w:highlight w:val="none"/>
        </w:rPr>
        <w:t>资源</w:t>
      </w:r>
      <w:r>
        <w:rPr>
          <w:color w:val="auto"/>
          <w:highlight w:val="none"/>
        </w:rPr>
        <w:t>和公认的行为</w:t>
      </w:r>
      <w:r>
        <w:rPr>
          <w:rFonts w:hint="eastAsia"/>
          <w:color w:val="auto"/>
          <w:highlight w:val="none"/>
        </w:rPr>
        <w:t>准则</w:t>
      </w:r>
      <w:r>
        <w:rPr>
          <w:color w:val="auto"/>
          <w:highlight w:val="none"/>
        </w:rPr>
        <w:t>，指导参与城市韧性工作的组织和个人。</w:t>
      </w:r>
    </w:p>
    <w:p w14:paraId="4C2E72B9">
      <w:pPr>
        <w:numPr>
          <w:ilvl w:val="3"/>
          <w:numId w:val="0"/>
        </w:numPr>
        <w:spacing w:before="156" w:beforeLines="50" w:after="156" w:afterLines="50"/>
        <w:outlineLvl w:val="2"/>
        <w:rPr>
          <w:rFonts w:ascii="黑体" w:hAnsi="Times New Roman" w:eastAsia="黑体" w:cs="Times New Roman"/>
          <w:bCs/>
          <w:color w:val="auto"/>
          <w:kern w:val="0"/>
          <w:szCs w:val="20"/>
          <w:highlight w:val="none"/>
        </w:rPr>
      </w:pPr>
      <w:bookmarkStart w:id="76" w:name="_Toc1115"/>
      <w:bookmarkEnd w:id="76"/>
      <w:bookmarkStart w:id="77" w:name="_Toc27611"/>
      <w:r>
        <w:rPr>
          <w:rFonts w:ascii="黑体" w:hAnsi="Times New Roman" w:eastAsia="黑体" w:cs="Times New Roman"/>
          <w:color w:val="auto"/>
          <w:kern w:val="0"/>
          <w:szCs w:val="20"/>
          <w:highlight w:val="none"/>
        </w:rPr>
        <w:t>6.1.5 治理结构</w:t>
      </w:r>
      <w:bookmarkEnd w:id="77"/>
    </w:p>
    <w:p w14:paraId="2CF3F21C">
      <w:pPr>
        <w:widowControl/>
        <w:numPr>
          <w:ilvl w:val="4"/>
          <w:numId w:val="0"/>
        </w:numPr>
        <w:spacing w:before="156" w:beforeLines="50" w:after="156" w:afterLines="50"/>
        <w:outlineLvl w:val="3"/>
        <w:rPr>
          <w:rFonts w:ascii="黑体" w:hAnsi="Times New Roman" w:eastAsia="黑体" w:cs="Times New Roman"/>
          <w:bCs/>
          <w:color w:val="auto"/>
          <w:kern w:val="0"/>
          <w:szCs w:val="20"/>
          <w:highlight w:val="none"/>
        </w:rPr>
      </w:pPr>
      <w:r>
        <w:rPr>
          <w:rFonts w:hint="eastAsia" w:ascii="黑体" w:hAnsi="Times New Roman" w:eastAsia="黑体" w:cs="Times New Roman"/>
          <w:color w:val="auto"/>
          <w:kern w:val="0"/>
          <w:szCs w:val="20"/>
          <w:highlight w:val="none"/>
        </w:rPr>
        <w:t>6</w:t>
      </w:r>
      <w:r>
        <w:rPr>
          <w:rFonts w:ascii="黑体" w:hAnsi="Times New Roman" w:eastAsia="黑体" w:cs="Times New Roman"/>
          <w:color w:val="auto"/>
          <w:kern w:val="0"/>
          <w:szCs w:val="20"/>
          <w:highlight w:val="none"/>
        </w:rPr>
        <w:t xml:space="preserve">.1.5.1 </w:t>
      </w:r>
      <w:r>
        <w:rPr>
          <w:rFonts w:hint="eastAsia" w:ascii="黑体" w:hAnsi="Times New Roman" w:eastAsia="黑体" w:cs="Times New Roman"/>
          <w:color w:val="auto"/>
          <w:kern w:val="0"/>
          <w:szCs w:val="20"/>
          <w:highlight w:val="none"/>
        </w:rPr>
        <w:t>概述</w:t>
      </w:r>
    </w:p>
    <w:p w14:paraId="259BD9EA">
      <w:pPr>
        <w:pStyle w:val="59"/>
        <w:bidi w:val="0"/>
        <w:rPr>
          <w:color w:val="auto"/>
          <w:highlight w:val="none"/>
        </w:rPr>
      </w:pPr>
      <w:r>
        <w:rPr>
          <w:color w:val="auto"/>
          <w:highlight w:val="none"/>
        </w:rPr>
        <w:t>图2</w:t>
      </w:r>
      <w:r>
        <w:rPr>
          <w:rFonts w:hint="eastAsia"/>
          <w:color w:val="auto"/>
          <w:highlight w:val="none"/>
        </w:rPr>
        <w:t>给出了城</w:t>
      </w:r>
      <w:r>
        <w:rPr>
          <w:color w:val="auto"/>
          <w:highlight w:val="none"/>
        </w:rPr>
        <w:t>市韧性建设的</w:t>
      </w:r>
      <w:r>
        <w:rPr>
          <w:rFonts w:hint="eastAsia"/>
          <w:color w:val="auto"/>
          <w:highlight w:val="none"/>
        </w:rPr>
        <w:t>典型</w:t>
      </w:r>
      <w:r>
        <w:rPr>
          <w:color w:val="auto"/>
          <w:highlight w:val="none"/>
        </w:rPr>
        <w:t>治理架构，</w:t>
      </w:r>
      <w:r>
        <w:rPr>
          <w:rFonts w:hint="eastAsia"/>
          <w:color w:val="auto"/>
          <w:highlight w:val="none"/>
        </w:rPr>
        <w:t>该架构</w:t>
      </w:r>
      <w:r>
        <w:rPr>
          <w:color w:val="auto"/>
          <w:highlight w:val="none"/>
        </w:rPr>
        <w:t>可依据城市区域的规模与资源进行调整。</w:t>
      </w:r>
    </w:p>
    <w:p w14:paraId="6703B342">
      <w:pPr>
        <w:widowControl/>
        <w:autoSpaceDE w:val="0"/>
        <w:autoSpaceDN w:val="0"/>
        <w:ind w:firstLine="0" w:firstLineChars="0"/>
        <w:jc w:val="center"/>
        <w:rPr>
          <w:rFonts w:ascii="宋体" w:hAnsi="Times New Roman" w:eastAsia="宋体" w:cs="Times New Roman"/>
          <w:color w:val="auto"/>
          <w:kern w:val="0"/>
          <w:szCs w:val="20"/>
          <w:highlight w:val="none"/>
        </w:rPr>
      </w:pPr>
    </w:p>
    <w:p w14:paraId="1400CF3C">
      <w:pPr>
        <w:pStyle w:val="117"/>
        <w:numPr>
          <w:ilvl w:val="0"/>
          <w:numId w:val="17"/>
        </w:numPr>
        <w:spacing w:before="156" w:after="156"/>
        <w:rPr>
          <w:rFonts w:hint="eastAsia"/>
          <w:color w:val="auto"/>
          <w:highlight w:val="none"/>
          <w:lang w:eastAsia="zh-CN"/>
        </w:rPr>
      </w:pPr>
      <w:r>
        <w:rPr>
          <w:rFonts w:hint="eastAsia"/>
          <w:color w:val="auto"/>
          <w:highlight w:val="none"/>
          <w:lang w:eastAsia="zh-CN"/>
        </w:rPr>
        <w:t>治理架构模型</w:t>
      </w:r>
    </w:p>
    <w:p w14:paraId="7E1AE59E">
      <w:pPr>
        <w:pStyle w:val="182"/>
        <w:bidi w:val="0"/>
        <w:rPr>
          <w:color w:val="auto"/>
          <w:highlight w:val="none"/>
        </w:rPr>
      </w:pPr>
      <w:r>
        <w:rPr>
          <w:rFonts w:hint="eastAsia"/>
          <w:color w:val="auto"/>
          <w:highlight w:val="none"/>
        </w:rPr>
        <w:t>GB/T 45948</w:t>
      </w:r>
      <w:r>
        <w:rPr>
          <w:color w:val="auto"/>
          <w:highlight w:val="none"/>
        </w:rPr>
        <w:t>为组织治理的有效</w:t>
      </w:r>
      <w:r>
        <w:rPr>
          <w:rFonts w:hint="eastAsia"/>
          <w:color w:val="auto"/>
          <w:highlight w:val="none"/>
        </w:rPr>
        <w:t>落实</w:t>
      </w:r>
      <w:r>
        <w:rPr>
          <w:color w:val="auto"/>
          <w:highlight w:val="none"/>
        </w:rPr>
        <w:t>提供</w:t>
      </w:r>
      <w:r>
        <w:rPr>
          <w:rFonts w:hint="eastAsia"/>
          <w:color w:val="auto"/>
          <w:highlight w:val="none"/>
        </w:rPr>
        <w:t>了</w:t>
      </w:r>
      <w:r>
        <w:rPr>
          <w:color w:val="auto"/>
          <w:highlight w:val="none"/>
        </w:rPr>
        <w:t>指导。</w:t>
      </w:r>
    </w:p>
    <w:p w14:paraId="68E7E0C6">
      <w:pPr>
        <w:widowControl/>
        <w:numPr>
          <w:ilvl w:val="4"/>
          <w:numId w:val="0"/>
        </w:numPr>
        <w:spacing w:before="156" w:beforeLines="50" w:after="156" w:afterLines="50"/>
        <w:outlineLvl w:val="3"/>
        <w:rPr>
          <w:rFonts w:ascii="黑体" w:hAnsi="Times New Roman" w:eastAsia="黑体" w:cs="Times New Roman"/>
          <w:bCs/>
          <w:color w:val="auto"/>
          <w:kern w:val="0"/>
          <w:szCs w:val="20"/>
          <w:highlight w:val="none"/>
        </w:rPr>
      </w:pPr>
      <w:bookmarkStart w:id="78" w:name="14"/>
      <w:bookmarkEnd w:id="78"/>
      <w:r>
        <w:rPr>
          <w:rFonts w:hint="eastAsia" w:ascii="黑体" w:hAnsi="Times New Roman" w:eastAsia="黑体" w:cs="Times New Roman"/>
          <w:color w:val="auto"/>
          <w:kern w:val="0"/>
          <w:szCs w:val="20"/>
          <w:highlight w:val="none"/>
        </w:rPr>
        <w:t>6</w:t>
      </w:r>
      <w:r>
        <w:rPr>
          <w:rFonts w:ascii="黑体" w:hAnsi="Times New Roman" w:eastAsia="黑体" w:cs="Times New Roman"/>
          <w:color w:val="auto"/>
          <w:kern w:val="0"/>
          <w:szCs w:val="20"/>
          <w:highlight w:val="none"/>
        </w:rPr>
        <w:t xml:space="preserve">.1.5.2 </w:t>
      </w:r>
      <w:r>
        <w:rPr>
          <w:rFonts w:hint="eastAsia" w:ascii="黑体" w:hAnsi="Times New Roman" w:eastAsia="黑体" w:cs="Times New Roman"/>
          <w:color w:val="auto"/>
          <w:kern w:val="0"/>
          <w:szCs w:val="20"/>
          <w:highlight w:val="none"/>
        </w:rPr>
        <w:t>城市韧性建设领导小组</w:t>
      </w:r>
    </w:p>
    <w:p w14:paraId="22A6E7DE">
      <w:pPr>
        <w:pStyle w:val="177"/>
        <w:numPr>
          <w:ilvl w:val="0"/>
          <w:numId w:val="0"/>
        </w:numPr>
        <w:bidi w:val="0"/>
        <w:ind w:left="425" w:leftChars="0"/>
        <w:rPr>
          <w:color w:val="auto"/>
          <w:highlight w:val="none"/>
        </w:rPr>
      </w:pPr>
      <w:r>
        <w:rPr>
          <w:rFonts w:hint="eastAsia"/>
          <w:color w:val="auto"/>
          <w:highlight w:val="none"/>
        </w:rPr>
        <w:t>城市韧性建设领导小组</w:t>
      </w:r>
      <w:r>
        <w:rPr>
          <w:color w:val="auto"/>
          <w:highlight w:val="none"/>
        </w:rPr>
        <w:t>（</w:t>
      </w:r>
      <w:r>
        <w:rPr>
          <w:rFonts w:hint="eastAsia"/>
          <w:color w:val="auto"/>
          <w:highlight w:val="none"/>
        </w:rPr>
        <w:t>即</w:t>
      </w:r>
      <w:r>
        <w:rPr>
          <w:color w:val="auto"/>
          <w:highlight w:val="none"/>
        </w:rPr>
        <w:t>委员会、管理机构</w:t>
      </w:r>
      <w:r>
        <w:rPr>
          <w:rFonts w:hint="eastAsia"/>
          <w:color w:val="auto"/>
          <w:highlight w:val="none"/>
        </w:rPr>
        <w:t>，或</w:t>
      </w:r>
      <w:r>
        <w:rPr>
          <w:color w:val="auto"/>
          <w:highlight w:val="none"/>
        </w:rPr>
        <w:t>在城市韧性</w:t>
      </w:r>
      <w:r>
        <w:rPr>
          <w:rFonts w:hint="eastAsia"/>
          <w:color w:val="auto"/>
          <w:highlight w:val="none"/>
        </w:rPr>
        <w:t>建设中</w:t>
      </w:r>
      <w:r>
        <w:rPr>
          <w:color w:val="auto"/>
          <w:highlight w:val="none"/>
        </w:rPr>
        <w:t>拥有最终决策权的</w:t>
      </w:r>
      <w:r>
        <w:rPr>
          <w:rFonts w:hint="eastAsia"/>
          <w:color w:val="auto"/>
          <w:highlight w:val="none"/>
        </w:rPr>
        <w:t>机构）宜</w:t>
      </w:r>
      <w:r>
        <w:rPr>
          <w:color w:val="auto"/>
          <w:highlight w:val="none"/>
        </w:rPr>
        <w:t>：</w:t>
      </w:r>
    </w:p>
    <w:p w14:paraId="781A049D">
      <w:pPr>
        <w:pStyle w:val="177"/>
        <w:numPr>
          <w:ilvl w:val="0"/>
          <w:numId w:val="35"/>
        </w:numPr>
        <w:bidi w:val="0"/>
        <w:rPr>
          <w:color w:val="auto"/>
          <w:highlight w:val="none"/>
        </w:rPr>
      </w:pPr>
      <w:r>
        <w:rPr>
          <w:rFonts w:hint="eastAsia"/>
          <w:color w:val="auto"/>
          <w:highlight w:val="none"/>
        </w:rPr>
        <w:t>发挥并履行主导者角色，推动城市韧性政策与战略的制定与实施</w:t>
      </w:r>
      <w:r>
        <w:rPr>
          <w:color w:val="auto"/>
          <w:highlight w:val="none"/>
        </w:rPr>
        <w:t>；</w:t>
      </w:r>
    </w:p>
    <w:p w14:paraId="192FFA7E">
      <w:pPr>
        <w:pStyle w:val="177"/>
        <w:numPr>
          <w:ilvl w:val="0"/>
          <w:numId w:val="35"/>
        </w:numPr>
        <w:bidi w:val="0"/>
        <w:rPr>
          <w:color w:val="auto"/>
          <w:highlight w:val="none"/>
        </w:rPr>
      </w:pPr>
      <w:r>
        <w:rPr>
          <w:rFonts w:hint="eastAsia"/>
          <w:color w:val="auto"/>
          <w:highlight w:val="none"/>
        </w:rPr>
        <w:t>排除</w:t>
      </w:r>
      <w:r>
        <w:rPr>
          <w:color w:val="auto"/>
          <w:highlight w:val="none"/>
        </w:rPr>
        <w:t>阻碍，</w:t>
      </w:r>
      <w:r>
        <w:rPr>
          <w:rFonts w:hint="eastAsia"/>
          <w:color w:val="auto"/>
          <w:highlight w:val="none"/>
        </w:rPr>
        <w:t>推动</w:t>
      </w:r>
      <w:r>
        <w:rPr>
          <w:color w:val="auto"/>
          <w:highlight w:val="none"/>
        </w:rPr>
        <w:t>城市韧性战略</w:t>
      </w:r>
      <w:r>
        <w:rPr>
          <w:rFonts w:hint="eastAsia"/>
          <w:color w:val="auto"/>
          <w:highlight w:val="none"/>
        </w:rPr>
        <w:t>实施</w:t>
      </w:r>
      <w:r>
        <w:rPr>
          <w:color w:val="auto"/>
          <w:highlight w:val="none"/>
        </w:rPr>
        <w:t>；</w:t>
      </w:r>
    </w:p>
    <w:p w14:paraId="60A96633">
      <w:pPr>
        <w:pStyle w:val="177"/>
        <w:numPr>
          <w:ilvl w:val="0"/>
          <w:numId w:val="35"/>
        </w:numPr>
        <w:bidi w:val="0"/>
        <w:rPr>
          <w:color w:val="auto"/>
          <w:highlight w:val="none"/>
        </w:rPr>
      </w:pPr>
      <w:r>
        <w:rPr>
          <w:color w:val="auto"/>
          <w:highlight w:val="none"/>
        </w:rPr>
        <w:t>通过各类媒体渠道</w:t>
      </w:r>
      <w:r>
        <w:rPr>
          <w:rFonts w:hint="eastAsia"/>
          <w:color w:val="auto"/>
          <w:highlight w:val="none"/>
        </w:rPr>
        <w:t>，</w:t>
      </w:r>
      <w:r>
        <w:rPr>
          <w:color w:val="auto"/>
          <w:highlight w:val="none"/>
        </w:rPr>
        <w:t>发布正式及非正式</w:t>
      </w:r>
      <w:r>
        <w:rPr>
          <w:rFonts w:hint="eastAsia"/>
          <w:color w:val="auto"/>
          <w:highlight w:val="none"/>
        </w:rPr>
        <w:t>的定期更新</w:t>
      </w:r>
      <w:r>
        <w:rPr>
          <w:color w:val="auto"/>
          <w:highlight w:val="none"/>
        </w:rPr>
        <w:t>，鼓励发展整体性的城市韧性文化。</w:t>
      </w:r>
    </w:p>
    <w:p w14:paraId="5DC295BB">
      <w:pPr>
        <w:widowControl/>
        <w:numPr>
          <w:ilvl w:val="4"/>
          <w:numId w:val="0"/>
        </w:numPr>
        <w:spacing w:before="156" w:beforeLines="50" w:after="156" w:afterLines="50"/>
        <w:outlineLvl w:val="3"/>
        <w:rPr>
          <w:rFonts w:ascii="黑体" w:hAnsi="Times New Roman" w:eastAsia="黑体" w:cs="Times New Roman"/>
          <w:color w:val="auto"/>
          <w:kern w:val="0"/>
          <w:szCs w:val="20"/>
          <w:highlight w:val="none"/>
        </w:rPr>
      </w:pPr>
      <w:r>
        <w:rPr>
          <w:rFonts w:hint="eastAsia" w:ascii="黑体" w:hAnsi="Times New Roman" w:eastAsia="黑体" w:cs="Times New Roman"/>
          <w:color w:val="auto"/>
          <w:kern w:val="0"/>
          <w:szCs w:val="20"/>
          <w:highlight w:val="none"/>
        </w:rPr>
        <w:t>6</w:t>
      </w:r>
      <w:r>
        <w:rPr>
          <w:rFonts w:ascii="黑体" w:hAnsi="Times New Roman" w:eastAsia="黑体" w:cs="Times New Roman"/>
          <w:color w:val="auto"/>
          <w:kern w:val="0"/>
          <w:szCs w:val="20"/>
          <w:highlight w:val="none"/>
        </w:rPr>
        <w:t>.1.5.3 指导委员会</w:t>
      </w:r>
    </w:p>
    <w:p w14:paraId="0CF713A8">
      <w:pPr>
        <w:pStyle w:val="59"/>
        <w:bidi w:val="0"/>
        <w:rPr>
          <w:color w:val="auto"/>
          <w:highlight w:val="none"/>
        </w:rPr>
      </w:pPr>
      <w:r>
        <w:rPr>
          <w:color w:val="auto"/>
          <w:highlight w:val="none"/>
        </w:rPr>
        <w:t>指导委员会（</w:t>
      </w:r>
      <w:r>
        <w:rPr>
          <w:rFonts w:hint="eastAsia"/>
          <w:color w:val="auto"/>
          <w:highlight w:val="none"/>
        </w:rPr>
        <w:t>即参与城市韧性战略制定与落实的</w:t>
      </w:r>
      <w:r>
        <w:rPr>
          <w:color w:val="auto"/>
          <w:highlight w:val="none"/>
        </w:rPr>
        <w:t>跨</w:t>
      </w:r>
      <w:r>
        <w:rPr>
          <w:rFonts w:hint="eastAsia"/>
          <w:color w:val="auto"/>
          <w:highlight w:val="none"/>
        </w:rPr>
        <w:t>部门</w:t>
      </w:r>
      <w:r>
        <w:rPr>
          <w:color w:val="auto"/>
          <w:highlight w:val="none"/>
        </w:rPr>
        <w:t>相关方</w:t>
      </w:r>
      <w:r>
        <w:rPr>
          <w:rFonts w:hint="eastAsia"/>
          <w:color w:val="auto"/>
          <w:highlight w:val="none"/>
        </w:rPr>
        <w:t>）宜</w:t>
      </w:r>
      <w:r>
        <w:rPr>
          <w:color w:val="auto"/>
          <w:highlight w:val="none"/>
        </w:rPr>
        <w:t>：</w:t>
      </w:r>
    </w:p>
    <w:p w14:paraId="7DB9DD02">
      <w:pPr>
        <w:pStyle w:val="177"/>
        <w:numPr>
          <w:ilvl w:val="0"/>
          <w:numId w:val="36"/>
        </w:numPr>
        <w:bidi w:val="0"/>
        <w:rPr>
          <w:color w:val="auto"/>
          <w:highlight w:val="none"/>
        </w:rPr>
      </w:pPr>
      <w:r>
        <w:rPr>
          <w:color w:val="auto"/>
          <w:highlight w:val="none"/>
        </w:rPr>
        <w:t>具备多</w:t>
      </w:r>
      <w:r>
        <w:rPr>
          <w:rFonts w:hint="eastAsia"/>
          <w:color w:val="auto"/>
          <w:highlight w:val="none"/>
        </w:rPr>
        <w:t>元</w:t>
      </w:r>
      <w:r>
        <w:rPr>
          <w:color w:val="auto"/>
          <w:highlight w:val="none"/>
        </w:rPr>
        <w:t>性，通过</w:t>
      </w:r>
      <w:r>
        <w:rPr>
          <w:rFonts w:hint="eastAsia"/>
          <w:color w:val="auto"/>
          <w:highlight w:val="none"/>
        </w:rPr>
        <w:t>来自不同部门</w:t>
      </w:r>
      <w:r>
        <w:rPr>
          <w:color w:val="auto"/>
          <w:highlight w:val="none"/>
        </w:rPr>
        <w:t>均衡且</w:t>
      </w:r>
      <w:r>
        <w:rPr>
          <w:rFonts w:hint="eastAsia"/>
          <w:color w:val="auto"/>
          <w:highlight w:val="none"/>
        </w:rPr>
        <w:t>适当</w:t>
      </w:r>
      <w:r>
        <w:rPr>
          <w:color w:val="auto"/>
          <w:highlight w:val="none"/>
        </w:rPr>
        <w:t>的代表，</w:t>
      </w:r>
      <w:r>
        <w:rPr>
          <w:rFonts w:hint="eastAsia"/>
          <w:color w:val="auto"/>
          <w:highlight w:val="none"/>
        </w:rPr>
        <w:t>反映</w:t>
      </w:r>
      <w:r>
        <w:rPr>
          <w:color w:val="auto"/>
          <w:highlight w:val="none"/>
        </w:rPr>
        <w:t>其</w:t>
      </w:r>
      <w:r>
        <w:rPr>
          <w:rFonts w:hint="eastAsia"/>
          <w:color w:val="auto"/>
          <w:highlight w:val="none"/>
        </w:rPr>
        <w:t>所</w:t>
      </w:r>
      <w:r>
        <w:rPr>
          <w:color w:val="auto"/>
          <w:highlight w:val="none"/>
        </w:rPr>
        <w:t>服务的</w:t>
      </w:r>
      <w:r>
        <w:rPr>
          <w:rFonts w:hint="eastAsia"/>
          <w:color w:val="auto"/>
          <w:highlight w:val="none"/>
        </w:rPr>
        <w:t>各个</w:t>
      </w:r>
      <w:r>
        <w:rPr>
          <w:color w:val="auto"/>
          <w:highlight w:val="none"/>
        </w:rPr>
        <w:t>重要</w:t>
      </w:r>
      <w:r>
        <w:rPr>
          <w:rFonts w:hint="eastAsia"/>
          <w:color w:val="auto"/>
          <w:highlight w:val="none"/>
        </w:rPr>
        <w:t>方面</w:t>
      </w:r>
      <w:r>
        <w:rPr>
          <w:color w:val="auto"/>
          <w:highlight w:val="none"/>
        </w:rPr>
        <w:t>；</w:t>
      </w:r>
    </w:p>
    <w:p w14:paraId="5E6092C8">
      <w:pPr>
        <w:pStyle w:val="177"/>
        <w:numPr>
          <w:ilvl w:val="0"/>
          <w:numId w:val="36"/>
        </w:numPr>
        <w:bidi w:val="0"/>
        <w:rPr>
          <w:color w:val="auto"/>
          <w:highlight w:val="none"/>
        </w:rPr>
      </w:pPr>
      <w:r>
        <w:rPr>
          <w:color w:val="auto"/>
          <w:highlight w:val="none"/>
        </w:rPr>
        <w:t>拥有适配的经验、技能与知识，为</w:t>
      </w:r>
      <w:r>
        <w:rPr>
          <w:rFonts w:hint="eastAsia"/>
          <w:color w:val="auto"/>
          <w:highlight w:val="none"/>
        </w:rPr>
        <w:t>项目</w:t>
      </w:r>
      <w:r>
        <w:rPr>
          <w:color w:val="auto"/>
          <w:highlight w:val="none"/>
        </w:rPr>
        <w:t>提供所需的有效指</w:t>
      </w:r>
      <w:r>
        <w:rPr>
          <w:rFonts w:hint="eastAsia"/>
          <w:color w:val="auto"/>
          <w:highlight w:val="none"/>
        </w:rPr>
        <w:t>导</w:t>
      </w:r>
      <w:r>
        <w:rPr>
          <w:color w:val="auto"/>
          <w:highlight w:val="none"/>
        </w:rPr>
        <w:t>；</w:t>
      </w:r>
    </w:p>
    <w:p w14:paraId="39EBE2A4">
      <w:pPr>
        <w:pStyle w:val="177"/>
        <w:numPr>
          <w:ilvl w:val="0"/>
          <w:numId w:val="36"/>
        </w:numPr>
        <w:bidi w:val="0"/>
        <w:rPr>
          <w:color w:val="auto"/>
          <w:highlight w:val="none"/>
        </w:rPr>
      </w:pPr>
      <w:r>
        <w:rPr>
          <w:color w:val="auto"/>
          <w:highlight w:val="none"/>
        </w:rPr>
        <w:t>运用有效的治理实践方法。</w:t>
      </w:r>
    </w:p>
    <w:p w14:paraId="29627B35">
      <w:pPr>
        <w:widowControl/>
        <w:numPr>
          <w:ilvl w:val="4"/>
          <w:numId w:val="0"/>
        </w:numPr>
        <w:spacing w:before="156" w:beforeLines="50" w:after="156" w:afterLines="50"/>
        <w:outlineLvl w:val="3"/>
        <w:rPr>
          <w:rFonts w:ascii="黑体" w:hAnsi="Times New Roman" w:eastAsia="黑体" w:cs="Times New Roman"/>
          <w:color w:val="auto"/>
          <w:kern w:val="0"/>
          <w:szCs w:val="20"/>
          <w:highlight w:val="none"/>
        </w:rPr>
      </w:pPr>
      <w:r>
        <w:rPr>
          <w:rFonts w:hint="eastAsia" w:ascii="黑体" w:hAnsi="Times New Roman" w:eastAsia="黑体" w:cs="Times New Roman"/>
          <w:color w:val="auto"/>
          <w:kern w:val="0"/>
          <w:szCs w:val="20"/>
          <w:highlight w:val="none"/>
        </w:rPr>
        <w:t>6</w:t>
      </w:r>
      <w:r>
        <w:rPr>
          <w:rFonts w:ascii="黑体" w:hAnsi="Times New Roman" w:eastAsia="黑体" w:cs="Times New Roman"/>
          <w:color w:val="auto"/>
          <w:kern w:val="0"/>
          <w:szCs w:val="20"/>
          <w:highlight w:val="none"/>
        </w:rPr>
        <w:t xml:space="preserve">.1.5.4 </w:t>
      </w:r>
      <w:r>
        <w:rPr>
          <w:rFonts w:hint="eastAsia" w:ascii="黑体" w:hAnsi="Times New Roman" w:eastAsia="黑体" w:cs="Times New Roman"/>
          <w:color w:val="auto"/>
          <w:kern w:val="0"/>
          <w:szCs w:val="20"/>
          <w:highlight w:val="none"/>
        </w:rPr>
        <w:t>领导小组组长</w:t>
      </w:r>
    </w:p>
    <w:p w14:paraId="421D5AA0">
      <w:pPr>
        <w:pStyle w:val="59"/>
        <w:bidi w:val="0"/>
        <w:rPr>
          <w:color w:val="auto"/>
          <w:highlight w:val="none"/>
        </w:rPr>
      </w:pPr>
      <w:r>
        <w:rPr>
          <w:rFonts w:hint="eastAsia"/>
          <w:color w:val="auto"/>
          <w:highlight w:val="none"/>
        </w:rPr>
        <w:t>领导小组组长</w:t>
      </w:r>
      <w:r>
        <w:rPr>
          <w:color w:val="auto"/>
          <w:highlight w:val="none"/>
        </w:rPr>
        <w:t>（</w:t>
      </w:r>
      <w:r>
        <w:rPr>
          <w:rFonts w:hint="eastAsia"/>
          <w:color w:val="auto"/>
          <w:highlight w:val="none"/>
        </w:rPr>
        <w:t>即代表城市韧性建设领导小组处理城市韧性战略及其执行各方面事务的项目负责人与协调人）宜</w:t>
      </w:r>
      <w:r>
        <w:rPr>
          <w:color w:val="auto"/>
          <w:highlight w:val="none"/>
        </w:rPr>
        <w:t>：</w:t>
      </w:r>
    </w:p>
    <w:p w14:paraId="7B2A72B4">
      <w:pPr>
        <w:pStyle w:val="177"/>
        <w:numPr>
          <w:ilvl w:val="0"/>
          <w:numId w:val="37"/>
        </w:numPr>
        <w:bidi w:val="0"/>
        <w:rPr>
          <w:color w:val="auto"/>
          <w:highlight w:val="none"/>
        </w:rPr>
      </w:pPr>
      <w:r>
        <w:rPr>
          <w:rFonts w:hint="eastAsia"/>
          <w:color w:val="auto"/>
          <w:highlight w:val="none"/>
        </w:rPr>
        <w:t>代表领导小组</w:t>
      </w:r>
      <w:r>
        <w:rPr>
          <w:color w:val="auto"/>
          <w:highlight w:val="none"/>
        </w:rPr>
        <w:t>向</w:t>
      </w:r>
      <w:r>
        <w:rPr>
          <w:rFonts w:hint="eastAsia"/>
          <w:color w:val="auto"/>
          <w:highlight w:val="none"/>
        </w:rPr>
        <w:t>上级部门</w:t>
      </w:r>
      <w:r>
        <w:rPr>
          <w:color w:val="auto"/>
          <w:highlight w:val="none"/>
        </w:rPr>
        <w:t>汇报</w:t>
      </w:r>
      <w:r>
        <w:rPr>
          <w:rFonts w:hint="eastAsia"/>
          <w:color w:val="auto"/>
          <w:highlight w:val="none"/>
        </w:rPr>
        <w:t>工作</w:t>
      </w:r>
      <w:r>
        <w:rPr>
          <w:color w:val="auto"/>
          <w:highlight w:val="none"/>
        </w:rPr>
        <w:t>；</w:t>
      </w:r>
    </w:p>
    <w:p w14:paraId="267F67A4">
      <w:pPr>
        <w:pStyle w:val="177"/>
        <w:numPr>
          <w:ilvl w:val="0"/>
          <w:numId w:val="37"/>
        </w:numPr>
        <w:bidi w:val="0"/>
        <w:rPr>
          <w:color w:val="auto"/>
          <w:highlight w:val="none"/>
        </w:rPr>
      </w:pPr>
      <w:r>
        <w:rPr>
          <w:rFonts w:hint="eastAsia"/>
          <w:color w:val="auto"/>
          <w:highlight w:val="none"/>
        </w:rPr>
        <w:t>与领导小组一起审定</w:t>
      </w:r>
      <w:r>
        <w:rPr>
          <w:color w:val="auto"/>
          <w:highlight w:val="none"/>
        </w:rPr>
        <w:t>城市韧性战略；</w:t>
      </w:r>
    </w:p>
    <w:p w14:paraId="25AAF93A">
      <w:pPr>
        <w:widowControl/>
        <w:numPr>
          <w:ilvl w:val="4"/>
          <w:numId w:val="0"/>
        </w:numPr>
        <w:spacing w:before="156" w:beforeLines="50" w:after="156" w:afterLines="50"/>
        <w:outlineLvl w:val="3"/>
        <w:rPr>
          <w:rFonts w:ascii="黑体" w:hAnsi="Times New Roman" w:eastAsia="黑体" w:cs="Times New Roman"/>
          <w:color w:val="auto"/>
          <w:kern w:val="0"/>
          <w:szCs w:val="20"/>
          <w:highlight w:val="none"/>
        </w:rPr>
      </w:pPr>
      <w:r>
        <w:rPr>
          <w:rFonts w:hint="eastAsia" w:ascii="黑体" w:hAnsi="Times New Roman" w:eastAsia="黑体" w:cs="Times New Roman"/>
          <w:color w:val="auto"/>
          <w:kern w:val="0"/>
          <w:szCs w:val="20"/>
          <w:highlight w:val="none"/>
        </w:rPr>
        <w:t>6</w:t>
      </w:r>
      <w:r>
        <w:rPr>
          <w:rFonts w:ascii="黑体" w:hAnsi="Times New Roman" w:eastAsia="黑体" w:cs="Times New Roman"/>
          <w:color w:val="auto"/>
          <w:kern w:val="0"/>
          <w:szCs w:val="20"/>
          <w:highlight w:val="none"/>
        </w:rPr>
        <w:t>.1.5.5 咨询委员会</w:t>
      </w:r>
    </w:p>
    <w:p w14:paraId="2B27FB7D">
      <w:pPr>
        <w:widowControl/>
        <w:autoSpaceDE w:val="0"/>
        <w:autoSpaceDN w:val="0"/>
        <w:ind w:firstLine="420" w:firstLineChars="200"/>
        <w:rPr>
          <w:rFonts w:ascii="宋体" w:hAnsi="Times New Roman" w:eastAsia="宋体" w:cs="Times New Roman"/>
          <w:color w:val="auto"/>
          <w:kern w:val="0"/>
          <w:szCs w:val="20"/>
          <w:highlight w:val="none"/>
        </w:rPr>
      </w:pPr>
      <w:r>
        <w:rPr>
          <w:rFonts w:hint="eastAsia" w:ascii="宋体" w:hAnsi="Times New Roman" w:eastAsia="宋体" w:cs="Times New Roman"/>
          <w:color w:val="auto"/>
          <w:kern w:val="0"/>
          <w:szCs w:val="20"/>
          <w:highlight w:val="none"/>
        </w:rPr>
        <w:t>城市韧性建设领导小组宜</w:t>
      </w:r>
      <w:r>
        <w:rPr>
          <w:rFonts w:ascii="宋体" w:hAnsi="Times New Roman" w:eastAsia="宋体" w:cs="Times New Roman"/>
          <w:color w:val="auto"/>
          <w:kern w:val="0"/>
          <w:szCs w:val="20"/>
          <w:highlight w:val="none"/>
        </w:rPr>
        <w:t>：</w:t>
      </w:r>
    </w:p>
    <w:p w14:paraId="37E7C6F3">
      <w:pPr>
        <w:pStyle w:val="177"/>
        <w:numPr>
          <w:ilvl w:val="0"/>
          <w:numId w:val="38"/>
        </w:numPr>
        <w:bidi w:val="0"/>
        <w:rPr>
          <w:color w:val="auto"/>
          <w:highlight w:val="none"/>
        </w:rPr>
      </w:pPr>
      <w:r>
        <w:rPr>
          <w:color w:val="auto"/>
          <w:highlight w:val="none"/>
        </w:rPr>
        <w:t>组建由</w:t>
      </w:r>
      <w:r>
        <w:rPr>
          <w:rFonts w:hint="eastAsia"/>
          <w:color w:val="auto"/>
          <w:highlight w:val="none"/>
        </w:rPr>
        <w:t>各</w:t>
      </w:r>
      <w:r>
        <w:rPr>
          <w:color w:val="auto"/>
          <w:highlight w:val="none"/>
        </w:rPr>
        <w:t>领域专家构成的咨询委员会，负责对战略及其实施开展治理与审查工作；</w:t>
      </w:r>
    </w:p>
    <w:p w14:paraId="51C81844">
      <w:pPr>
        <w:pStyle w:val="177"/>
        <w:numPr>
          <w:ilvl w:val="0"/>
          <w:numId w:val="38"/>
        </w:numPr>
        <w:bidi w:val="0"/>
        <w:rPr>
          <w:color w:val="auto"/>
          <w:highlight w:val="none"/>
        </w:rPr>
      </w:pPr>
      <w:r>
        <w:rPr>
          <w:color w:val="auto"/>
          <w:highlight w:val="none"/>
        </w:rPr>
        <w:t>考虑吸纳已</w:t>
      </w:r>
      <w:r>
        <w:rPr>
          <w:rFonts w:hint="eastAsia"/>
          <w:color w:val="auto"/>
          <w:highlight w:val="none"/>
        </w:rPr>
        <w:t>开展</w:t>
      </w:r>
      <w:r>
        <w:rPr>
          <w:color w:val="auto"/>
          <w:highlight w:val="none"/>
        </w:rPr>
        <w:t>城市韧性</w:t>
      </w:r>
      <w:r>
        <w:rPr>
          <w:rFonts w:hint="eastAsia"/>
          <w:color w:val="auto"/>
          <w:highlight w:val="none"/>
        </w:rPr>
        <w:t>治理的</w:t>
      </w:r>
      <w:r>
        <w:rPr>
          <w:color w:val="auto"/>
          <w:highlight w:val="none"/>
        </w:rPr>
        <w:t>其他城市</w:t>
      </w:r>
      <w:r>
        <w:rPr>
          <w:rFonts w:hint="eastAsia"/>
          <w:color w:val="auto"/>
          <w:highlight w:val="none"/>
        </w:rPr>
        <w:t>的专家</w:t>
      </w:r>
      <w:r>
        <w:rPr>
          <w:color w:val="auto"/>
          <w:highlight w:val="none"/>
        </w:rPr>
        <w:t>代表参与。</w:t>
      </w:r>
    </w:p>
    <w:p w14:paraId="0457C731">
      <w:pPr>
        <w:widowControl/>
        <w:numPr>
          <w:ilvl w:val="4"/>
          <w:numId w:val="0"/>
        </w:numPr>
        <w:spacing w:before="156" w:beforeLines="50" w:after="156" w:afterLines="50"/>
        <w:outlineLvl w:val="3"/>
        <w:rPr>
          <w:rFonts w:ascii="黑体" w:hAnsi="Times New Roman" w:eastAsia="黑体" w:cs="Times New Roman"/>
          <w:color w:val="auto"/>
          <w:kern w:val="0"/>
          <w:szCs w:val="20"/>
          <w:highlight w:val="none"/>
        </w:rPr>
      </w:pPr>
      <w:bookmarkStart w:id="79" w:name="15"/>
      <w:bookmarkEnd w:id="79"/>
      <w:r>
        <w:rPr>
          <w:rFonts w:hint="eastAsia" w:ascii="黑体" w:hAnsi="Times New Roman" w:eastAsia="黑体" w:cs="Times New Roman"/>
          <w:color w:val="auto"/>
          <w:kern w:val="0"/>
          <w:szCs w:val="20"/>
          <w:highlight w:val="none"/>
        </w:rPr>
        <w:t>6</w:t>
      </w:r>
      <w:r>
        <w:rPr>
          <w:rFonts w:ascii="黑体" w:hAnsi="Times New Roman" w:eastAsia="黑体" w:cs="Times New Roman"/>
          <w:color w:val="auto"/>
          <w:kern w:val="0"/>
          <w:szCs w:val="20"/>
          <w:highlight w:val="none"/>
        </w:rPr>
        <w:t xml:space="preserve">.1.5.6 </w:t>
      </w:r>
      <w:r>
        <w:rPr>
          <w:rFonts w:hint="eastAsia" w:ascii="黑体" w:hAnsi="Times New Roman" w:eastAsia="黑体" w:cs="Times New Roman"/>
          <w:color w:val="auto"/>
          <w:kern w:val="0"/>
          <w:szCs w:val="20"/>
          <w:highlight w:val="none"/>
        </w:rPr>
        <w:t>领导小组办公室</w:t>
      </w:r>
    </w:p>
    <w:p w14:paraId="36815827">
      <w:pPr>
        <w:widowControl/>
        <w:autoSpaceDE w:val="0"/>
        <w:autoSpaceDN w:val="0"/>
        <w:ind w:firstLine="420" w:firstLineChars="200"/>
        <w:rPr>
          <w:rFonts w:ascii="宋体" w:hAnsi="Times New Roman" w:eastAsia="宋体" w:cs="Times New Roman"/>
          <w:color w:val="auto"/>
          <w:kern w:val="0"/>
          <w:szCs w:val="20"/>
          <w:highlight w:val="none"/>
        </w:rPr>
      </w:pPr>
      <w:r>
        <w:rPr>
          <w:rFonts w:hint="eastAsia" w:ascii="宋体" w:hAnsi="Times New Roman" w:eastAsia="宋体" w:cs="Times New Roman"/>
          <w:color w:val="auto"/>
          <w:kern w:val="0"/>
          <w:szCs w:val="20"/>
          <w:highlight w:val="none"/>
        </w:rPr>
        <w:t>城市韧性建设领导小组宜</w:t>
      </w:r>
      <w:r>
        <w:rPr>
          <w:rFonts w:ascii="宋体" w:hAnsi="Times New Roman" w:eastAsia="宋体" w:cs="Times New Roman"/>
          <w:color w:val="auto"/>
          <w:kern w:val="0"/>
          <w:szCs w:val="20"/>
          <w:highlight w:val="none"/>
        </w:rPr>
        <w:t>组建</w:t>
      </w:r>
      <w:r>
        <w:rPr>
          <w:rFonts w:hint="eastAsia" w:ascii="宋体" w:hAnsi="Times New Roman" w:eastAsia="宋体" w:cs="Times New Roman"/>
          <w:color w:val="auto"/>
          <w:kern w:val="0"/>
          <w:szCs w:val="20"/>
          <w:highlight w:val="none"/>
        </w:rPr>
        <w:t>领导小组办公室</w:t>
      </w:r>
      <w:r>
        <w:rPr>
          <w:rFonts w:ascii="宋体" w:hAnsi="Times New Roman" w:eastAsia="宋体" w:cs="Times New Roman"/>
          <w:color w:val="auto"/>
          <w:kern w:val="0"/>
          <w:szCs w:val="20"/>
          <w:highlight w:val="none"/>
        </w:rPr>
        <w:t>，</w:t>
      </w:r>
      <w:r>
        <w:rPr>
          <w:rFonts w:hint="eastAsia" w:ascii="宋体" w:hAnsi="Times New Roman" w:eastAsia="宋体" w:cs="Times New Roman"/>
          <w:color w:val="auto"/>
          <w:kern w:val="0"/>
          <w:szCs w:val="20"/>
          <w:highlight w:val="none"/>
        </w:rPr>
        <w:t>领导小组办公室宜</w:t>
      </w:r>
      <w:r>
        <w:rPr>
          <w:rFonts w:ascii="宋体" w:hAnsi="Times New Roman" w:eastAsia="宋体" w:cs="Times New Roman"/>
          <w:color w:val="auto"/>
          <w:kern w:val="0"/>
          <w:szCs w:val="20"/>
          <w:highlight w:val="none"/>
        </w:rPr>
        <w:t>：</w:t>
      </w:r>
    </w:p>
    <w:p w14:paraId="1B1F903C">
      <w:pPr>
        <w:pStyle w:val="177"/>
        <w:numPr>
          <w:ilvl w:val="0"/>
          <w:numId w:val="39"/>
        </w:numPr>
        <w:bidi w:val="0"/>
        <w:rPr>
          <w:color w:val="auto"/>
          <w:highlight w:val="none"/>
        </w:rPr>
      </w:pPr>
      <w:r>
        <w:rPr>
          <w:color w:val="auto"/>
          <w:highlight w:val="none"/>
        </w:rPr>
        <w:t>负责战略的制定</w:t>
      </w:r>
      <w:r>
        <w:rPr>
          <w:rFonts w:hint="eastAsia"/>
          <w:color w:val="auto"/>
          <w:highlight w:val="none"/>
        </w:rPr>
        <w:t>与推进</w:t>
      </w:r>
      <w:bookmarkStart w:id="80" w:name="OLE_LINK1"/>
      <w:r>
        <w:rPr>
          <w:rFonts w:hint="eastAsia"/>
          <w:color w:val="auto"/>
          <w:highlight w:val="none"/>
        </w:rPr>
        <w:t>，该战略宜通过吸纳项目团队正式成员、关键组织及各利益相关方的参与过程制定而成</w:t>
      </w:r>
      <w:r>
        <w:rPr>
          <w:color w:val="auto"/>
          <w:highlight w:val="none"/>
        </w:rPr>
        <w:t>；</w:t>
      </w:r>
      <w:bookmarkEnd w:id="80"/>
    </w:p>
    <w:p w14:paraId="24ED0CE3">
      <w:pPr>
        <w:pStyle w:val="177"/>
        <w:numPr>
          <w:ilvl w:val="0"/>
          <w:numId w:val="39"/>
        </w:numPr>
        <w:bidi w:val="0"/>
        <w:rPr>
          <w:color w:val="auto"/>
          <w:highlight w:val="none"/>
        </w:rPr>
      </w:pPr>
      <w:r>
        <w:rPr>
          <w:color w:val="auto"/>
          <w:highlight w:val="none"/>
        </w:rPr>
        <w:t>组建包容性的指导委员会（见6.1.5.3），参与城市韧性战略的制定</w:t>
      </w:r>
      <w:r>
        <w:rPr>
          <w:rFonts w:hint="eastAsia"/>
          <w:color w:val="auto"/>
          <w:highlight w:val="none"/>
        </w:rPr>
        <w:t>与</w:t>
      </w:r>
      <w:r>
        <w:rPr>
          <w:color w:val="auto"/>
          <w:highlight w:val="none"/>
        </w:rPr>
        <w:t>实施；</w:t>
      </w:r>
    </w:p>
    <w:p w14:paraId="3514380F">
      <w:pPr>
        <w:pStyle w:val="177"/>
        <w:numPr>
          <w:ilvl w:val="0"/>
          <w:numId w:val="39"/>
        </w:numPr>
        <w:bidi w:val="0"/>
        <w:rPr>
          <w:color w:val="auto"/>
          <w:highlight w:val="none"/>
        </w:rPr>
      </w:pPr>
      <w:r>
        <w:rPr>
          <w:color w:val="auto"/>
          <w:highlight w:val="none"/>
        </w:rPr>
        <w:t>成立咨询委员会，为城市韧性战略的制定</w:t>
      </w:r>
      <w:r>
        <w:rPr>
          <w:rFonts w:hint="eastAsia"/>
          <w:color w:val="auto"/>
          <w:highlight w:val="none"/>
        </w:rPr>
        <w:t>与</w:t>
      </w:r>
      <w:r>
        <w:rPr>
          <w:color w:val="auto"/>
          <w:highlight w:val="none"/>
        </w:rPr>
        <w:t>实施提供支持（见6.1.5.5）；</w:t>
      </w:r>
    </w:p>
    <w:p w14:paraId="63B757E3">
      <w:pPr>
        <w:pStyle w:val="177"/>
        <w:numPr>
          <w:ilvl w:val="0"/>
          <w:numId w:val="39"/>
        </w:numPr>
        <w:bidi w:val="0"/>
        <w:rPr>
          <w:color w:val="auto"/>
          <w:highlight w:val="none"/>
        </w:rPr>
      </w:pPr>
      <w:r>
        <w:rPr>
          <w:color w:val="auto"/>
          <w:highlight w:val="none"/>
        </w:rPr>
        <w:t>组建</w:t>
      </w:r>
      <w:r>
        <w:rPr>
          <w:rFonts w:hint="eastAsia"/>
          <w:color w:val="auto"/>
          <w:highlight w:val="none"/>
        </w:rPr>
        <w:t>领导小组成员单位</w:t>
      </w:r>
      <w:r>
        <w:rPr>
          <w:color w:val="auto"/>
          <w:highlight w:val="none"/>
        </w:rPr>
        <w:t>（见6.1.5.7），负责实施一系列城市韧性计划</w:t>
      </w:r>
      <w:r>
        <w:rPr>
          <w:rFonts w:hint="eastAsia"/>
          <w:color w:val="auto"/>
          <w:highlight w:val="none"/>
        </w:rPr>
        <w:t>与</w:t>
      </w:r>
      <w:r>
        <w:rPr>
          <w:color w:val="auto"/>
          <w:highlight w:val="none"/>
        </w:rPr>
        <w:t>项目</w:t>
      </w:r>
      <w:r>
        <w:rPr>
          <w:rFonts w:hint="eastAsia"/>
          <w:color w:val="auto"/>
          <w:highlight w:val="none"/>
        </w:rPr>
        <w:t>；</w:t>
      </w:r>
    </w:p>
    <w:p w14:paraId="43EAD554">
      <w:pPr>
        <w:pStyle w:val="177"/>
        <w:numPr>
          <w:ilvl w:val="0"/>
          <w:numId w:val="39"/>
        </w:numPr>
        <w:bidi w:val="0"/>
        <w:rPr>
          <w:color w:val="auto"/>
          <w:highlight w:val="none"/>
        </w:rPr>
      </w:pPr>
      <w:r>
        <w:rPr>
          <w:rFonts w:hint="eastAsia"/>
          <w:color w:val="auto"/>
          <w:highlight w:val="none"/>
        </w:rPr>
        <w:t>提出</w:t>
      </w:r>
      <w:r>
        <w:rPr>
          <w:color w:val="auto"/>
          <w:highlight w:val="none"/>
        </w:rPr>
        <w:t>行动计划，</w:t>
      </w:r>
      <w:r>
        <w:rPr>
          <w:rFonts w:hint="eastAsia"/>
          <w:color w:val="auto"/>
          <w:highlight w:val="none"/>
        </w:rPr>
        <w:t>并征求城市社区多元代表的认同，以确保项目顺利推进</w:t>
      </w:r>
      <w:r>
        <w:rPr>
          <w:color w:val="auto"/>
          <w:highlight w:val="none"/>
        </w:rPr>
        <w:t>；</w:t>
      </w:r>
    </w:p>
    <w:p w14:paraId="2306C884">
      <w:pPr>
        <w:pStyle w:val="177"/>
        <w:numPr>
          <w:ilvl w:val="0"/>
          <w:numId w:val="39"/>
        </w:numPr>
        <w:bidi w:val="0"/>
        <w:rPr>
          <w:color w:val="auto"/>
          <w:highlight w:val="none"/>
        </w:rPr>
      </w:pPr>
      <w:r>
        <w:rPr>
          <w:color w:val="auto"/>
          <w:highlight w:val="none"/>
        </w:rPr>
        <w:t>设定关键绩效目标与指标，对照预期目标</w:t>
      </w:r>
      <w:r>
        <w:rPr>
          <w:rFonts w:hint="eastAsia"/>
          <w:color w:val="auto"/>
          <w:highlight w:val="none"/>
        </w:rPr>
        <w:t>节点</w:t>
      </w:r>
      <w:r>
        <w:rPr>
          <w:color w:val="auto"/>
          <w:highlight w:val="none"/>
        </w:rPr>
        <w:t>，</w:t>
      </w:r>
      <w:r>
        <w:rPr>
          <w:rFonts w:hint="eastAsia"/>
          <w:color w:val="auto"/>
          <w:highlight w:val="none"/>
        </w:rPr>
        <w:t>定期</w:t>
      </w:r>
      <w:r>
        <w:rPr>
          <w:color w:val="auto"/>
          <w:highlight w:val="none"/>
        </w:rPr>
        <w:t>评估</w:t>
      </w:r>
      <w:r>
        <w:rPr>
          <w:rFonts w:hint="eastAsia"/>
          <w:color w:val="auto"/>
          <w:highlight w:val="none"/>
        </w:rPr>
        <w:t>并</w:t>
      </w:r>
      <w:r>
        <w:rPr>
          <w:color w:val="auto"/>
          <w:highlight w:val="none"/>
        </w:rPr>
        <w:t>汇报城市韧性计划的执行</w:t>
      </w:r>
      <w:r>
        <w:rPr>
          <w:rFonts w:hint="eastAsia"/>
          <w:color w:val="auto"/>
          <w:highlight w:val="none"/>
        </w:rPr>
        <w:t>成效</w:t>
      </w:r>
      <w:r>
        <w:rPr>
          <w:color w:val="auto"/>
          <w:highlight w:val="none"/>
        </w:rPr>
        <w:t>，同时响应</w:t>
      </w:r>
      <w:r>
        <w:rPr>
          <w:rFonts w:hint="eastAsia"/>
          <w:color w:val="auto"/>
          <w:highlight w:val="none"/>
        </w:rPr>
        <w:t>动态变化的</w:t>
      </w:r>
      <w:r>
        <w:rPr>
          <w:color w:val="auto"/>
          <w:highlight w:val="none"/>
        </w:rPr>
        <w:t>风险与需求；</w:t>
      </w:r>
    </w:p>
    <w:p w14:paraId="564730FD">
      <w:pPr>
        <w:pStyle w:val="177"/>
        <w:numPr>
          <w:ilvl w:val="0"/>
          <w:numId w:val="39"/>
        </w:numPr>
        <w:bidi w:val="0"/>
        <w:rPr>
          <w:color w:val="auto"/>
          <w:highlight w:val="none"/>
        </w:rPr>
      </w:pPr>
      <w:r>
        <w:rPr>
          <w:rFonts w:hint="eastAsia"/>
          <w:color w:val="auto"/>
          <w:highlight w:val="none"/>
        </w:rPr>
        <w:t>发挥协调作用，组织</w:t>
      </w:r>
      <w:r>
        <w:rPr>
          <w:color w:val="auto"/>
          <w:highlight w:val="none"/>
        </w:rPr>
        <w:t>所有正式团队成员定期反馈，</w:t>
      </w:r>
      <w:r>
        <w:rPr>
          <w:rFonts w:hint="eastAsia"/>
          <w:color w:val="auto"/>
          <w:highlight w:val="none"/>
        </w:rPr>
        <w:t>以调整、改进并持续积极支持该战略</w:t>
      </w:r>
      <w:r>
        <w:rPr>
          <w:color w:val="auto"/>
          <w:highlight w:val="none"/>
        </w:rPr>
        <w:t>；</w:t>
      </w:r>
    </w:p>
    <w:p w14:paraId="042F4D3B">
      <w:pPr>
        <w:pStyle w:val="177"/>
        <w:numPr>
          <w:ilvl w:val="0"/>
          <w:numId w:val="39"/>
        </w:numPr>
        <w:bidi w:val="0"/>
        <w:rPr>
          <w:color w:val="auto"/>
          <w:highlight w:val="none"/>
        </w:rPr>
      </w:pPr>
      <w:r>
        <w:rPr>
          <w:rFonts w:hint="eastAsia"/>
          <w:color w:val="auto"/>
          <w:highlight w:val="none"/>
        </w:rPr>
        <w:t>建立</w:t>
      </w:r>
      <w:r>
        <w:rPr>
          <w:color w:val="auto"/>
          <w:highlight w:val="none"/>
        </w:rPr>
        <w:t>并管理核心</w:t>
      </w:r>
      <w:r>
        <w:rPr>
          <w:rFonts w:hint="eastAsia"/>
          <w:color w:val="auto"/>
          <w:highlight w:val="none"/>
        </w:rPr>
        <w:t>整改</w:t>
      </w:r>
      <w:r>
        <w:rPr>
          <w:color w:val="auto"/>
          <w:highlight w:val="none"/>
        </w:rPr>
        <w:t>行动</w:t>
      </w:r>
      <w:r>
        <w:rPr>
          <w:rFonts w:hint="eastAsia"/>
          <w:color w:val="auto"/>
          <w:highlight w:val="none"/>
        </w:rPr>
        <w:t>台账</w:t>
      </w:r>
      <w:r>
        <w:rPr>
          <w:color w:val="auto"/>
          <w:highlight w:val="none"/>
        </w:rPr>
        <w:t>，在</w:t>
      </w:r>
      <w:r>
        <w:rPr>
          <w:rFonts w:hint="eastAsia"/>
          <w:color w:val="auto"/>
          <w:highlight w:val="none"/>
        </w:rPr>
        <w:t>项目</w:t>
      </w:r>
      <w:r>
        <w:rPr>
          <w:color w:val="auto"/>
          <w:highlight w:val="none"/>
        </w:rPr>
        <w:t>从正式启动到</w:t>
      </w:r>
      <w:r>
        <w:rPr>
          <w:rFonts w:hint="eastAsia"/>
          <w:color w:val="auto"/>
          <w:highlight w:val="none"/>
        </w:rPr>
        <w:t>完成</w:t>
      </w:r>
      <w:r>
        <w:rPr>
          <w:color w:val="auto"/>
          <w:highlight w:val="none"/>
        </w:rPr>
        <w:t>的</w:t>
      </w:r>
      <w:r>
        <w:rPr>
          <w:rFonts w:hint="eastAsia"/>
          <w:color w:val="auto"/>
          <w:highlight w:val="none"/>
        </w:rPr>
        <w:t>过程</w:t>
      </w:r>
      <w:r>
        <w:rPr>
          <w:color w:val="auto"/>
          <w:highlight w:val="none"/>
        </w:rPr>
        <w:t>中，指导绩效</w:t>
      </w:r>
      <w:r>
        <w:rPr>
          <w:rFonts w:hint="eastAsia"/>
          <w:color w:val="auto"/>
          <w:highlight w:val="none"/>
        </w:rPr>
        <w:t>提升</w:t>
      </w:r>
      <w:r>
        <w:rPr>
          <w:color w:val="auto"/>
          <w:highlight w:val="none"/>
        </w:rPr>
        <w:t>工作。</w:t>
      </w:r>
    </w:p>
    <w:p w14:paraId="0BB38166">
      <w:pPr>
        <w:widowControl/>
        <w:numPr>
          <w:ilvl w:val="4"/>
          <w:numId w:val="0"/>
        </w:numPr>
        <w:spacing w:before="156" w:beforeLines="50" w:after="156" w:afterLines="50"/>
        <w:outlineLvl w:val="3"/>
        <w:rPr>
          <w:rFonts w:ascii="黑体" w:hAnsi="Times New Roman" w:eastAsia="黑体" w:cs="Times New Roman"/>
          <w:color w:val="auto"/>
          <w:kern w:val="0"/>
          <w:szCs w:val="20"/>
          <w:highlight w:val="none"/>
        </w:rPr>
      </w:pPr>
      <w:r>
        <w:rPr>
          <w:rFonts w:hint="eastAsia" w:ascii="黑体" w:hAnsi="Times New Roman" w:eastAsia="黑体" w:cs="Times New Roman"/>
          <w:color w:val="auto"/>
          <w:kern w:val="0"/>
          <w:szCs w:val="20"/>
          <w:highlight w:val="none"/>
        </w:rPr>
        <w:t>6</w:t>
      </w:r>
      <w:r>
        <w:rPr>
          <w:rFonts w:ascii="黑体" w:hAnsi="Times New Roman" w:eastAsia="黑体" w:cs="Times New Roman"/>
          <w:color w:val="auto"/>
          <w:kern w:val="0"/>
          <w:szCs w:val="20"/>
          <w:highlight w:val="none"/>
        </w:rPr>
        <w:t xml:space="preserve">.1.5.7 </w:t>
      </w:r>
      <w:r>
        <w:rPr>
          <w:rFonts w:hint="eastAsia" w:ascii="黑体" w:hAnsi="Times New Roman" w:eastAsia="黑体" w:cs="Times New Roman"/>
          <w:color w:val="auto"/>
          <w:kern w:val="0"/>
          <w:szCs w:val="20"/>
          <w:highlight w:val="none"/>
        </w:rPr>
        <w:t>领导小组成员单位</w:t>
      </w:r>
    </w:p>
    <w:p w14:paraId="0077E90B">
      <w:pPr>
        <w:pStyle w:val="59"/>
        <w:bidi w:val="0"/>
        <w:rPr>
          <w:color w:val="auto"/>
          <w:highlight w:val="none"/>
        </w:rPr>
      </w:pPr>
      <w:r>
        <w:rPr>
          <w:rFonts w:hint="eastAsia"/>
          <w:color w:val="auto"/>
          <w:highlight w:val="none"/>
        </w:rPr>
        <w:t>领导小组成员单位</w:t>
      </w:r>
      <w:r>
        <w:rPr>
          <w:color w:val="auto"/>
          <w:highlight w:val="none"/>
        </w:rPr>
        <w:t>负责</w:t>
      </w:r>
      <w:r>
        <w:rPr>
          <w:rFonts w:hint="eastAsia"/>
          <w:color w:val="auto"/>
          <w:highlight w:val="none"/>
        </w:rPr>
        <w:t>落实</w:t>
      </w:r>
      <w:r>
        <w:rPr>
          <w:color w:val="auto"/>
          <w:highlight w:val="none"/>
        </w:rPr>
        <w:t>城市韧性战略。其</w:t>
      </w:r>
      <w:r>
        <w:rPr>
          <w:rFonts w:hint="eastAsia"/>
          <w:color w:val="auto"/>
          <w:highlight w:val="none"/>
        </w:rPr>
        <w:t>架构</w:t>
      </w:r>
      <w:r>
        <w:rPr>
          <w:color w:val="auto"/>
          <w:highlight w:val="none"/>
        </w:rPr>
        <w:t>设计</w:t>
      </w:r>
      <w:r>
        <w:rPr>
          <w:rFonts w:hint="eastAsia"/>
          <w:color w:val="auto"/>
          <w:highlight w:val="none"/>
        </w:rPr>
        <w:t>宜</w:t>
      </w:r>
      <w:r>
        <w:rPr>
          <w:color w:val="auto"/>
          <w:highlight w:val="none"/>
        </w:rPr>
        <w:t>能支撑计划与项目在各实施阶段的推进。若现有</w:t>
      </w:r>
      <w:r>
        <w:rPr>
          <w:rFonts w:hint="eastAsia"/>
          <w:color w:val="auto"/>
          <w:highlight w:val="none"/>
        </w:rPr>
        <w:t>的组织</w:t>
      </w:r>
      <w:r>
        <w:rPr>
          <w:color w:val="auto"/>
          <w:highlight w:val="none"/>
        </w:rPr>
        <w:t>架构具备充足资源、支持及问责机制，可依托其开展实施工作。</w:t>
      </w:r>
    </w:p>
    <w:bookmarkEnd w:id="66"/>
    <w:bookmarkEnd w:id="67"/>
    <w:p w14:paraId="1FC405AB">
      <w:pPr>
        <w:pStyle w:val="108"/>
        <w:spacing w:before="156" w:after="156"/>
        <w:rPr>
          <w:bCs/>
          <w:color w:val="auto"/>
          <w:highlight w:val="none"/>
        </w:rPr>
      </w:pPr>
      <w:bookmarkStart w:id="81" w:name="_Toc17399"/>
      <w:bookmarkEnd w:id="81"/>
      <w:bookmarkStart w:id="82" w:name="17"/>
      <w:bookmarkEnd w:id="82"/>
      <w:bookmarkStart w:id="83" w:name="_Toc6260"/>
      <w:bookmarkEnd w:id="83"/>
      <w:bookmarkStart w:id="84" w:name="_Toc7262"/>
      <w:bookmarkEnd w:id="84"/>
      <w:bookmarkStart w:id="85" w:name="_Toc5451"/>
      <w:bookmarkStart w:id="86" w:name="_Toc9763"/>
      <w:bookmarkStart w:id="87" w:name="_Toc16398"/>
      <w:r>
        <w:rPr>
          <w:color w:val="auto"/>
          <w:highlight w:val="none"/>
        </w:rPr>
        <w:t>城市韧性战略的愿景、目标和效益</w:t>
      </w:r>
      <w:bookmarkEnd w:id="85"/>
    </w:p>
    <w:p w14:paraId="22CDD494">
      <w:pPr>
        <w:pStyle w:val="68"/>
        <w:spacing w:before="156" w:after="156"/>
        <w:rPr>
          <w:color w:val="auto"/>
          <w:highlight w:val="none"/>
        </w:rPr>
      </w:pPr>
      <w:r>
        <w:rPr>
          <w:color w:val="auto"/>
          <w:highlight w:val="none"/>
        </w:rPr>
        <w:t>愿景和目标</w:t>
      </w:r>
    </w:p>
    <w:p w14:paraId="32C5FDA5">
      <w:pPr>
        <w:pStyle w:val="167"/>
        <w:bidi w:val="0"/>
        <w:rPr>
          <w:color w:val="auto"/>
          <w:highlight w:val="none"/>
        </w:rPr>
      </w:pPr>
      <w:r>
        <w:rPr>
          <w:color w:val="auto"/>
          <w:highlight w:val="none"/>
        </w:rPr>
        <w:t>城市韧性</w:t>
      </w:r>
      <w:r>
        <w:rPr>
          <w:rFonts w:hint="eastAsia"/>
          <w:color w:val="auto"/>
          <w:highlight w:val="none"/>
          <w:lang w:val="en-US" w:eastAsia="zh-CN"/>
        </w:rPr>
        <w:t>建设领导小组</w:t>
      </w:r>
      <w:r>
        <w:rPr>
          <w:color w:val="auto"/>
          <w:highlight w:val="none"/>
        </w:rPr>
        <w:t>、指导</w:t>
      </w:r>
      <w:r>
        <w:rPr>
          <w:rFonts w:hint="eastAsia"/>
          <w:color w:val="auto"/>
          <w:highlight w:val="none"/>
          <w:lang w:eastAsia="zh-CN"/>
        </w:rPr>
        <w:t>委员会宜</w:t>
      </w:r>
      <w:r>
        <w:rPr>
          <w:color w:val="auto"/>
          <w:highlight w:val="none"/>
        </w:rPr>
        <w:t>：</w:t>
      </w:r>
    </w:p>
    <w:p w14:paraId="6D381B93">
      <w:pPr>
        <w:pStyle w:val="177"/>
        <w:numPr>
          <w:ilvl w:val="0"/>
          <w:numId w:val="40"/>
        </w:numPr>
        <w:bidi w:val="0"/>
        <w:ind w:left="851" w:leftChars="0" w:hanging="426" w:firstLineChars="0"/>
        <w:rPr>
          <w:color w:val="auto"/>
          <w:highlight w:val="none"/>
        </w:rPr>
      </w:pPr>
      <w:r>
        <w:rPr>
          <w:rFonts w:hint="eastAsia"/>
          <w:color w:val="auto"/>
          <w:highlight w:val="none"/>
          <w:lang w:val="en-US" w:eastAsia="zh-CN"/>
        </w:rPr>
        <w:t>动员</w:t>
      </w:r>
      <w:r>
        <w:rPr>
          <w:rFonts w:hint="eastAsia"/>
          <w:color w:val="auto"/>
          <w:highlight w:val="none"/>
        </w:rPr>
        <w:t>社区参与，</w:t>
      </w:r>
      <w:r>
        <w:rPr>
          <w:rFonts w:hint="eastAsia"/>
          <w:color w:val="auto"/>
          <w:highlight w:val="none"/>
          <w:lang w:val="en-US" w:eastAsia="zh-CN"/>
        </w:rPr>
        <w:t>聚焦城市发展中的关键诉求</w:t>
      </w:r>
      <w:r>
        <w:rPr>
          <w:rFonts w:hint="eastAsia"/>
          <w:color w:val="auto"/>
          <w:highlight w:val="none"/>
        </w:rPr>
        <w:t>；</w:t>
      </w:r>
    </w:p>
    <w:p w14:paraId="4FBDC96E">
      <w:pPr>
        <w:pStyle w:val="177"/>
        <w:numPr>
          <w:ilvl w:val="0"/>
          <w:numId w:val="40"/>
        </w:numPr>
        <w:bidi w:val="0"/>
        <w:ind w:left="851" w:leftChars="0" w:hanging="426" w:firstLineChars="0"/>
        <w:rPr>
          <w:color w:val="auto"/>
          <w:highlight w:val="none"/>
        </w:rPr>
      </w:pPr>
      <w:r>
        <w:rPr>
          <w:rFonts w:hint="eastAsia"/>
          <w:color w:val="auto"/>
          <w:highlight w:val="none"/>
        </w:rPr>
        <w:t>识别</w:t>
      </w:r>
      <w:r>
        <w:rPr>
          <w:rFonts w:hint="eastAsia"/>
          <w:color w:val="auto"/>
          <w:highlight w:val="none"/>
          <w:lang w:val="en-US" w:eastAsia="zh-CN"/>
        </w:rPr>
        <w:t>共同效益和个体效益，以</w:t>
      </w:r>
      <w:r>
        <w:rPr>
          <w:color w:val="auto"/>
          <w:highlight w:val="none"/>
        </w:rPr>
        <w:t>促进利益相关方</w:t>
      </w:r>
      <w:r>
        <w:rPr>
          <w:rFonts w:hint="eastAsia"/>
          <w:color w:val="auto"/>
          <w:highlight w:val="none"/>
        </w:rPr>
        <w:t>之间的</w:t>
      </w:r>
      <w:r>
        <w:rPr>
          <w:color w:val="auto"/>
          <w:highlight w:val="none"/>
        </w:rPr>
        <w:t>协同</w:t>
      </w:r>
      <w:r>
        <w:rPr>
          <w:rFonts w:hint="eastAsia"/>
          <w:color w:val="auto"/>
          <w:highlight w:val="none"/>
          <w:lang w:val="en-US" w:eastAsia="zh-CN"/>
        </w:rPr>
        <w:t>与</w:t>
      </w:r>
      <w:r>
        <w:rPr>
          <w:color w:val="auto"/>
          <w:highlight w:val="none"/>
        </w:rPr>
        <w:t>参与；</w:t>
      </w:r>
    </w:p>
    <w:p w14:paraId="72232BA4">
      <w:pPr>
        <w:pStyle w:val="177"/>
        <w:numPr>
          <w:ilvl w:val="0"/>
          <w:numId w:val="40"/>
        </w:numPr>
        <w:bidi w:val="0"/>
        <w:ind w:left="851" w:leftChars="0" w:hanging="426" w:firstLineChars="0"/>
        <w:rPr>
          <w:color w:val="auto"/>
          <w:highlight w:val="none"/>
        </w:rPr>
      </w:pPr>
      <w:r>
        <w:rPr>
          <w:rFonts w:hint="eastAsia"/>
          <w:color w:val="auto"/>
          <w:highlight w:val="none"/>
        </w:rPr>
        <w:t>制定监测与评估措施，衡量城市韧性战略的效益与成果</w:t>
      </w:r>
      <w:r>
        <w:rPr>
          <w:color w:val="auto"/>
          <w:highlight w:val="none"/>
        </w:rPr>
        <w:t>。</w:t>
      </w:r>
    </w:p>
    <w:p w14:paraId="587C6D6E">
      <w:pPr>
        <w:pStyle w:val="167"/>
        <w:bidi w:val="0"/>
        <w:rPr>
          <w:color w:val="auto"/>
          <w:highlight w:val="none"/>
        </w:rPr>
      </w:pPr>
      <w:r>
        <w:rPr>
          <w:color w:val="auto"/>
          <w:highlight w:val="none"/>
        </w:rPr>
        <w:t>城市韧性战略旨在</w:t>
      </w:r>
      <w:r>
        <w:rPr>
          <w:rFonts w:hint="eastAsia"/>
          <w:color w:val="auto"/>
          <w:highlight w:val="none"/>
        </w:rPr>
        <w:t>保护</w:t>
      </w:r>
      <w:r>
        <w:rPr>
          <w:color w:val="auto"/>
          <w:highlight w:val="none"/>
        </w:rPr>
        <w:t>让城区居民受益的系统，并在动态环境中寻找提升效益的机会。</w:t>
      </w:r>
      <w:r>
        <w:rPr>
          <w:rFonts w:hint="eastAsia"/>
          <w:color w:val="auto"/>
          <w:highlight w:val="none"/>
          <w:lang w:val="en-US" w:eastAsia="zh-CN"/>
        </w:rPr>
        <w:t>宜</w:t>
      </w:r>
      <w:r>
        <w:rPr>
          <w:color w:val="auto"/>
          <w:highlight w:val="none"/>
        </w:rPr>
        <w:t>界定</w:t>
      </w:r>
      <w:r>
        <w:rPr>
          <w:rFonts w:hint="eastAsia"/>
          <w:color w:val="auto"/>
          <w:highlight w:val="none"/>
          <w:lang w:val="en-US" w:eastAsia="zh-CN"/>
        </w:rPr>
        <w:t>城市韧性建设</w:t>
      </w:r>
      <w:r>
        <w:rPr>
          <w:color w:val="auto"/>
          <w:highlight w:val="none"/>
        </w:rPr>
        <w:t>范围，</w:t>
      </w:r>
      <w:r>
        <w:rPr>
          <w:rFonts w:hint="eastAsia"/>
          <w:color w:val="auto"/>
          <w:highlight w:val="none"/>
        </w:rPr>
        <w:t>涵盖</w:t>
      </w:r>
      <w:r>
        <w:rPr>
          <w:color w:val="auto"/>
          <w:highlight w:val="none"/>
        </w:rPr>
        <w:t>社会、经济、环境、治理、技术及物理系统，</w:t>
      </w:r>
      <w:r>
        <w:rPr>
          <w:rFonts w:hint="eastAsia"/>
          <w:color w:val="auto"/>
          <w:highlight w:val="none"/>
        </w:rPr>
        <w:t>并使项目受众最大化</w:t>
      </w:r>
      <w:r>
        <w:rPr>
          <w:color w:val="auto"/>
          <w:highlight w:val="none"/>
        </w:rPr>
        <w:t>，尤其关注缺乏代表性的群体与弱势群体。图3</w:t>
      </w:r>
      <w:r>
        <w:rPr>
          <w:rFonts w:hint="eastAsia"/>
          <w:color w:val="auto"/>
          <w:highlight w:val="none"/>
          <w:lang w:val="en-US" w:eastAsia="zh-CN"/>
        </w:rPr>
        <w:t>提供了</w:t>
      </w:r>
      <w:r>
        <w:rPr>
          <w:rFonts w:hint="eastAsia"/>
          <w:color w:val="auto"/>
          <w:highlight w:val="none"/>
          <w:lang w:eastAsia="zh-CN"/>
        </w:rPr>
        <w:t>城市</w:t>
      </w:r>
      <w:r>
        <w:rPr>
          <w:rFonts w:hint="eastAsia"/>
          <w:color w:val="auto"/>
          <w:highlight w:val="none"/>
          <w:lang w:val="en-US" w:eastAsia="zh-CN"/>
        </w:rPr>
        <w:t>韧性</w:t>
      </w:r>
      <w:r>
        <w:rPr>
          <w:rFonts w:hint="eastAsia"/>
          <w:color w:val="auto"/>
          <w:highlight w:val="none"/>
          <w:lang w:eastAsia="zh-CN"/>
        </w:rPr>
        <w:t>社会目标</w:t>
      </w:r>
      <w:r>
        <w:rPr>
          <w:rFonts w:hint="eastAsia"/>
          <w:color w:val="auto"/>
          <w:highlight w:val="none"/>
          <w:lang w:val="en-US" w:eastAsia="zh-CN"/>
        </w:rPr>
        <w:t>的示例</w:t>
      </w:r>
      <w:r>
        <w:rPr>
          <w:color w:val="auto"/>
          <w:highlight w:val="none"/>
        </w:rPr>
        <w:t>。</w:t>
      </w:r>
    </w:p>
    <w:p w14:paraId="7D623163">
      <w:pPr>
        <w:pStyle w:val="59"/>
        <w:ind w:firstLine="420"/>
        <w:jc w:val="center"/>
        <w:rPr>
          <w:b/>
          <w:color w:val="auto"/>
          <w:highlight w:val="none"/>
        </w:rPr>
      </w:pPr>
      <w:r>
        <w:rPr>
          <w:color w:val="auto"/>
          <w:highlight w:val="none"/>
        </w:rPr>
        <w:drawing>
          <wp:inline distT="0" distB="0" distL="0" distR="0">
            <wp:extent cx="2743835" cy="2482850"/>
            <wp:effectExtent l="0" t="0" r="18415" b="1270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24"/>
                    <a:stretch>
                      <a:fillRect/>
                    </a:stretch>
                  </pic:blipFill>
                  <pic:spPr>
                    <a:xfrm>
                      <a:off x="0" y="0"/>
                      <a:ext cx="2750431" cy="2488703"/>
                    </a:xfrm>
                    <a:prstGeom prst="rect">
                      <a:avLst/>
                    </a:prstGeom>
                  </pic:spPr>
                </pic:pic>
              </a:graphicData>
            </a:graphic>
          </wp:inline>
        </w:drawing>
      </w:r>
    </w:p>
    <w:p w14:paraId="4F7FAC3D">
      <w:pPr>
        <w:pStyle w:val="117"/>
        <w:numPr>
          <w:ilvl w:val="0"/>
          <w:numId w:val="17"/>
        </w:numPr>
        <w:spacing w:before="156" w:after="156"/>
        <w:rPr>
          <w:bCs/>
          <w:color w:val="auto"/>
          <w:highlight w:val="none"/>
        </w:rPr>
      </w:pPr>
      <w:r>
        <w:rPr>
          <w:rFonts w:hint="eastAsia"/>
          <w:color w:val="auto"/>
          <w:highlight w:val="none"/>
          <w:lang w:eastAsia="zh-CN"/>
        </w:rPr>
        <w:t>城市</w:t>
      </w:r>
      <w:r>
        <w:rPr>
          <w:rFonts w:hint="eastAsia"/>
          <w:color w:val="auto"/>
          <w:highlight w:val="none"/>
          <w:lang w:val="en-US" w:eastAsia="zh-CN"/>
        </w:rPr>
        <w:t>韧性</w:t>
      </w:r>
      <w:r>
        <w:rPr>
          <w:rFonts w:hint="eastAsia"/>
          <w:color w:val="auto"/>
          <w:highlight w:val="none"/>
          <w:lang w:eastAsia="zh-CN"/>
        </w:rPr>
        <w:t>社会目标</w:t>
      </w:r>
      <w:r>
        <w:rPr>
          <w:color w:val="auto"/>
          <w:highlight w:val="none"/>
        </w:rPr>
        <w:t>示例</w:t>
      </w:r>
    </w:p>
    <w:p w14:paraId="0997A285">
      <w:pPr>
        <w:pStyle w:val="68"/>
        <w:spacing w:before="156" w:after="156"/>
        <w:rPr>
          <w:bCs/>
          <w:color w:val="auto"/>
          <w:highlight w:val="none"/>
        </w:rPr>
      </w:pPr>
      <w:r>
        <w:rPr>
          <w:color w:val="auto"/>
          <w:highlight w:val="none"/>
        </w:rPr>
        <w:t>效益阐述</w:t>
      </w:r>
    </w:p>
    <w:p w14:paraId="61E6048A">
      <w:pPr>
        <w:pStyle w:val="167"/>
        <w:bidi w:val="0"/>
        <w:rPr>
          <w:color w:val="auto"/>
          <w:highlight w:val="none"/>
        </w:rPr>
      </w:pPr>
      <w:r>
        <w:rPr>
          <w:color w:val="auto"/>
          <w:highlight w:val="none"/>
        </w:rPr>
        <w:t>城市韧性</w:t>
      </w:r>
      <w:r>
        <w:rPr>
          <w:rFonts w:hint="eastAsia"/>
          <w:color w:val="auto"/>
          <w:highlight w:val="none"/>
          <w:lang w:val="en-US" w:eastAsia="zh-CN"/>
        </w:rPr>
        <w:t>建设领导小组</w:t>
      </w:r>
      <w:r>
        <w:rPr>
          <w:rFonts w:hint="eastAsia"/>
          <w:color w:val="auto"/>
          <w:highlight w:val="none"/>
          <w:lang w:eastAsia="zh-CN"/>
        </w:rPr>
        <w:t>宜</w:t>
      </w:r>
      <w:r>
        <w:rPr>
          <w:color w:val="auto"/>
          <w:highlight w:val="none"/>
        </w:rPr>
        <w:t>明确阐述城市韧性战略</w:t>
      </w:r>
      <w:r>
        <w:rPr>
          <w:rFonts w:hint="eastAsia"/>
          <w:color w:val="auto"/>
          <w:highlight w:val="none"/>
          <w:lang w:val="en-US" w:eastAsia="zh-CN"/>
        </w:rPr>
        <w:t>可能</w:t>
      </w:r>
      <w:r>
        <w:rPr>
          <w:color w:val="auto"/>
          <w:highlight w:val="none"/>
        </w:rPr>
        <w:t>带来的</w:t>
      </w:r>
      <w:r>
        <w:rPr>
          <w:rFonts w:hint="eastAsia"/>
          <w:color w:val="auto"/>
          <w:highlight w:val="none"/>
          <w:lang w:val="en-US" w:eastAsia="zh-CN"/>
        </w:rPr>
        <w:t>预期</w:t>
      </w:r>
      <w:r>
        <w:rPr>
          <w:color w:val="auto"/>
          <w:highlight w:val="none"/>
        </w:rPr>
        <w:t>效益及受益对象</w:t>
      </w:r>
      <w:r>
        <w:rPr>
          <w:rFonts w:hint="eastAsia"/>
          <w:color w:val="auto"/>
          <w:highlight w:val="none"/>
          <w:lang w:eastAsia="zh-CN"/>
        </w:rPr>
        <w:t>、</w:t>
      </w:r>
      <w:r>
        <w:rPr>
          <w:rFonts w:hint="eastAsia"/>
          <w:color w:val="auto"/>
          <w:highlight w:val="none"/>
          <w:lang w:val="en-US" w:eastAsia="zh-CN"/>
        </w:rPr>
        <w:t>长期价值</w:t>
      </w:r>
      <w:r>
        <w:rPr>
          <w:color w:val="auto"/>
          <w:highlight w:val="none"/>
        </w:rPr>
        <w:t>，重点关注最需要</w:t>
      </w:r>
      <w:r>
        <w:rPr>
          <w:rFonts w:hint="eastAsia"/>
          <w:color w:val="auto"/>
          <w:highlight w:val="none"/>
        </w:rPr>
        <w:t>支持的领域和社</w:t>
      </w:r>
      <w:r>
        <w:rPr>
          <w:rFonts w:hint="eastAsia"/>
          <w:color w:val="auto"/>
          <w:highlight w:val="none"/>
          <w:lang w:val="en-US" w:eastAsia="zh-CN"/>
        </w:rPr>
        <w:t>区</w:t>
      </w:r>
      <w:r>
        <w:rPr>
          <w:color w:val="auto"/>
          <w:highlight w:val="none"/>
        </w:rPr>
        <w:t>。效益</w:t>
      </w:r>
      <w:r>
        <w:rPr>
          <w:rFonts w:hint="eastAsia"/>
          <w:color w:val="auto"/>
          <w:highlight w:val="none"/>
          <w:lang w:val="en-US" w:eastAsia="zh-CN"/>
        </w:rPr>
        <w:t>可</w:t>
      </w:r>
      <w:r>
        <w:rPr>
          <w:color w:val="auto"/>
          <w:highlight w:val="none"/>
        </w:rPr>
        <w:t>包括：</w:t>
      </w:r>
    </w:p>
    <w:p w14:paraId="5AACABD1">
      <w:pPr>
        <w:pStyle w:val="177"/>
        <w:numPr>
          <w:ilvl w:val="0"/>
          <w:numId w:val="41"/>
        </w:numPr>
        <w:bidi w:val="0"/>
        <w:ind w:left="851" w:leftChars="0" w:hanging="426" w:firstLineChars="0"/>
        <w:rPr>
          <w:color w:val="auto"/>
          <w:highlight w:val="none"/>
        </w:rPr>
      </w:pPr>
      <w:r>
        <w:rPr>
          <w:rFonts w:hint="eastAsia"/>
          <w:color w:val="auto"/>
          <w:highlight w:val="none"/>
        </w:rPr>
        <w:t>通过风险评估、成本效益分析和多目标权衡，为政府投资、社会资本、保险金融和企业安全投入提供科学依据，提高公共资源配置效率；</w:t>
      </w:r>
    </w:p>
    <w:p w14:paraId="5DE118B6">
      <w:pPr>
        <w:pStyle w:val="177"/>
        <w:numPr>
          <w:ilvl w:val="0"/>
          <w:numId w:val="41"/>
        </w:numPr>
        <w:bidi w:val="0"/>
        <w:ind w:left="851" w:leftChars="0" w:hanging="426" w:firstLineChars="0"/>
        <w:rPr>
          <w:color w:val="auto"/>
          <w:highlight w:val="none"/>
        </w:rPr>
      </w:pPr>
      <w:r>
        <w:rPr>
          <w:rFonts w:hint="eastAsia"/>
          <w:color w:val="auto"/>
          <w:highlight w:val="none"/>
        </w:rPr>
        <w:t>通过减少灾害损失、缩短设施中断时间、降低恢复成本、提升经济运行稳定性，增强城市经济韧性；</w:t>
      </w:r>
    </w:p>
    <w:p w14:paraId="02C61486">
      <w:pPr>
        <w:pStyle w:val="177"/>
        <w:numPr>
          <w:ilvl w:val="0"/>
          <w:numId w:val="41"/>
        </w:numPr>
        <w:bidi w:val="0"/>
        <w:ind w:left="851" w:leftChars="0" w:hanging="426" w:firstLineChars="0"/>
        <w:rPr>
          <w:color w:val="auto"/>
          <w:highlight w:val="none"/>
        </w:rPr>
      </w:pPr>
      <w:r>
        <w:rPr>
          <w:rFonts w:hint="eastAsia"/>
          <w:color w:val="auto"/>
          <w:highlight w:val="none"/>
        </w:rPr>
        <w:t>提高公众在社区和地方层面参与城市韧性规划的积极性</w:t>
      </w:r>
      <w:r>
        <w:rPr>
          <w:color w:val="auto"/>
          <w:highlight w:val="none"/>
        </w:rPr>
        <w:t>；</w:t>
      </w:r>
    </w:p>
    <w:p w14:paraId="295B60C2">
      <w:pPr>
        <w:pStyle w:val="177"/>
        <w:numPr>
          <w:ilvl w:val="0"/>
          <w:numId w:val="41"/>
        </w:numPr>
        <w:bidi w:val="0"/>
        <w:ind w:left="851" w:leftChars="0" w:hanging="426" w:firstLineChars="0"/>
        <w:rPr>
          <w:color w:val="auto"/>
          <w:highlight w:val="none"/>
        </w:rPr>
      </w:pPr>
      <w:r>
        <w:rPr>
          <w:rFonts w:hint="eastAsia"/>
          <w:color w:val="auto"/>
          <w:highlight w:val="none"/>
          <w:lang w:val="en-US" w:eastAsia="zh-CN"/>
        </w:rPr>
        <w:t>提高</w:t>
      </w:r>
      <w:r>
        <w:rPr>
          <w:color w:val="auto"/>
          <w:highlight w:val="none"/>
        </w:rPr>
        <w:t>城市韧性</w:t>
      </w:r>
      <w:r>
        <w:rPr>
          <w:rFonts w:hint="eastAsia"/>
          <w:color w:val="auto"/>
          <w:highlight w:val="none"/>
          <w:lang w:val="en-US" w:eastAsia="zh-CN"/>
        </w:rPr>
        <w:t>建设领导小组在</w:t>
      </w:r>
      <w:r>
        <w:rPr>
          <w:color w:val="auto"/>
          <w:highlight w:val="none"/>
        </w:rPr>
        <w:t>规划、实施、监测和分析韧性战略</w:t>
      </w:r>
      <w:r>
        <w:rPr>
          <w:rFonts w:hint="eastAsia"/>
          <w:color w:val="auto"/>
          <w:highlight w:val="none"/>
          <w:lang w:val="en-US" w:eastAsia="zh-CN"/>
        </w:rPr>
        <w:t>过程中</w:t>
      </w:r>
      <w:r>
        <w:rPr>
          <w:color w:val="auto"/>
          <w:highlight w:val="none"/>
        </w:rPr>
        <w:t>的透明度和问责效能；</w:t>
      </w:r>
    </w:p>
    <w:p w14:paraId="7C5B7414">
      <w:pPr>
        <w:pStyle w:val="177"/>
        <w:numPr>
          <w:ilvl w:val="0"/>
          <w:numId w:val="41"/>
        </w:numPr>
        <w:bidi w:val="0"/>
        <w:ind w:left="851" w:leftChars="0" w:hanging="426" w:firstLineChars="0"/>
        <w:rPr>
          <w:color w:val="auto"/>
          <w:highlight w:val="none"/>
        </w:rPr>
      </w:pPr>
      <w:r>
        <w:rPr>
          <w:color w:val="auto"/>
          <w:highlight w:val="none"/>
        </w:rPr>
        <w:t>增进城市利益相关方之间的社会信任和信心；</w:t>
      </w:r>
    </w:p>
    <w:p w14:paraId="77BB2D29">
      <w:pPr>
        <w:pStyle w:val="177"/>
        <w:numPr>
          <w:ilvl w:val="0"/>
          <w:numId w:val="41"/>
        </w:numPr>
        <w:bidi w:val="0"/>
        <w:ind w:left="851" w:leftChars="0" w:hanging="426" w:firstLineChars="0"/>
        <w:rPr>
          <w:color w:val="auto"/>
          <w:highlight w:val="none"/>
        </w:rPr>
      </w:pPr>
      <w:r>
        <w:rPr>
          <w:rFonts w:hint="eastAsia"/>
          <w:color w:val="auto"/>
          <w:highlight w:val="none"/>
          <w:lang w:val="en-US" w:eastAsia="zh-CN"/>
        </w:rPr>
        <w:t>加深</w:t>
      </w:r>
      <w:r>
        <w:rPr>
          <w:color w:val="auto"/>
          <w:highlight w:val="none"/>
        </w:rPr>
        <w:t>对城市展现的优</w:t>
      </w:r>
      <w:r>
        <w:rPr>
          <w:rFonts w:hint="eastAsia"/>
          <w:color w:val="auto"/>
          <w:highlight w:val="none"/>
        </w:rPr>
        <w:t>势、</w:t>
      </w:r>
      <w:r>
        <w:rPr>
          <w:color w:val="auto"/>
          <w:highlight w:val="none"/>
        </w:rPr>
        <w:t>劣势</w:t>
      </w:r>
      <w:r>
        <w:rPr>
          <w:rFonts w:hint="eastAsia"/>
          <w:color w:val="auto"/>
          <w:highlight w:val="none"/>
        </w:rPr>
        <w:t>、</w:t>
      </w:r>
      <w:r>
        <w:rPr>
          <w:color w:val="auto"/>
          <w:highlight w:val="none"/>
        </w:rPr>
        <w:t>机遇与威胁</w:t>
      </w:r>
      <w:r>
        <w:rPr>
          <w:rFonts w:hint="eastAsia"/>
          <w:color w:val="auto"/>
          <w:highlight w:val="none"/>
        </w:rPr>
        <w:t>的</w:t>
      </w:r>
      <w:r>
        <w:rPr>
          <w:color w:val="auto"/>
          <w:highlight w:val="none"/>
        </w:rPr>
        <w:t>认知</w:t>
      </w:r>
      <w:r>
        <w:rPr>
          <w:rFonts w:hint="eastAsia"/>
          <w:color w:val="auto"/>
          <w:highlight w:val="none"/>
        </w:rPr>
        <w:t>和</w:t>
      </w:r>
      <w:r>
        <w:rPr>
          <w:color w:val="auto"/>
          <w:highlight w:val="none"/>
        </w:rPr>
        <w:t>理解；</w:t>
      </w:r>
    </w:p>
    <w:p w14:paraId="59943A42">
      <w:pPr>
        <w:pStyle w:val="177"/>
        <w:numPr>
          <w:ilvl w:val="0"/>
          <w:numId w:val="41"/>
        </w:numPr>
        <w:bidi w:val="0"/>
        <w:ind w:left="851" w:leftChars="0" w:hanging="426" w:firstLineChars="0"/>
        <w:rPr>
          <w:color w:val="auto"/>
          <w:highlight w:val="none"/>
        </w:rPr>
      </w:pPr>
      <w:r>
        <w:rPr>
          <w:rFonts w:hint="eastAsia"/>
          <w:color w:val="auto"/>
          <w:highlight w:val="none"/>
          <w:lang w:val="en-US" w:eastAsia="zh-CN"/>
        </w:rPr>
        <w:t>建立</w:t>
      </w:r>
      <w:r>
        <w:rPr>
          <w:color w:val="auto"/>
          <w:highlight w:val="none"/>
        </w:rPr>
        <w:t>共同承诺</w:t>
      </w:r>
      <w:r>
        <w:rPr>
          <w:rFonts w:hint="default"/>
          <w:color w:val="auto"/>
          <w:highlight w:val="none"/>
          <w:lang w:val="en-US"/>
        </w:rPr>
        <w:t>与</w:t>
      </w:r>
      <w:r>
        <w:rPr>
          <w:color w:val="auto"/>
          <w:highlight w:val="none"/>
        </w:rPr>
        <w:t>绩效指标</w:t>
      </w:r>
      <w:r>
        <w:rPr>
          <w:rFonts w:hint="eastAsia"/>
          <w:color w:val="auto"/>
          <w:highlight w:val="none"/>
          <w:lang w:val="en-US" w:eastAsia="zh-CN"/>
        </w:rPr>
        <w:t>的动态监测体系</w:t>
      </w:r>
      <w:r>
        <w:rPr>
          <w:color w:val="auto"/>
          <w:highlight w:val="none"/>
        </w:rPr>
        <w:t>，</w:t>
      </w:r>
      <w:r>
        <w:rPr>
          <w:rFonts w:hint="eastAsia"/>
          <w:color w:val="auto"/>
          <w:highlight w:val="none"/>
          <w:lang w:val="en-US" w:eastAsia="zh-CN"/>
        </w:rPr>
        <w:t>直观呈现建设成效</w:t>
      </w:r>
      <w:r>
        <w:rPr>
          <w:color w:val="auto"/>
          <w:highlight w:val="none"/>
        </w:rPr>
        <w:t>；</w:t>
      </w:r>
    </w:p>
    <w:p w14:paraId="041019A1">
      <w:pPr>
        <w:pStyle w:val="177"/>
        <w:numPr>
          <w:ilvl w:val="0"/>
          <w:numId w:val="41"/>
        </w:numPr>
        <w:bidi w:val="0"/>
        <w:ind w:left="851" w:leftChars="0" w:hanging="426" w:firstLineChars="0"/>
        <w:rPr>
          <w:color w:val="auto"/>
          <w:highlight w:val="none"/>
        </w:rPr>
      </w:pPr>
      <w:r>
        <w:rPr>
          <w:color w:val="auto"/>
          <w:highlight w:val="none"/>
        </w:rPr>
        <w:t>强化社区凝聚力</w:t>
      </w:r>
      <w:r>
        <w:rPr>
          <w:rFonts w:hint="eastAsia"/>
          <w:color w:val="auto"/>
          <w:highlight w:val="none"/>
          <w:lang w:eastAsia="zh-CN"/>
        </w:rPr>
        <w:t>，</w:t>
      </w:r>
      <w:r>
        <w:rPr>
          <w:rFonts w:hint="eastAsia"/>
          <w:color w:val="auto"/>
          <w:highlight w:val="none"/>
          <w:lang w:val="en-US" w:eastAsia="zh-CN"/>
        </w:rPr>
        <w:t>健全</w:t>
      </w:r>
      <w:r>
        <w:rPr>
          <w:color w:val="auto"/>
          <w:highlight w:val="none"/>
        </w:rPr>
        <w:t>城市</w:t>
      </w:r>
      <w:r>
        <w:rPr>
          <w:rFonts w:hint="eastAsia"/>
          <w:color w:val="auto"/>
          <w:highlight w:val="none"/>
          <w:lang w:val="en-US" w:eastAsia="zh-CN"/>
        </w:rPr>
        <w:t>互助协作</w:t>
      </w:r>
      <w:r>
        <w:rPr>
          <w:color w:val="auto"/>
          <w:highlight w:val="none"/>
        </w:rPr>
        <w:t>网络，推动家庭、社区、组织间的资源共享；</w:t>
      </w:r>
    </w:p>
    <w:p w14:paraId="4A0DFBFD">
      <w:pPr>
        <w:pStyle w:val="177"/>
        <w:numPr>
          <w:ilvl w:val="0"/>
          <w:numId w:val="41"/>
        </w:numPr>
        <w:bidi w:val="0"/>
        <w:ind w:left="851" w:leftChars="0" w:hanging="426" w:firstLineChars="0"/>
        <w:rPr>
          <w:color w:val="auto"/>
          <w:highlight w:val="none"/>
        </w:rPr>
      </w:pPr>
      <w:r>
        <w:rPr>
          <w:color w:val="auto"/>
          <w:highlight w:val="none"/>
        </w:rPr>
        <w:t>通过提</w:t>
      </w:r>
      <w:r>
        <w:rPr>
          <w:rFonts w:hint="eastAsia"/>
          <w:color w:val="auto"/>
          <w:highlight w:val="none"/>
          <w:lang w:val="en-US" w:eastAsia="zh-CN"/>
        </w:rPr>
        <w:t>高</w:t>
      </w:r>
      <w:r>
        <w:rPr>
          <w:color w:val="auto"/>
          <w:highlight w:val="none"/>
        </w:rPr>
        <w:t>认知、有效规划、公众参与以及强化韧性建设主体意识，构建城市系统</w:t>
      </w:r>
      <w:r>
        <w:rPr>
          <w:rFonts w:hint="eastAsia"/>
          <w:color w:val="auto"/>
          <w:highlight w:val="none"/>
          <w:lang w:val="en-US" w:eastAsia="zh-CN"/>
        </w:rPr>
        <w:t>各</w:t>
      </w:r>
      <w:r>
        <w:rPr>
          <w:color w:val="auto"/>
          <w:highlight w:val="none"/>
        </w:rPr>
        <w:t>层级韧性文化；</w:t>
      </w:r>
    </w:p>
    <w:p w14:paraId="0F555240">
      <w:pPr>
        <w:pStyle w:val="177"/>
        <w:numPr>
          <w:ilvl w:val="0"/>
          <w:numId w:val="41"/>
        </w:numPr>
        <w:bidi w:val="0"/>
        <w:ind w:left="851" w:leftChars="0" w:hanging="426" w:firstLineChars="0"/>
        <w:rPr>
          <w:color w:val="auto"/>
          <w:highlight w:val="none"/>
        </w:rPr>
      </w:pPr>
      <w:r>
        <w:rPr>
          <w:color w:val="auto"/>
          <w:highlight w:val="none"/>
        </w:rPr>
        <w:t>增强归属感、认同感与社区自豪感；</w:t>
      </w:r>
    </w:p>
    <w:p w14:paraId="3E5516A3">
      <w:pPr>
        <w:pStyle w:val="177"/>
        <w:numPr>
          <w:ilvl w:val="0"/>
          <w:numId w:val="41"/>
        </w:numPr>
        <w:bidi w:val="0"/>
        <w:ind w:left="851" w:leftChars="0" w:hanging="426" w:firstLineChars="0"/>
        <w:rPr>
          <w:color w:val="auto"/>
          <w:highlight w:val="none"/>
        </w:rPr>
      </w:pPr>
      <w:r>
        <w:rPr>
          <w:color w:val="auto"/>
          <w:highlight w:val="none"/>
        </w:rPr>
        <w:t>提高城区居民的生活水平，满足其基本需求；</w:t>
      </w:r>
    </w:p>
    <w:p w14:paraId="76C244EF">
      <w:pPr>
        <w:pStyle w:val="177"/>
        <w:numPr>
          <w:ilvl w:val="0"/>
          <w:numId w:val="41"/>
        </w:numPr>
        <w:bidi w:val="0"/>
        <w:ind w:left="851" w:leftChars="0" w:hanging="426" w:firstLineChars="0"/>
        <w:rPr>
          <w:color w:val="auto"/>
          <w:highlight w:val="none"/>
        </w:rPr>
      </w:pPr>
      <w:r>
        <w:rPr>
          <w:color w:val="auto"/>
          <w:highlight w:val="none"/>
        </w:rPr>
        <w:t>增进</w:t>
      </w:r>
      <w:r>
        <w:rPr>
          <w:rFonts w:hint="eastAsia"/>
          <w:color w:val="auto"/>
          <w:highlight w:val="none"/>
        </w:rPr>
        <w:t>人民</w:t>
      </w:r>
      <w:r>
        <w:rPr>
          <w:color w:val="auto"/>
          <w:highlight w:val="none"/>
        </w:rPr>
        <w:t>福祉，</w:t>
      </w:r>
      <w:r>
        <w:rPr>
          <w:rFonts w:hint="eastAsia"/>
          <w:color w:val="auto"/>
          <w:highlight w:val="none"/>
        </w:rPr>
        <w:t>提高</w:t>
      </w:r>
      <w:r>
        <w:rPr>
          <w:color w:val="auto"/>
          <w:highlight w:val="none"/>
        </w:rPr>
        <w:t>生活质量。</w:t>
      </w:r>
    </w:p>
    <w:p w14:paraId="386CAFC3">
      <w:pPr>
        <w:pStyle w:val="167"/>
        <w:bidi w:val="0"/>
        <w:rPr>
          <w:color w:val="auto"/>
          <w:highlight w:val="none"/>
        </w:rPr>
      </w:pPr>
      <w:r>
        <w:rPr>
          <w:color w:val="auto"/>
          <w:highlight w:val="none"/>
        </w:rPr>
        <w:t>城市韧性</w:t>
      </w:r>
      <w:r>
        <w:rPr>
          <w:rFonts w:hint="eastAsia"/>
          <w:color w:val="auto"/>
          <w:highlight w:val="none"/>
          <w:lang w:val="en-US" w:eastAsia="zh-CN"/>
        </w:rPr>
        <w:t>建设领导小组组长宜</w:t>
      </w:r>
      <w:r>
        <w:rPr>
          <w:color w:val="auto"/>
          <w:highlight w:val="none"/>
        </w:rPr>
        <w:t>阐明城市存在的</w:t>
      </w:r>
      <w:r>
        <w:rPr>
          <w:rFonts w:hint="eastAsia"/>
          <w:color w:val="auto"/>
          <w:highlight w:val="none"/>
          <w:lang w:val="en-US" w:eastAsia="zh-CN"/>
        </w:rPr>
        <w:t>各类</w:t>
      </w:r>
      <w:r>
        <w:rPr>
          <w:color w:val="auto"/>
          <w:highlight w:val="none"/>
        </w:rPr>
        <w:t>风险</w:t>
      </w:r>
      <w:r>
        <w:rPr>
          <w:rFonts w:hint="eastAsia"/>
          <w:color w:val="auto"/>
          <w:highlight w:val="none"/>
          <w:lang w:val="en-US" w:eastAsia="zh-CN"/>
        </w:rPr>
        <w:t>及</w:t>
      </w:r>
      <w:r>
        <w:rPr>
          <w:color w:val="auto"/>
          <w:highlight w:val="none"/>
        </w:rPr>
        <w:t>其后果，以及无城市韧性战略干预时对居民、资产与城市运行的潜在影响。</w:t>
      </w:r>
    </w:p>
    <w:p w14:paraId="2F4BC9D3">
      <w:pPr>
        <w:pStyle w:val="108"/>
        <w:spacing w:before="156" w:after="156"/>
        <w:rPr>
          <w:bCs/>
          <w:color w:val="auto"/>
          <w:highlight w:val="none"/>
        </w:rPr>
      </w:pPr>
      <w:bookmarkStart w:id="88" w:name="_Toc19878"/>
      <w:bookmarkStart w:id="89" w:name="_Toc206170525"/>
      <w:bookmarkStart w:id="90" w:name="_Toc10409"/>
      <w:bookmarkStart w:id="91" w:name="_Toc14947"/>
      <w:r>
        <w:rPr>
          <w:color w:val="auto"/>
          <w:highlight w:val="none"/>
        </w:rPr>
        <w:t>沟通与参与</w:t>
      </w:r>
      <w:bookmarkEnd w:id="88"/>
      <w:bookmarkEnd w:id="89"/>
      <w:bookmarkEnd w:id="90"/>
      <w:bookmarkEnd w:id="91"/>
    </w:p>
    <w:p w14:paraId="323C4149">
      <w:pPr>
        <w:pStyle w:val="68"/>
        <w:spacing w:before="156" w:after="156"/>
        <w:rPr>
          <w:bCs/>
          <w:color w:val="auto"/>
          <w:highlight w:val="none"/>
        </w:rPr>
      </w:pPr>
      <w:r>
        <w:rPr>
          <w:rFonts w:hint="eastAsia"/>
          <w:color w:val="auto"/>
          <w:highlight w:val="none"/>
        </w:rPr>
        <w:t>概述</w:t>
      </w:r>
    </w:p>
    <w:p w14:paraId="3D057D69">
      <w:pPr>
        <w:pStyle w:val="59"/>
        <w:ind w:firstLine="420"/>
        <w:rPr>
          <w:color w:val="auto"/>
          <w:highlight w:val="none"/>
        </w:rPr>
      </w:pPr>
      <w:r>
        <w:rPr>
          <w:rFonts w:hint="eastAsia"/>
          <w:color w:val="auto"/>
          <w:highlight w:val="none"/>
          <w:lang w:val="en-US" w:eastAsia="zh-CN"/>
        </w:rPr>
        <w:t>广泛多元的</w:t>
      </w:r>
      <w:r>
        <w:rPr>
          <w:color w:val="auto"/>
          <w:highlight w:val="none"/>
        </w:rPr>
        <w:t>社区参与</w:t>
      </w:r>
      <w:r>
        <w:rPr>
          <w:rFonts w:hint="eastAsia"/>
          <w:color w:val="auto"/>
          <w:highlight w:val="none"/>
          <w:lang w:eastAsia="zh-CN"/>
        </w:rPr>
        <w:t>，</w:t>
      </w:r>
      <w:r>
        <w:rPr>
          <w:color w:val="auto"/>
          <w:highlight w:val="none"/>
        </w:rPr>
        <w:t>有助于开展全面的社区</w:t>
      </w:r>
      <w:r>
        <w:rPr>
          <w:rFonts w:hint="eastAsia"/>
          <w:color w:val="auto"/>
          <w:highlight w:val="none"/>
          <w:lang w:val="en-US" w:eastAsia="zh-CN"/>
        </w:rPr>
        <w:t>风险</w:t>
      </w:r>
      <w:r>
        <w:rPr>
          <w:color w:val="auto"/>
          <w:highlight w:val="none"/>
        </w:rPr>
        <w:t>评估，</w:t>
      </w:r>
      <w:r>
        <w:rPr>
          <w:rFonts w:hint="eastAsia"/>
          <w:color w:val="auto"/>
          <w:highlight w:val="none"/>
        </w:rPr>
        <w:t>提升城市韧性战略的认知度，</w:t>
      </w:r>
      <w:r>
        <w:rPr>
          <w:color w:val="auto"/>
          <w:highlight w:val="none"/>
        </w:rPr>
        <w:t>优化资源配置，并为培养倡导者和支持者创造</w:t>
      </w:r>
      <w:r>
        <w:rPr>
          <w:rFonts w:hint="eastAsia"/>
          <w:color w:val="auto"/>
          <w:highlight w:val="none"/>
          <w:lang w:val="en-US" w:eastAsia="zh-CN"/>
        </w:rPr>
        <w:t>条件</w:t>
      </w:r>
      <w:r>
        <w:rPr>
          <w:color w:val="auto"/>
          <w:highlight w:val="none"/>
        </w:rPr>
        <w:t>。</w:t>
      </w:r>
    </w:p>
    <w:p w14:paraId="2DE4C130">
      <w:pPr>
        <w:pStyle w:val="167"/>
        <w:bidi w:val="0"/>
        <w:rPr>
          <w:color w:val="auto"/>
          <w:highlight w:val="none"/>
        </w:rPr>
      </w:pPr>
      <w:r>
        <w:rPr>
          <w:color w:val="auto"/>
          <w:highlight w:val="none"/>
        </w:rPr>
        <w:t>城市韧性</w:t>
      </w:r>
      <w:r>
        <w:rPr>
          <w:rFonts w:hint="eastAsia"/>
          <w:color w:val="auto"/>
          <w:highlight w:val="none"/>
          <w:lang w:val="en-US" w:eastAsia="zh-CN"/>
        </w:rPr>
        <w:t>建设领导小组</w:t>
      </w:r>
      <w:r>
        <w:rPr>
          <w:rFonts w:hint="eastAsia"/>
          <w:color w:val="auto"/>
          <w:highlight w:val="none"/>
          <w:lang w:eastAsia="zh-CN"/>
        </w:rPr>
        <w:t>宜</w:t>
      </w:r>
      <w:r>
        <w:rPr>
          <w:color w:val="auto"/>
          <w:highlight w:val="none"/>
        </w:rPr>
        <w:t>依托现有的利益相关方</w:t>
      </w:r>
      <w:r>
        <w:rPr>
          <w:rFonts w:hint="eastAsia"/>
          <w:color w:val="auto"/>
          <w:highlight w:val="none"/>
        </w:rPr>
        <w:t>议事协商平台或机制</w:t>
      </w:r>
      <w:r>
        <w:rPr>
          <w:color w:val="auto"/>
          <w:highlight w:val="none"/>
        </w:rPr>
        <w:t>，制定参与计划，</w:t>
      </w:r>
      <w:r>
        <w:rPr>
          <w:rFonts w:hint="eastAsia"/>
          <w:color w:val="auto"/>
          <w:highlight w:val="none"/>
        </w:rPr>
        <w:t>并对该平台或机制进行调整或修改，以纳入城市韧性工作重点。参与计划可提供详细版与精简版，便于公众及非专业人士理解使用。</w:t>
      </w:r>
      <w:r>
        <w:rPr>
          <w:color w:val="auto"/>
          <w:highlight w:val="none"/>
        </w:rPr>
        <w:t>参与计划</w:t>
      </w:r>
      <w:r>
        <w:rPr>
          <w:rFonts w:hint="eastAsia"/>
          <w:color w:val="auto"/>
          <w:highlight w:val="none"/>
          <w:lang w:eastAsia="zh-CN"/>
        </w:rPr>
        <w:t>宜包括</w:t>
      </w:r>
      <w:r>
        <w:rPr>
          <w:color w:val="auto"/>
          <w:highlight w:val="none"/>
        </w:rPr>
        <w:t>：</w:t>
      </w:r>
    </w:p>
    <w:p w14:paraId="469D856A">
      <w:pPr>
        <w:pStyle w:val="177"/>
        <w:numPr>
          <w:ilvl w:val="0"/>
          <w:numId w:val="42"/>
        </w:numPr>
        <w:bidi w:val="0"/>
        <w:ind w:left="851" w:leftChars="0" w:hanging="426" w:firstLineChars="0"/>
        <w:rPr>
          <w:color w:val="auto"/>
          <w:highlight w:val="none"/>
        </w:rPr>
      </w:pPr>
      <w:r>
        <w:rPr>
          <w:color w:val="auto"/>
          <w:highlight w:val="none"/>
        </w:rPr>
        <w:t>参与目标及所需参与</w:t>
      </w:r>
      <w:r>
        <w:rPr>
          <w:rFonts w:hint="eastAsia"/>
          <w:color w:val="auto"/>
          <w:highlight w:val="none"/>
        </w:rPr>
        <w:t>程度</w:t>
      </w:r>
      <w:r>
        <w:rPr>
          <w:color w:val="auto"/>
          <w:highlight w:val="none"/>
        </w:rPr>
        <w:t>；</w:t>
      </w:r>
    </w:p>
    <w:p w14:paraId="69279F91">
      <w:pPr>
        <w:pStyle w:val="177"/>
        <w:numPr>
          <w:ilvl w:val="0"/>
          <w:numId w:val="42"/>
        </w:numPr>
        <w:bidi w:val="0"/>
        <w:ind w:left="851" w:leftChars="0" w:hanging="426" w:firstLineChars="0"/>
        <w:rPr>
          <w:color w:val="auto"/>
          <w:highlight w:val="none"/>
        </w:rPr>
      </w:pPr>
      <w:r>
        <w:rPr>
          <w:color w:val="auto"/>
          <w:highlight w:val="none"/>
        </w:rPr>
        <w:t>利益相关方的识别、梳理和分析（见6.3.</w:t>
      </w:r>
      <w:r>
        <w:rPr>
          <w:rFonts w:hint="eastAsia"/>
          <w:color w:val="auto"/>
          <w:highlight w:val="none"/>
          <w:lang w:val="en-US" w:eastAsia="zh-CN"/>
        </w:rPr>
        <w:t>2</w:t>
      </w:r>
      <w:r>
        <w:rPr>
          <w:color w:val="auto"/>
          <w:highlight w:val="none"/>
        </w:rPr>
        <w:t>）；</w:t>
      </w:r>
    </w:p>
    <w:p w14:paraId="4E40ADA0">
      <w:pPr>
        <w:pStyle w:val="177"/>
        <w:numPr>
          <w:ilvl w:val="0"/>
          <w:numId w:val="42"/>
        </w:numPr>
        <w:bidi w:val="0"/>
        <w:ind w:left="851" w:leftChars="0" w:hanging="426" w:firstLineChars="0"/>
        <w:rPr>
          <w:color w:val="auto"/>
          <w:highlight w:val="none"/>
        </w:rPr>
      </w:pPr>
      <w:r>
        <w:rPr>
          <w:color w:val="auto"/>
          <w:highlight w:val="none"/>
        </w:rPr>
        <w:t>参与方式；</w:t>
      </w:r>
    </w:p>
    <w:p w14:paraId="10759AAD">
      <w:pPr>
        <w:pStyle w:val="177"/>
        <w:numPr>
          <w:ilvl w:val="0"/>
          <w:numId w:val="42"/>
        </w:numPr>
        <w:bidi w:val="0"/>
        <w:ind w:left="851" w:leftChars="0" w:hanging="426" w:firstLineChars="0"/>
        <w:rPr>
          <w:color w:val="auto"/>
          <w:highlight w:val="none"/>
        </w:rPr>
      </w:pPr>
      <w:r>
        <w:rPr>
          <w:color w:val="auto"/>
          <w:highlight w:val="none"/>
        </w:rPr>
        <w:t>用于交流信息和提升战略认知的沟通方案；</w:t>
      </w:r>
    </w:p>
    <w:p w14:paraId="345D128D">
      <w:pPr>
        <w:pStyle w:val="177"/>
        <w:numPr>
          <w:ilvl w:val="0"/>
          <w:numId w:val="42"/>
        </w:numPr>
        <w:bidi w:val="0"/>
        <w:ind w:left="851" w:leftChars="0" w:hanging="426" w:firstLineChars="0"/>
        <w:rPr>
          <w:color w:val="auto"/>
          <w:highlight w:val="none"/>
        </w:rPr>
      </w:pPr>
      <w:r>
        <w:rPr>
          <w:rFonts w:hint="eastAsia"/>
          <w:color w:val="auto"/>
          <w:highlight w:val="none"/>
        </w:rPr>
        <w:t>与</w:t>
      </w:r>
      <w:r>
        <w:rPr>
          <w:color w:val="auto"/>
          <w:highlight w:val="none"/>
        </w:rPr>
        <w:t>各利益</w:t>
      </w:r>
      <w:r>
        <w:rPr>
          <w:rFonts w:hint="eastAsia"/>
          <w:color w:val="auto"/>
          <w:highlight w:val="none"/>
          <w:lang w:eastAsia="zh-CN"/>
        </w:rPr>
        <w:t>相关方</w:t>
      </w:r>
      <w:r>
        <w:rPr>
          <w:color w:val="auto"/>
          <w:highlight w:val="none"/>
        </w:rPr>
        <w:t>及其</w:t>
      </w:r>
      <w:r>
        <w:rPr>
          <w:rFonts w:hint="eastAsia"/>
          <w:color w:val="auto"/>
          <w:highlight w:val="none"/>
          <w:lang w:val="en-US" w:eastAsia="zh-CN"/>
        </w:rPr>
        <w:t>联络人员的</w:t>
      </w:r>
      <w:r>
        <w:rPr>
          <w:color w:val="auto"/>
          <w:highlight w:val="none"/>
        </w:rPr>
        <w:t>沟通</w:t>
      </w:r>
      <w:r>
        <w:rPr>
          <w:rFonts w:hint="eastAsia"/>
          <w:color w:val="auto"/>
          <w:highlight w:val="none"/>
        </w:rPr>
        <w:t>关键信息</w:t>
      </w:r>
      <w:r>
        <w:rPr>
          <w:color w:val="auto"/>
          <w:highlight w:val="none"/>
        </w:rPr>
        <w:t>；</w:t>
      </w:r>
    </w:p>
    <w:p w14:paraId="2277E341">
      <w:pPr>
        <w:pStyle w:val="177"/>
        <w:numPr>
          <w:ilvl w:val="0"/>
          <w:numId w:val="42"/>
        </w:numPr>
        <w:bidi w:val="0"/>
        <w:ind w:left="851" w:leftChars="0" w:hanging="426" w:firstLineChars="0"/>
        <w:rPr>
          <w:color w:val="auto"/>
          <w:highlight w:val="none"/>
        </w:rPr>
      </w:pPr>
      <w:r>
        <w:rPr>
          <w:rFonts w:hint="eastAsia"/>
          <w:color w:val="auto"/>
          <w:highlight w:val="none"/>
          <w:lang w:val="en-US" w:eastAsia="zh-CN"/>
        </w:rPr>
        <w:t>借助</w:t>
      </w:r>
      <w:r>
        <w:rPr>
          <w:color w:val="auto"/>
          <w:highlight w:val="none"/>
        </w:rPr>
        <w:t>社区活动</w:t>
      </w:r>
      <w:r>
        <w:rPr>
          <w:rFonts w:hint="eastAsia"/>
          <w:color w:val="auto"/>
          <w:highlight w:val="none"/>
          <w:lang w:eastAsia="zh-CN"/>
        </w:rPr>
        <w:t>，</w:t>
      </w:r>
      <w:r>
        <w:rPr>
          <w:rFonts w:hint="eastAsia"/>
          <w:color w:val="auto"/>
          <w:highlight w:val="none"/>
          <w:lang w:val="en-US" w:eastAsia="zh-CN"/>
        </w:rPr>
        <w:t>拓展公众参与，提升公众</w:t>
      </w:r>
      <w:r>
        <w:rPr>
          <w:color w:val="auto"/>
          <w:highlight w:val="none"/>
        </w:rPr>
        <w:t>认知；</w:t>
      </w:r>
    </w:p>
    <w:p w14:paraId="10A3ECD1">
      <w:pPr>
        <w:pStyle w:val="177"/>
        <w:numPr>
          <w:ilvl w:val="0"/>
          <w:numId w:val="42"/>
        </w:numPr>
        <w:bidi w:val="0"/>
        <w:ind w:left="851" w:leftChars="0" w:hanging="426" w:firstLineChars="0"/>
        <w:rPr>
          <w:color w:val="auto"/>
          <w:highlight w:val="none"/>
        </w:rPr>
      </w:pPr>
      <w:r>
        <w:rPr>
          <w:color w:val="auto"/>
          <w:highlight w:val="none"/>
        </w:rPr>
        <w:t>社交或数字媒体工具</w:t>
      </w:r>
      <w:r>
        <w:rPr>
          <w:rFonts w:hint="eastAsia"/>
          <w:color w:val="auto"/>
          <w:highlight w:val="none"/>
        </w:rPr>
        <w:t>和</w:t>
      </w:r>
      <w:r>
        <w:rPr>
          <w:color w:val="auto"/>
          <w:highlight w:val="none"/>
        </w:rPr>
        <w:t>活动；</w:t>
      </w:r>
    </w:p>
    <w:p w14:paraId="65120203">
      <w:pPr>
        <w:pStyle w:val="177"/>
        <w:numPr>
          <w:ilvl w:val="0"/>
          <w:numId w:val="42"/>
        </w:numPr>
        <w:bidi w:val="0"/>
        <w:ind w:left="851" w:leftChars="0" w:hanging="426" w:firstLineChars="0"/>
        <w:rPr>
          <w:color w:val="auto"/>
          <w:highlight w:val="none"/>
        </w:rPr>
      </w:pPr>
      <w:r>
        <w:rPr>
          <w:rFonts w:hint="eastAsia"/>
          <w:color w:val="auto"/>
          <w:highlight w:val="none"/>
        </w:rPr>
        <w:t>反映</w:t>
      </w:r>
      <w:r>
        <w:rPr>
          <w:color w:val="auto"/>
          <w:highlight w:val="none"/>
        </w:rPr>
        <w:t>社区多元特征的文化与语言考量。</w:t>
      </w:r>
    </w:p>
    <w:p w14:paraId="4A6887AE">
      <w:pPr>
        <w:pStyle w:val="167"/>
        <w:bidi w:val="0"/>
        <w:rPr>
          <w:color w:val="auto"/>
          <w:highlight w:val="none"/>
        </w:rPr>
      </w:pPr>
      <w:r>
        <w:rPr>
          <w:color w:val="auto"/>
          <w:highlight w:val="none"/>
        </w:rPr>
        <w:t>城市韧性</w:t>
      </w:r>
      <w:r>
        <w:rPr>
          <w:rFonts w:hint="eastAsia"/>
          <w:color w:val="auto"/>
          <w:highlight w:val="none"/>
          <w:lang w:val="en-US" w:eastAsia="zh-CN"/>
        </w:rPr>
        <w:t>建设领导小组组长</w:t>
      </w:r>
      <w:r>
        <w:rPr>
          <w:rFonts w:hint="eastAsia"/>
          <w:color w:val="auto"/>
          <w:highlight w:val="none"/>
          <w:lang w:eastAsia="zh-CN"/>
        </w:rPr>
        <w:t>宜</w:t>
      </w:r>
      <w:r>
        <w:rPr>
          <w:color w:val="auto"/>
          <w:highlight w:val="none"/>
        </w:rPr>
        <w:t>：</w:t>
      </w:r>
    </w:p>
    <w:p w14:paraId="12917071">
      <w:pPr>
        <w:pStyle w:val="177"/>
        <w:numPr>
          <w:ilvl w:val="0"/>
          <w:numId w:val="43"/>
        </w:numPr>
        <w:bidi w:val="0"/>
        <w:rPr>
          <w:color w:val="auto"/>
          <w:highlight w:val="none"/>
        </w:rPr>
      </w:pPr>
      <w:r>
        <w:rPr>
          <w:color w:val="auto"/>
          <w:highlight w:val="none"/>
        </w:rPr>
        <w:t>在制定和实施城市韧性战略过程中，推动</w:t>
      </w:r>
      <w:r>
        <w:rPr>
          <w:rFonts w:hint="eastAsia"/>
          <w:color w:val="auto"/>
          <w:highlight w:val="none"/>
          <w:lang w:val="en-US" w:eastAsia="zh-CN"/>
        </w:rPr>
        <w:t>广泛多元的</w:t>
      </w:r>
      <w:r>
        <w:rPr>
          <w:color w:val="auto"/>
          <w:highlight w:val="none"/>
        </w:rPr>
        <w:t>社区参与，</w:t>
      </w:r>
      <w:r>
        <w:rPr>
          <w:rFonts w:hint="eastAsia"/>
          <w:color w:val="auto"/>
          <w:highlight w:val="none"/>
        </w:rPr>
        <w:t>以有效</w:t>
      </w:r>
      <w:r>
        <w:rPr>
          <w:color w:val="auto"/>
          <w:highlight w:val="none"/>
        </w:rPr>
        <w:t>提升参与度、影响力</w:t>
      </w:r>
      <w:r>
        <w:rPr>
          <w:rFonts w:hint="eastAsia"/>
          <w:color w:val="auto"/>
          <w:highlight w:val="none"/>
          <w:lang w:eastAsia="zh-CN"/>
        </w:rPr>
        <w:t>，</w:t>
      </w:r>
      <w:r>
        <w:rPr>
          <w:rFonts w:hint="eastAsia"/>
          <w:color w:val="auto"/>
          <w:highlight w:val="none"/>
          <w:lang w:val="en-US" w:eastAsia="zh-CN"/>
        </w:rPr>
        <w:t>增强社会</w:t>
      </w:r>
      <w:r>
        <w:rPr>
          <w:color w:val="auto"/>
          <w:highlight w:val="none"/>
        </w:rPr>
        <w:t>信任；</w:t>
      </w:r>
    </w:p>
    <w:p w14:paraId="0FE00055">
      <w:pPr>
        <w:pStyle w:val="177"/>
        <w:numPr>
          <w:ilvl w:val="0"/>
          <w:numId w:val="43"/>
        </w:numPr>
        <w:bidi w:val="0"/>
        <w:rPr>
          <w:color w:val="auto"/>
          <w:highlight w:val="none"/>
        </w:rPr>
      </w:pPr>
      <w:r>
        <w:rPr>
          <w:color w:val="auto"/>
          <w:highlight w:val="none"/>
        </w:rPr>
        <w:t>确保社区参与的广泛性，覆盖不同年龄群体</w:t>
      </w:r>
      <w:r>
        <w:rPr>
          <w:rFonts w:hint="eastAsia"/>
          <w:color w:val="auto"/>
          <w:highlight w:val="none"/>
          <w:lang w:val="en-US" w:eastAsia="zh-CN"/>
        </w:rPr>
        <w:t>的</w:t>
      </w:r>
      <w:r>
        <w:rPr>
          <w:rFonts w:hint="eastAsia"/>
          <w:color w:val="auto"/>
          <w:highlight w:val="none"/>
        </w:rPr>
        <w:t>社</w:t>
      </w:r>
      <w:r>
        <w:rPr>
          <w:color w:val="auto"/>
          <w:highlight w:val="none"/>
        </w:rPr>
        <w:t>区居民，以及各类社区组织、机构与</w:t>
      </w:r>
      <w:r>
        <w:rPr>
          <w:rFonts w:hint="eastAsia"/>
          <w:color w:val="auto"/>
          <w:highlight w:val="none"/>
          <w:lang w:val="en-US" w:eastAsia="zh-CN"/>
        </w:rPr>
        <w:t>辖区</w:t>
      </w:r>
      <w:r>
        <w:rPr>
          <w:color w:val="auto"/>
          <w:highlight w:val="none"/>
        </w:rPr>
        <w:t>企</w:t>
      </w:r>
      <w:r>
        <w:rPr>
          <w:rFonts w:hint="eastAsia"/>
          <w:color w:val="auto"/>
          <w:highlight w:val="none"/>
          <w:lang w:val="en-US" w:eastAsia="zh-CN"/>
        </w:rPr>
        <w:t>事</w:t>
      </w:r>
      <w:r>
        <w:rPr>
          <w:color w:val="auto"/>
          <w:highlight w:val="none"/>
        </w:rPr>
        <w:t>业</w:t>
      </w:r>
      <w:r>
        <w:rPr>
          <w:rFonts w:hint="eastAsia"/>
          <w:color w:val="auto"/>
          <w:highlight w:val="none"/>
          <w:lang w:val="en-US" w:eastAsia="zh-CN"/>
        </w:rPr>
        <w:t>单位工作</w:t>
      </w:r>
      <w:r>
        <w:rPr>
          <w:color w:val="auto"/>
          <w:highlight w:val="none"/>
        </w:rPr>
        <w:t>人员；</w:t>
      </w:r>
    </w:p>
    <w:p w14:paraId="062E45C0">
      <w:pPr>
        <w:pStyle w:val="177"/>
        <w:numPr>
          <w:ilvl w:val="0"/>
          <w:numId w:val="43"/>
        </w:numPr>
        <w:bidi w:val="0"/>
        <w:rPr>
          <w:color w:val="auto"/>
          <w:highlight w:val="none"/>
        </w:rPr>
      </w:pPr>
      <w:r>
        <w:rPr>
          <w:color w:val="auto"/>
          <w:highlight w:val="none"/>
        </w:rPr>
        <w:t>识别并重点关注在决策中历来缺乏代表性的群体以及处于弱势地位的群体；</w:t>
      </w:r>
    </w:p>
    <w:p w14:paraId="73B001B9">
      <w:pPr>
        <w:pStyle w:val="177"/>
        <w:numPr>
          <w:ilvl w:val="0"/>
          <w:numId w:val="43"/>
        </w:numPr>
        <w:bidi w:val="0"/>
        <w:rPr>
          <w:color w:val="auto"/>
          <w:highlight w:val="none"/>
        </w:rPr>
      </w:pPr>
      <w:r>
        <w:rPr>
          <w:color w:val="auto"/>
          <w:highlight w:val="none"/>
        </w:rPr>
        <w:t>结合本地实际情况，尊重文化传统（包括</w:t>
      </w:r>
      <w:r>
        <w:rPr>
          <w:rFonts w:hint="eastAsia"/>
          <w:color w:val="auto"/>
          <w:highlight w:val="none"/>
        </w:rPr>
        <w:t>本地居民</w:t>
      </w:r>
      <w:r>
        <w:rPr>
          <w:color w:val="auto"/>
          <w:highlight w:val="none"/>
        </w:rPr>
        <w:t>的文化传统），以此深化社区参与（参见8.1与9.3）。</w:t>
      </w:r>
    </w:p>
    <w:p w14:paraId="74B22EC7">
      <w:pPr>
        <w:pStyle w:val="183"/>
        <w:numPr>
          <w:ilvl w:val="0"/>
          <w:numId w:val="44"/>
        </w:numPr>
        <w:bidi w:val="0"/>
        <w:ind w:left="811" w:leftChars="0" w:hanging="448" w:firstLineChars="0"/>
        <w:rPr>
          <w:rFonts w:hint="eastAsia"/>
          <w:color w:val="auto"/>
          <w:highlight w:val="none"/>
        </w:rPr>
      </w:pPr>
      <w:r>
        <w:rPr>
          <w:rFonts w:hint="eastAsia"/>
          <w:color w:val="auto"/>
          <w:highlight w:val="none"/>
        </w:rPr>
        <w:t>若需了解紧急情况下识别弱势个体、促其参与并响应其需求的相关指南，可参见GB/T 41670—2022（ISO 22395:2018，IDT）。</w:t>
      </w:r>
    </w:p>
    <w:p w14:paraId="465BB7C9">
      <w:pPr>
        <w:pStyle w:val="183"/>
        <w:numPr>
          <w:ilvl w:val="0"/>
          <w:numId w:val="44"/>
        </w:numPr>
        <w:bidi w:val="0"/>
        <w:ind w:left="811" w:leftChars="0" w:hanging="448" w:firstLineChars="0"/>
        <w:rPr>
          <w:rFonts w:hint="eastAsia"/>
          <w:color w:val="auto"/>
          <w:highlight w:val="none"/>
        </w:rPr>
      </w:pPr>
      <w:r>
        <w:rPr>
          <w:rFonts w:hint="eastAsia"/>
          <w:color w:val="auto"/>
          <w:highlight w:val="none"/>
        </w:rPr>
        <w:t>有诸多不同的模型、框架及理念，为社区参与工作提供详细指导。如国际公众参与协会（IAP2）提出的“公众参与频谱”模型。</w:t>
      </w:r>
    </w:p>
    <w:p w14:paraId="1C16A139">
      <w:pPr>
        <w:pStyle w:val="68"/>
        <w:spacing w:before="156" w:after="156"/>
        <w:rPr>
          <w:bCs/>
          <w:color w:val="auto"/>
          <w:highlight w:val="none"/>
        </w:rPr>
      </w:pPr>
      <w:bookmarkStart w:id="92" w:name="_Toc2472"/>
      <w:bookmarkEnd w:id="92"/>
      <w:bookmarkStart w:id="93" w:name="_Toc9810"/>
      <w:r>
        <w:rPr>
          <w:color w:val="auto"/>
          <w:highlight w:val="none"/>
        </w:rPr>
        <w:t>利益相关方的识别、梳理和分析</w:t>
      </w:r>
      <w:bookmarkEnd w:id="93"/>
    </w:p>
    <w:p w14:paraId="3BE87ACB">
      <w:pPr>
        <w:pStyle w:val="167"/>
        <w:bidi w:val="0"/>
        <w:rPr>
          <w:color w:val="auto"/>
          <w:highlight w:val="none"/>
        </w:rPr>
      </w:pPr>
      <w:r>
        <w:rPr>
          <w:rFonts w:hint="eastAsia"/>
          <w:color w:val="auto"/>
          <w:highlight w:val="none"/>
          <w:lang w:val="en-US" w:eastAsia="zh-CN"/>
        </w:rPr>
        <w:t>各</w:t>
      </w:r>
      <w:r>
        <w:rPr>
          <w:color w:val="auto"/>
          <w:highlight w:val="none"/>
        </w:rPr>
        <w:t>利益相关方</w:t>
      </w:r>
      <w:r>
        <w:rPr>
          <w:rFonts w:hint="eastAsia"/>
          <w:color w:val="auto"/>
          <w:highlight w:val="none"/>
        </w:rPr>
        <w:t>对城市韧性具有关切并负有责任</w:t>
      </w:r>
      <w:r>
        <w:rPr>
          <w:color w:val="auto"/>
          <w:highlight w:val="none"/>
        </w:rPr>
        <w:t>。在制定参与计划时，城市韧性</w:t>
      </w:r>
      <w:r>
        <w:rPr>
          <w:rFonts w:hint="eastAsia"/>
          <w:color w:val="auto"/>
          <w:highlight w:val="none"/>
          <w:lang w:val="en-US" w:eastAsia="zh-CN"/>
        </w:rPr>
        <w:t>建设领导小组</w:t>
      </w:r>
      <w:r>
        <w:rPr>
          <w:color w:val="auto"/>
          <w:highlight w:val="none"/>
        </w:rPr>
        <w:t>需识别、梳理并分析社区各领域中的潜在利益相关方，以及</w:t>
      </w:r>
      <w:r>
        <w:rPr>
          <w:rFonts w:hint="eastAsia"/>
          <w:color w:val="auto"/>
          <w:highlight w:val="none"/>
        </w:rPr>
        <w:t>能</w:t>
      </w:r>
      <w:r>
        <w:rPr>
          <w:color w:val="auto"/>
          <w:highlight w:val="none"/>
        </w:rPr>
        <w:t>反映当地情况的</w:t>
      </w:r>
      <w:r>
        <w:rPr>
          <w:rFonts w:hint="eastAsia"/>
          <w:color w:val="auto"/>
          <w:highlight w:val="none"/>
        </w:rPr>
        <w:t>利益</w:t>
      </w:r>
      <w:r>
        <w:rPr>
          <w:color w:val="auto"/>
          <w:highlight w:val="none"/>
        </w:rPr>
        <w:t>主题。</w:t>
      </w:r>
    </w:p>
    <w:p w14:paraId="3A41B84F">
      <w:pPr>
        <w:pStyle w:val="167"/>
        <w:bidi w:val="0"/>
        <w:rPr>
          <w:color w:val="auto"/>
          <w:highlight w:val="none"/>
        </w:rPr>
      </w:pPr>
      <w:r>
        <w:rPr>
          <w:color w:val="auto"/>
          <w:highlight w:val="none"/>
        </w:rPr>
        <w:t>城市韧性</w:t>
      </w:r>
      <w:r>
        <w:rPr>
          <w:rFonts w:hint="eastAsia"/>
          <w:color w:val="auto"/>
          <w:highlight w:val="none"/>
          <w:lang w:val="en-US" w:eastAsia="zh-CN"/>
        </w:rPr>
        <w:t>建设领导小组</w:t>
      </w:r>
      <w:r>
        <w:rPr>
          <w:rFonts w:hint="eastAsia"/>
          <w:color w:val="auto"/>
          <w:highlight w:val="none"/>
          <w:lang w:eastAsia="zh-CN"/>
        </w:rPr>
        <w:t>宜</w:t>
      </w:r>
      <w:r>
        <w:rPr>
          <w:color w:val="auto"/>
          <w:highlight w:val="none"/>
        </w:rPr>
        <w:t>从以下方面考量利益相关方的相关性：</w:t>
      </w:r>
    </w:p>
    <w:p w14:paraId="3718E9C1">
      <w:pPr>
        <w:pStyle w:val="177"/>
        <w:numPr>
          <w:ilvl w:val="0"/>
          <w:numId w:val="45"/>
        </w:numPr>
        <w:bidi w:val="0"/>
        <w:ind w:left="851" w:leftChars="0" w:hanging="426" w:firstLineChars="0"/>
        <w:rPr>
          <w:color w:val="auto"/>
          <w:highlight w:val="none"/>
        </w:rPr>
      </w:pPr>
      <w:r>
        <w:rPr>
          <w:rFonts w:hint="eastAsia"/>
          <w:color w:val="auto"/>
          <w:highlight w:val="none"/>
          <w:lang w:val="en-US" w:eastAsia="zh-CN"/>
        </w:rPr>
        <w:t>影响力</w:t>
      </w:r>
      <w:r>
        <w:rPr>
          <w:rFonts w:hint="eastAsia"/>
          <w:color w:val="auto"/>
          <w:highlight w:val="none"/>
          <w:lang w:eastAsia="zh-CN"/>
        </w:rPr>
        <w:t>：</w:t>
      </w:r>
      <w:r>
        <w:rPr>
          <w:color w:val="auto"/>
          <w:highlight w:val="none"/>
        </w:rPr>
        <w:t>政治、法律</w:t>
      </w:r>
      <w:r>
        <w:rPr>
          <w:rFonts w:hint="eastAsia"/>
          <w:color w:val="auto"/>
          <w:highlight w:val="none"/>
          <w:lang w:val="en-US" w:eastAsia="zh-CN"/>
        </w:rPr>
        <w:t>权限</w:t>
      </w:r>
      <w:r>
        <w:rPr>
          <w:color w:val="auto"/>
          <w:highlight w:val="none"/>
        </w:rPr>
        <w:t>、社会资本；</w:t>
      </w:r>
    </w:p>
    <w:p w14:paraId="52003137">
      <w:pPr>
        <w:pStyle w:val="177"/>
        <w:numPr>
          <w:ilvl w:val="0"/>
          <w:numId w:val="45"/>
        </w:numPr>
        <w:bidi w:val="0"/>
        <w:ind w:left="851" w:leftChars="0" w:hanging="426" w:firstLineChars="0"/>
        <w:rPr>
          <w:color w:val="auto"/>
          <w:highlight w:val="none"/>
        </w:rPr>
      </w:pPr>
      <w:r>
        <w:rPr>
          <w:color w:val="auto"/>
          <w:highlight w:val="none"/>
        </w:rPr>
        <w:t>能力</w:t>
      </w:r>
      <w:r>
        <w:rPr>
          <w:rFonts w:hint="eastAsia"/>
          <w:color w:val="auto"/>
          <w:highlight w:val="none"/>
          <w:lang w:eastAsia="zh-CN"/>
        </w:rPr>
        <w:t>：</w:t>
      </w:r>
      <w:r>
        <w:rPr>
          <w:color w:val="auto"/>
          <w:highlight w:val="none"/>
        </w:rPr>
        <w:t>知识、专业技能水平；</w:t>
      </w:r>
    </w:p>
    <w:p w14:paraId="00E94FA8">
      <w:pPr>
        <w:pStyle w:val="177"/>
        <w:numPr>
          <w:ilvl w:val="0"/>
          <w:numId w:val="45"/>
        </w:numPr>
        <w:bidi w:val="0"/>
        <w:ind w:left="851" w:leftChars="0" w:hanging="426" w:firstLineChars="0"/>
        <w:rPr>
          <w:color w:val="auto"/>
          <w:highlight w:val="none"/>
        </w:rPr>
      </w:pPr>
      <w:r>
        <w:rPr>
          <w:color w:val="auto"/>
          <w:highlight w:val="none"/>
        </w:rPr>
        <w:t>利益</w:t>
      </w:r>
      <w:r>
        <w:rPr>
          <w:rFonts w:hint="eastAsia"/>
          <w:color w:val="auto"/>
          <w:highlight w:val="none"/>
          <w:lang w:eastAsia="zh-CN"/>
        </w:rPr>
        <w:t>：</w:t>
      </w:r>
      <w:r>
        <w:rPr>
          <w:rFonts w:hint="eastAsia"/>
          <w:color w:val="auto"/>
          <w:highlight w:val="none"/>
        </w:rPr>
        <w:t>某项干预措施的成败对特定利益相关方的影响程度</w:t>
      </w:r>
      <w:r>
        <w:rPr>
          <w:color w:val="auto"/>
          <w:highlight w:val="none"/>
        </w:rPr>
        <w:t>。</w:t>
      </w:r>
    </w:p>
    <w:p w14:paraId="1B05325D">
      <w:pPr>
        <w:pStyle w:val="167"/>
        <w:bidi w:val="0"/>
        <w:rPr>
          <w:color w:val="auto"/>
          <w:highlight w:val="none"/>
        </w:rPr>
      </w:pPr>
      <w:r>
        <w:rPr>
          <w:color w:val="auto"/>
          <w:highlight w:val="none"/>
        </w:rPr>
        <w:t>利益相关方</w:t>
      </w:r>
      <w:r>
        <w:rPr>
          <w:rFonts w:hint="eastAsia"/>
          <w:color w:val="auto"/>
          <w:highlight w:val="none"/>
          <w:lang w:val="en-US" w:eastAsia="zh-CN"/>
        </w:rPr>
        <w:t>清单</w:t>
      </w:r>
      <w:r>
        <w:rPr>
          <w:rFonts w:hint="eastAsia"/>
          <w:color w:val="auto"/>
          <w:highlight w:val="none"/>
          <w:lang w:eastAsia="zh-CN"/>
        </w:rPr>
        <w:t>宜包含</w:t>
      </w:r>
      <w:r>
        <w:rPr>
          <w:color w:val="auto"/>
          <w:highlight w:val="none"/>
        </w:rPr>
        <w:t>：</w:t>
      </w:r>
    </w:p>
    <w:p w14:paraId="6F61DC2E">
      <w:pPr>
        <w:pStyle w:val="177"/>
        <w:numPr>
          <w:ilvl w:val="0"/>
          <w:numId w:val="46"/>
        </w:numPr>
        <w:bidi w:val="0"/>
        <w:ind w:left="851" w:leftChars="0" w:hanging="426" w:firstLineChars="0"/>
        <w:rPr>
          <w:color w:val="auto"/>
          <w:highlight w:val="none"/>
        </w:rPr>
      </w:pPr>
      <w:r>
        <w:rPr>
          <w:rFonts w:hint="eastAsia"/>
          <w:color w:val="auto"/>
          <w:highlight w:val="none"/>
          <w:lang w:val="en-US" w:eastAsia="zh-CN"/>
        </w:rPr>
        <w:t>公共事业运营机构；</w:t>
      </w:r>
    </w:p>
    <w:p w14:paraId="567B1349">
      <w:pPr>
        <w:pStyle w:val="177"/>
        <w:numPr>
          <w:ilvl w:val="0"/>
          <w:numId w:val="46"/>
        </w:numPr>
        <w:bidi w:val="0"/>
        <w:ind w:left="851" w:leftChars="0" w:hanging="426" w:firstLineChars="0"/>
        <w:rPr>
          <w:color w:val="auto"/>
          <w:highlight w:val="none"/>
        </w:rPr>
      </w:pPr>
      <w:r>
        <w:rPr>
          <w:color w:val="auto"/>
          <w:highlight w:val="none"/>
        </w:rPr>
        <w:t>政府机构（如</w:t>
      </w:r>
      <w:r>
        <w:rPr>
          <w:rFonts w:hint="eastAsia"/>
          <w:color w:val="auto"/>
          <w:highlight w:val="none"/>
          <w:lang w:val="en-US" w:eastAsia="zh-CN"/>
        </w:rPr>
        <w:t>应急管理、城乡建设、</w:t>
      </w:r>
      <w:r>
        <w:rPr>
          <w:color w:val="auto"/>
          <w:highlight w:val="none"/>
        </w:rPr>
        <w:t>卫生</w:t>
      </w:r>
      <w:r>
        <w:rPr>
          <w:rFonts w:hint="eastAsia"/>
          <w:color w:val="auto"/>
          <w:highlight w:val="none"/>
          <w:lang w:val="en-US" w:eastAsia="zh-CN"/>
        </w:rPr>
        <w:t>健康</w:t>
      </w:r>
      <w:r>
        <w:rPr>
          <w:color w:val="auto"/>
          <w:highlight w:val="none"/>
        </w:rPr>
        <w:t>等</w:t>
      </w:r>
      <w:r>
        <w:rPr>
          <w:rFonts w:hint="eastAsia"/>
          <w:color w:val="auto"/>
          <w:highlight w:val="none"/>
          <w:lang w:val="en-US" w:eastAsia="zh-CN"/>
        </w:rPr>
        <w:t>部门</w:t>
      </w:r>
      <w:r>
        <w:rPr>
          <w:color w:val="auto"/>
          <w:highlight w:val="none"/>
        </w:rPr>
        <w:t>）；</w:t>
      </w:r>
    </w:p>
    <w:p w14:paraId="3E41DD9C">
      <w:pPr>
        <w:pStyle w:val="177"/>
        <w:numPr>
          <w:ilvl w:val="0"/>
          <w:numId w:val="46"/>
        </w:numPr>
        <w:bidi w:val="0"/>
        <w:ind w:left="851" w:leftChars="0" w:hanging="426" w:firstLineChars="0"/>
        <w:rPr>
          <w:color w:val="auto"/>
          <w:highlight w:val="none"/>
        </w:rPr>
      </w:pPr>
      <w:r>
        <w:rPr>
          <w:color w:val="auto"/>
          <w:highlight w:val="none"/>
        </w:rPr>
        <w:t>金融和其他商业部门；</w:t>
      </w:r>
    </w:p>
    <w:p w14:paraId="6049F2A6">
      <w:pPr>
        <w:pStyle w:val="177"/>
        <w:numPr>
          <w:ilvl w:val="0"/>
          <w:numId w:val="46"/>
        </w:numPr>
        <w:bidi w:val="0"/>
        <w:ind w:left="851" w:leftChars="0" w:hanging="426" w:firstLineChars="0"/>
        <w:rPr>
          <w:color w:val="auto"/>
          <w:highlight w:val="none"/>
        </w:rPr>
      </w:pPr>
      <w:r>
        <w:rPr>
          <w:rFonts w:hint="eastAsia"/>
          <w:color w:val="auto"/>
          <w:highlight w:val="none"/>
          <w:lang w:val="en-US" w:eastAsia="zh-CN"/>
        </w:rPr>
        <w:t>公益</w:t>
      </w:r>
      <w:r>
        <w:rPr>
          <w:rFonts w:hint="eastAsia"/>
          <w:color w:val="auto"/>
          <w:highlight w:val="none"/>
        </w:rPr>
        <w:t>组织</w:t>
      </w:r>
      <w:r>
        <w:rPr>
          <w:rFonts w:hint="eastAsia"/>
          <w:color w:val="auto"/>
          <w:highlight w:val="none"/>
          <w:lang w:val="en-US" w:eastAsia="zh-CN"/>
        </w:rPr>
        <w:t>及志愿者</w:t>
      </w:r>
      <w:r>
        <w:rPr>
          <w:color w:val="auto"/>
          <w:highlight w:val="none"/>
        </w:rPr>
        <w:t>；</w:t>
      </w:r>
    </w:p>
    <w:p w14:paraId="5A0A000A">
      <w:pPr>
        <w:pStyle w:val="177"/>
        <w:numPr>
          <w:ilvl w:val="0"/>
          <w:numId w:val="46"/>
        </w:numPr>
        <w:bidi w:val="0"/>
        <w:ind w:left="851" w:leftChars="0" w:hanging="426" w:firstLineChars="0"/>
        <w:rPr>
          <w:color w:val="auto"/>
          <w:highlight w:val="none"/>
        </w:rPr>
      </w:pPr>
      <w:r>
        <w:rPr>
          <w:color w:val="auto"/>
          <w:highlight w:val="none"/>
        </w:rPr>
        <w:t>社区组织；</w:t>
      </w:r>
    </w:p>
    <w:p w14:paraId="7CFB9FF2">
      <w:pPr>
        <w:pStyle w:val="177"/>
        <w:numPr>
          <w:ilvl w:val="0"/>
          <w:numId w:val="46"/>
        </w:numPr>
        <w:bidi w:val="0"/>
        <w:ind w:left="851" w:leftChars="0" w:hanging="426" w:firstLineChars="0"/>
        <w:rPr>
          <w:color w:val="auto"/>
          <w:highlight w:val="none"/>
        </w:rPr>
      </w:pPr>
      <w:r>
        <w:rPr>
          <w:rFonts w:hint="eastAsia"/>
          <w:color w:val="auto"/>
          <w:highlight w:val="none"/>
        </w:rPr>
        <w:t>居民</w:t>
      </w:r>
      <w:r>
        <w:rPr>
          <w:color w:val="auto"/>
          <w:highlight w:val="none"/>
        </w:rPr>
        <w:t>社区；</w:t>
      </w:r>
    </w:p>
    <w:p w14:paraId="488509E2">
      <w:pPr>
        <w:pStyle w:val="177"/>
        <w:numPr>
          <w:ilvl w:val="0"/>
          <w:numId w:val="46"/>
        </w:numPr>
        <w:bidi w:val="0"/>
        <w:ind w:left="851" w:leftChars="0" w:hanging="426" w:firstLineChars="0"/>
        <w:rPr>
          <w:color w:val="auto"/>
          <w:highlight w:val="none"/>
        </w:rPr>
      </w:pPr>
      <w:r>
        <w:rPr>
          <w:color w:val="auto"/>
          <w:highlight w:val="none"/>
        </w:rPr>
        <w:t>弱势群体、相关协会及</w:t>
      </w:r>
      <w:r>
        <w:rPr>
          <w:rFonts w:hint="eastAsia"/>
          <w:color w:val="auto"/>
          <w:highlight w:val="none"/>
          <w:lang w:val="en-US" w:eastAsia="zh-CN"/>
        </w:rPr>
        <w:t>议事平台</w:t>
      </w:r>
      <w:r>
        <w:rPr>
          <w:color w:val="auto"/>
          <w:highlight w:val="none"/>
        </w:rPr>
        <w:t>；</w:t>
      </w:r>
    </w:p>
    <w:p w14:paraId="5B14BFB9">
      <w:pPr>
        <w:pStyle w:val="177"/>
        <w:numPr>
          <w:ilvl w:val="0"/>
          <w:numId w:val="46"/>
        </w:numPr>
        <w:bidi w:val="0"/>
        <w:ind w:left="851" w:leftChars="0" w:hanging="426" w:firstLineChars="0"/>
        <w:rPr>
          <w:color w:val="auto"/>
          <w:highlight w:val="none"/>
        </w:rPr>
      </w:pPr>
      <w:r>
        <w:rPr>
          <w:color w:val="auto"/>
          <w:highlight w:val="none"/>
        </w:rPr>
        <w:t>学术界；</w:t>
      </w:r>
    </w:p>
    <w:p w14:paraId="60A25B81">
      <w:pPr>
        <w:pStyle w:val="177"/>
        <w:numPr>
          <w:ilvl w:val="0"/>
          <w:numId w:val="46"/>
        </w:numPr>
        <w:bidi w:val="0"/>
        <w:ind w:left="851" w:leftChars="0" w:hanging="426" w:firstLineChars="0"/>
        <w:rPr>
          <w:color w:val="auto"/>
          <w:highlight w:val="none"/>
        </w:rPr>
      </w:pPr>
      <w:r>
        <w:rPr>
          <w:color w:val="auto"/>
          <w:highlight w:val="none"/>
        </w:rPr>
        <w:t>拥有相关领域专家的组织。</w:t>
      </w:r>
    </w:p>
    <w:p w14:paraId="78041A12">
      <w:pPr>
        <w:pStyle w:val="182"/>
        <w:rPr>
          <w:color w:val="auto"/>
          <w:highlight w:val="none"/>
        </w:rPr>
      </w:pPr>
      <w:r>
        <w:rPr>
          <w:rFonts w:hint="eastAsia"/>
          <w:color w:val="auto"/>
          <w:highlight w:val="none"/>
          <w:lang w:eastAsia="zh-CN"/>
        </w:rPr>
        <w:t>城市内</w:t>
      </w:r>
      <w:r>
        <w:rPr>
          <w:color w:val="auto"/>
          <w:highlight w:val="none"/>
        </w:rPr>
        <w:t>存在许多难以察觉和描述的非正式系统，但它们确实会对城市韧性产生影响。识别、梳理并分析不同机构决策者与具有共同特征</w:t>
      </w:r>
      <w:r>
        <w:rPr>
          <w:rFonts w:hint="eastAsia"/>
          <w:color w:val="auto"/>
          <w:highlight w:val="none"/>
        </w:rPr>
        <w:t>群体</w:t>
      </w:r>
      <w:r>
        <w:rPr>
          <w:color w:val="auto"/>
          <w:highlight w:val="none"/>
        </w:rPr>
        <w:t>之间的关系，有助于厘清这些关</w:t>
      </w:r>
      <w:r>
        <w:rPr>
          <w:rFonts w:hint="eastAsia"/>
          <w:color w:val="auto"/>
          <w:highlight w:val="none"/>
        </w:rPr>
        <w:t>系</w:t>
      </w:r>
      <w:r>
        <w:rPr>
          <w:color w:val="auto"/>
          <w:highlight w:val="none"/>
        </w:rPr>
        <w:t>，为制定城市韧性战略提供支撑。</w:t>
      </w:r>
    </w:p>
    <w:p w14:paraId="497F5CDA">
      <w:pPr>
        <w:pStyle w:val="167"/>
        <w:bidi w:val="0"/>
        <w:rPr>
          <w:color w:val="auto"/>
          <w:highlight w:val="none"/>
        </w:rPr>
      </w:pPr>
      <w:r>
        <w:rPr>
          <w:rFonts w:hint="eastAsia"/>
          <w:color w:val="auto"/>
          <w:highlight w:val="none"/>
        </w:rPr>
        <w:t>对符合下列情形的个人和组织进行分类</w:t>
      </w:r>
      <w:r>
        <w:rPr>
          <w:color w:val="auto"/>
          <w:highlight w:val="none"/>
        </w:rPr>
        <w:t>：</w:t>
      </w:r>
    </w:p>
    <w:p w14:paraId="290D0CC9">
      <w:pPr>
        <w:pStyle w:val="177"/>
        <w:numPr>
          <w:ilvl w:val="0"/>
          <w:numId w:val="47"/>
        </w:numPr>
        <w:bidi w:val="0"/>
        <w:ind w:left="851" w:leftChars="0" w:hanging="426" w:firstLineChars="0"/>
        <w:rPr>
          <w:color w:val="auto"/>
          <w:highlight w:val="none"/>
        </w:rPr>
      </w:pPr>
      <w:r>
        <w:rPr>
          <w:color w:val="auto"/>
          <w:highlight w:val="none"/>
        </w:rPr>
        <w:t>受所制定的</w:t>
      </w:r>
      <w:r>
        <w:rPr>
          <w:rFonts w:hint="eastAsia"/>
          <w:color w:val="auto"/>
          <w:highlight w:val="none"/>
          <w:lang w:eastAsia="zh-CN"/>
        </w:rPr>
        <w:t>城市韧性举措</w:t>
      </w:r>
      <w:r>
        <w:rPr>
          <w:color w:val="auto"/>
          <w:highlight w:val="none"/>
        </w:rPr>
        <w:t>影响最大，或能获得其他群体支持的</w:t>
      </w:r>
      <w:r>
        <w:rPr>
          <w:rFonts w:hint="eastAsia"/>
          <w:color w:val="auto"/>
          <w:highlight w:val="none"/>
        </w:rPr>
        <w:t>个人和组织</w:t>
      </w:r>
      <w:r>
        <w:rPr>
          <w:color w:val="auto"/>
          <w:highlight w:val="none"/>
        </w:rPr>
        <w:t>；</w:t>
      </w:r>
    </w:p>
    <w:p w14:paraId="6A23A22D">
      <w:pPr>
        <w:pStyle w:val="177"/>
        <w:numPr>
          <w:ilvl w:val="0"/>
          <w:numId w:val="47"/>
        </w:numPr>
        <w:bidi w:val="0"/>
        <w:ind w:left="851" w:leftChars="0" w:hanging="426" w:firstLineChars="0"/>
        <w:rPr>
          <w:color w:val="auto"/>
          <w:highlight w:val="none"/>
        </w:rPr>
      </w:pPr>
      <w:r>
        <w:rPr>
          <w:color w:val="auto"/>
          <w:highlight w:val="none"/>
        </w:rPr>
        <w:t>在社区、城市</w:t>
      </w:r>
      <w:r>
        <w:rPr>
          <w:rFonts w:hint="eastAsia"/>
          <w:color w:val="auto"/>
          <w:highlight w:val="none"/>
          <w:lang w:val="en-US" w:eastAsia="zh-CN"/>
        </w:rPr>
        <w:t>和</w:t>
      </w:r>
      <w:r>
        <w:rPr>
          <w:color w:val="auto"/>
          <w:highlight w:val="none"/>
        </w:rPr>
        <w:t>/或政策层面制定</w:t>
      </w:r>
      <w:r>
        <w:rPr>
          <w:rFonts w:hint="eastAsia"/>
          <w:color w:val="auto"/>
          <w:highlight w:val="none"/>
          <w:lang w:eastAsia="zh-CN"/>
        </w:rPr>
        <w:t>城市韧性举措</w:t>
      </w:r>
      <w:r>
        <w:rPr>
          <w:color w:val="auto"/>
          <w:highlight w:val="none"/>
        </w:rPr>
        <w:t>的</w:t>
      </w:r>
      <w:r>
        <w:rPr>
          <w:rFonts w:hint="eastAsia"/>
          <w:color w:val="auto"/>
          <w:highlight w:val="none"/>
        </w:rPr>
        <w:t>个人和组织</w:t>
      </w:r>
      <w:r>
        <w:rPr>
          <w:color w:val="auto"/>
          <w:highlight w:val="none"/>
        </w:rPr>
        <w:t>；</w:t>
      </w:r>
    </w:p>
    <w:p w14:paraId="15902336">
      <w:pPr>
        <w:pStyle w:val="177"/>
        <w:numPr>
          <w:ilvl w:val="0"/>
          <w:numId w:val="47"/>
        </w:numPr>
        <w:bidi w:val="0"/>
        <w:ind w:left="851" w:leftChars="0" w:hanging="426" w:firstLineChars="0"/>
        <w:rPr>
          <w:color w:val="auto"/>
          <w:highlight w:val="none"/>
        </w:rPr>
      </w:pPr>
      <w:r>
        <w:rPr>
          <w:color w:val="auto"/>
          <w:highlight w:val="none"/>
        </w:rPr>
        <w:t>在不同</w:t>
      </w:r>
      <w:r>
        <w:rPr>
          <w:rFonts w:hint="eastAsia"/>
          <w:color w:val="auto"/>
          <w:highlight w:val="none"/>
          <w:lang w:val="en-US" w:eastAsia="zh-CN"/>
        </w:rPr>
        <w:t>层级</w:t>
      </w:r>
      <w:r>
        <w:rPr>
          <w:color w:val="auto"/>
          <w:highlight w:val="none"/>
        </w:rPr>
        <w:t>（如</w:t>
      </w:r>
      <w:r>
        <w:rPr>
          <w:rFonts w:hint="eastAsia"/>
          <w:color w:val="auto"/>
          <w:highlight w:val="none"/>
          <w:lang w:val="en-US" w:eastAsia="zh-CN"/>
        </w:rPr>
        <w:t>街道/乡镇、社区/村</w:t>
      </w:r>
      <w:r>
        <w:rPr>
          <w:color w:val="auto"/>
          <w:highlight w:val="none"/>
        </w:rPr>
        <w:t>）为</w:t>
      </w:r>
      <w:r>
        <w:rPr>
          <w:rFonts w:hint="eastAsia"/>
          <w:color w:val="auto"/>
          <w:highlight w:val="none"/>
          <w:lang w:eastAsia="zh-CN"/>
        </w:rPr>
        <w:t>城市韧性举措</w:t>
      </w:r>
      <w:r>
        <w:rPr>
          <w:color w:val="auto"/>
          <w:highlight w:val="none"/>
        </w:rPr>
        <w:t>提供支持的</w:t>
      </w:r>
      <w:r>
        <w:rPr>
          <w:rFonts w:hint="eastAsia"/>
          <w:color w:val="auto"/>
          <w:highlight w:val="none"/>
        </w:rPr>
        <w:t>个人和组织</w:t>
      </w:r>
      <w:r>
        <w:rPr>
          <w:color w:val="auto"/>
          <w:highlight w:val="none"/>
        </w:rPr>
        <w:t>；</w:t>
      </w:r>
    </w:p>
    <w:p w14:paraId="0FB481FF">
      <w:pPr>
        <w:pStyle w:val="177"/>
        <w:numPr>
          <w:ilvl w:val="0"/>
          <w:numId w:val="47"/>
        </w:numPr>
        <w:bidi w:val="0"/>
        <w:ind w:left="851" w:leftChars="0" w:hanging="426" w:firstLineChars="0"/>
        <w:rPr>
          <w:color w:val="auto"/>
          <w:highlight w:val="none"/>
        </w:rPr>
      </w:pPr>
      <w:r>
        <w:rPr>
          <w:color w:val="auto"/>
          <w:highlight w:val="none"/>
        </w:rPr>
        <w:t>能提供有用信息与战略建议，或作为城市韧性</w:t>
      </w:r>
      <w:r>
        <w:rPr>
          <w:rFonts w:hint="eastAsia"/>
          <w:color w:val="auto"/>
          <w:highlight w:val="none"/>
          <w:lang w:val="en-US" w:eastAsia="zh-CN"/>
        </w:rPr>
        <w:t>建设</w:t>
      </w:r>
      <w:r>
        <w:rPr>
          <w:color w:val="auto"/>
          <w:highlight w:val="none"/>
        </w:rPr>
        <w:t>倡导者的</w:t>
      </w:r>
      <w:r>
        <w:rPr>
          <w:rFonts w:hint="eastAsia"/>
          <w:color w:val="auto"/>
          <w:highlight w:val="none"/>
        </w:rPr>
        <w:t>个人和组织</w:t>
      </w:r>
      <w:r>
        <w:rPr>
          <w:color w:val="auto"/>
          <w:highlight w:val="none"/>
        </w:rPr>
        <w:t>；</w:t>
      </w:r>
    </w:p>
    <w:p w14:paraId="38BCDE8D">
      <w:pPr>
        <w:pStyle w:val="177"/>
        <w:numPr>
          <w:ilvl w:val="0"/>
          <w:numId w:val="47"/>
        </w:numPr>
        <w:bidi w:val="0"/>
        <w:ind w:left="851" w:leftChars="0" w:hanging="426" w:firstLineChars="0"/>
        <w:rPr>
          <w:color w:val="auto"/>
          <w:highlight w:val="none"/>
        </w:rPr>
      </w:pPr>
      <w:r>
        <w:rPr>
          <w:color w:val="auto"/>
          <w:highlight w:val="none"/>
        </w:rPr>
        <w:t>可成为城市韧性战略实施潜在合作伙伴的</w:t>
      </w:r>
      <w:r>
        <w:rPr>
          <w:rFonts w:hint="eastAsia"/>
          <w:color w:val="auto"/>
          <w:highlight w:val="none"/>
        </w:rPr>
        <w:t>个人和组织</w:t>
      </w:r>
      <w:r>
        <w:rPr>
          <w:color w:val="auto"/>
          <w:highlight w:val="none"/>
        </w:rPr>
        <w:t>（见9.3.5）。</w:t>
      </w:r>
    </w:p>
    <w:p w14:paraId="04D5F6E3">
      <w:pPr>
        <w:pStyle w:val="167"/>
        <w:bidi w:val="0"/>
        <w:rPr>
          <w:color w:val="auto"/>
          <w:highlight w:val="none"/>
        </w:rPr>
      </w:pPr>
      <w:r>
        <w:rPr>
          <w:color w:val="auto"/>
          <w:highlight w:val="none"/>
        </w:rPr>
        <w:t>随着战略制定与实施的推进，应根据需要对最终的利益相关方清单进行修订。</w:t>
      </w:r>
    </w:p>
    <w:p w14:paraId="4FA71870">
      <w:pPr>
        <w:pStyle w:val="68"/>
        <w:spacing w:before="156" w:after="156"/>
        <w:rPr>
          <w:bCs/>
          <w:color w:val="auto"/>
          <w:highlight w:val="none"/>
        </w:rPr>
      </w:pPr>
      <w:bookmarkStart w:id="94" w:name="_Toc25746"/>
      <w:bookmarkEnd w:id="94"/>
      <w:bookmarkStart w:id="95" w:name="_Toc5007"/>
      <w:r>
        <w:rPr>
          <w:color w:val="auto"/>
          <w:highlight w:val="none"/>
        </w:rPr>
        <w:t>沟通与推广</w:t>
      </w:r>
      <w:bookmarkEnd w:id="95"/>
    </w:p>
    <w:p w14:paraId="672A9AC7">
      <w:pPr>
        <w:pStyle w:val="59"/>
        <w:ind w:firstLine="420"/>
        <w:rPr>
          <w:color w:val="auto"/>
          <w:highlight w:val="none"/>
        </w:rPr>
      </w:pPr>
      <w:r>
        <w:rPr>
          <w:color w:val="auto"/>
          <w:highlight w:val="none"/>
        </w:rPr>
        <w:t>城市韧性</w:t>
      </w:r>
      <w:r>
        <w:rPr>
          <w:rFonts w:hint="eastAsia"/>
          <w:color w:val="auto"/>
          <w:highlight w:val="none"/>
          <w:lang w:val="en-US" w:eastAsia="zh-CN"/>
        </w:rPr>
        <w:t>建设领导小组</w:t>
      </w:r>
      <w:r>
        <w:rPr>
          <w:rFonts w:hint="eastAsia"/>
          <w:color w:val="auto"/>
          <w:highlight w:val="none"/>
          <w:lang w:eastAsia="zh-CN"/>
        </w:rPr>
        <w:t>宜</w:t>
      </w:r>
      <w:r>
        <w:rPr>
          <w:color w:val="auto"/>
          <w:highlight w:val="none"/>
        </w:rPr>
        <w:t>通过有效的沟通与推广工作，</w:t>
      </w:r>
      <w:r>
        <w:rPr>
          <w:rFonts w:hint="eastAsia"/>
          <w:color w:val="auto"/>
          <w:highlight w:val="none"/>
        </w:rPr>
        <w:t>吸纳构建城市韧性所需的相关利益相关方参与</w:t>
      </w:r>
      <w:r>
        <w:rPr>
          <w:color w:val="auto"/>
          <w:highlight w:val="none"/>
        </w:rPr>
        <w:t>，具体</w:t>
      </w:r>
      <w:r>
        <w:rPr>
          <w:rFonts w:hint="eastAsia"/>
          <w:color w:val="auto"/>
          <w:highlight w:val="none"/>
          <w:lang w:val="en-US" w:eastAsia="zh-CN"/>
        </w:rPr>
        <w:t>包括</w:t>
      </w:r>
      <w:r>
        <w:rPr>
          <w:color w:val="auto"/>
          <w:highlight w:val="none"/>
        </w:rPr>
        <w:t>：</w:t>
      </w:r>
    </w:p>
    <w:p w14:paraId="562221F5">
      <w:pPr>
        <w:pStyle w:val="177"/>
        <w:numPr>
          <w:ilvl w:val="0"/>
          <w:numId w:val="48"/>
        </w:numPr>
        <w:bidi w:val="0"/>
        <w:ind w:left="851" w:leftChars="0" w:hanging="426" w:firstLineChars="0"/>
        <w:rPr>
          <w:color w:val="auto"/>
          <w:highlight w:val="none"/>
        </w:rPr>
      </w:pPr>
      <w:r>
        <w:rPr>
          <w:rFonts w:hint="eastAsia"/>
          <w:color w:val="auto"/>
          <w:highlight w:val="none"/>
          <w:lang w:eastAsia="zh-CN"/>
        </w:rPr>
        <w:t>识别部分</w:t>
      </w:r>
      <w:r>
        <w:rPr>
          <w:rFonts w:hint="eastAsia"/>
          <w:color w:val="auto"/>
          <w:highlight w:val="none"/>
        </w:rPr>
        <w:t>个人和组织</w:t>
      </w:r>
      <w:r>
        <w:rPr>
          <w:rFonts w:hint="eastAsia"/>
          <w:color w:val="auto"/>
          <w:highlight w:val="none"/>
          <w:lang w:eastAsia="zh-CN"/>
        </w:rPr>
        <w:t>对</w:t>
      </w:r>
      <w:r>
        <w:rPr>
          <w:rFonts w:hint="eastAsia"/>
          <w:color w:val="auto"/>
          <w:highlight w:val="none"/>
        </w:rPr>
        <w:t>城市韧性新概念</w:t>
      </w:r>
      <w:r>
        <w:rPr>
          <w:rFonts w:hint="eastAsia"/>
          <w:color w:val="auto"/>
          <w:highlight w:val="none"/>
          <w:lang w:eastAsia="zh-CN"/>
        </w:rPr>
        <w:t>认识差异</w:t>
      </w:r>
      <w:r>
        <w:rPr>
          <w:rFonts w:hint="eastAsia"/>
          <w:color w:val="auto"/>
          <w:highlight w:val="none"/>
          <w:lang w:val="en-US" w:eastAsia="zh-CN"/>
        </w:rPr>
        <w:t>；</w:t>
      </w:r>
    </w:p>
    <w:p w14:paraId="139CE064">
      <w:pPr>
        <w:pStyle w:val="177"/>
        <w:numPr>
          <w:ilvl w:val="0"/>
          <w:numId w:val="48"/>
        </w:numPr>
        <w:bidi w:val="0"/>
        <w:ind w:left="851" w:leftChars="0" w:hanging="426" w:firstLineChars="0"/>
        <w:rPr>
          <w:color w:val="auto"/>
          <w:highlight w:val="none"/>
        </w:rPr>
      </w:pPr>
      <w:r>
        <w:rPr>
          <w:color w:val="auto"/>
          <w:highlight w:val="none"/>
        </w:rPr>
        <w:t>提升各方对</w:t>
      </w:r>
      <w:r>
        <w:rPr>
          <w:rFonts w:hint="eastAsia"/>
          <w:color w:val="auto"/>
          <w:highlight w:val="none"/>
        </w:rPr>
        <w:t>“为何要</w:t>
      </w:r>
      <w:r>
        <w:rPr>
          <w:rFonts w:hint="eastAsia"/>
          <w:color w:val="auto"/>
          <w:highlight w:val="none"/>
          <w:lang w:val="en-US" w:eastAsia="zh-CN"/>
        </w:rPr>
        <w:t>开展</w:t>
      </w:r>
      <w:r>
        <w:rPr>
          <w:rFonts w:hint="eastAsia"/>
          <w:color w:val="auto"/>
          <w:highlight w:val="none"/>
        </w:rPr>
        <w:t>城市韧性</w:t>
      </w:r>
      <w:r>
        <w:rPr>
          <w:rFonts w:hint="eastAsia"/>
          <w:color w:val="auto"/>
          <w:highlight w:val="none"/>
          <w:lang w:val="en-US" w:eastAsia="zh-CN"/>
        </w:rPr>
        <w:t>建设</w:t>
      </w:r>
      <w:r>
        <w:rPr>
          <w:rFonts w:hint="eastAsia"/>
          <w:color w:val="auto"/>
          <w:highlight w:val="none"/>
        </w:rPr>
        <w:t>”的理解</w:t>
      </w:r>
      <w:r>
        <w:rPr>
          <w:color w:val="auto"/>
          <w:highlight w:val="none"/>
        </w:rPr>
        <w:t>，</w:t>
      </w:r>
      <w:r>
        <w:rPr>
          <w:rFonts w:hint="eastAsia"/>
          <w:color w:val="auto"/>
          <w:highlight w:val="none"/>
        </w:rPr>
        <w:t>阐明</w:t>
      </w:r>
      <w:r>
        <w:rPr>
          <w:color w:val="auto"/>
          <w:highlight w:val="none"/>
        </w:rPr>
        <w:t>城市韧性</w:t>
      </w:r>
      <w:r>
        <w:rPr>
          <w:rFonts w:hint="eastAsia"/>
          <w:color w:val="auto"/>
          <w:highlight w:val="none"/>
          <w:lang w:val="en-US" w:eastAsia="zh-CN"/>
        </w:rPr>
        <w:t>建设领导小组</w:t>
      </w:r>
      <w:r>
        <w:rPr>
          <w:rFonts w:hint="eastAsia"/>
          <w:color w:val="auto"/>
          <w:highlight w:val="none"/>
        </w:rPr>
        <w:t>希望通过此项工作达成的目标</w:t>
      </w:r>
      <w:r>
        <w:rPr>
          <w:color w:val="auto"/>
          <w:highlight w:val="none"/>
        </w:rPr>
        <w:t>；</w:t>
      </w:r>
    </w:p>
    <w:p w14:paraId="6BF264AC">
      <w:pPr>
        <w:pStyle w:val="177"/>
        <w:numPr>
          <w:ilvl w:val="0"/>
          <w:numId w:val="48"/>
        </w:numPr>
        <w:bidi w:val="0"/>
        <w:ind w:left="851" w:leftChars="0" w:hanging="426" w:firstLineChars="0"/>
        <w:rPr>
          <w:color w:val="auto"/>
          <w:highlight w:val="none"/>
        </w:rPr>
      </w:pPr>
      <w:r>
        <w:rPr>
          <w:color w:val="auto"/>
          <w:highlight w:val="none"/>
        </w:rPr>
        <w:t>明确需</w:t>
      </w:r>
      <w:r>
        <w:rPr>
          <w:rFonts w:hint="eastAsia"/>
          <w:color w:val="auto"/>
          <w:highlight w:val="none"/>
        </w:rPr>
        <w:t>开展的外联工作，</w:t>
      </w:r>
      <w:r>
        <w:rPr>
          <w:rFonts w:hint="eastAsia"/>
          <w:color w:val="auto"/>
          <w:highlight w:val="none"/>
          <w:lang w:val="en-US" w:eastAsia="zh-CN"/>
        </w:rPr>
        <w:t>并制定</w:t>
      </w:r>
      <w:r>
        <w:rPr>
          <w:color w:val="auto"/>
          <w:highlight w:val="none"/>
        </w:rPr>
        <w:t>沟通与参与计划；</w:t>
      </w:r>
    </w:p>
    <w:p w14:paraId="49C43CBC">
      <w:pPr>
        <w:pStyle w:val="177"/>
        <w:numPr>
          <w:ilvl w:val="0"/>
          <w:numId w:val="48"/>
        </w:numPr>
        <w:bidi w:val="0"/>
        <w:ind w:left="851" w:leftChars="0" w:hanging="426" w:firstLineChars="0"/>
        <w:rPr>
          <w:color w:val="auto"/>
          <w:highlight w:val="none"/>
        </w:rPr>
      </w:pPr>
      <w:r>
        <w:rPr>
          <w:rFonts w:hint="eastAsia"/>
          <w:color w:val="auto"/>
          <w:highlight w:val="none"/>
          <w:lang w:eastAsia="zh-CN"/>
        </w:rPr>
        <w:t>在初期阶段，将沟通活动的核心聚焦于面向公众以及利益相关方开展“城市韧性”的科普工作，内容涵盖城市韧性以及城市区域面临的冲击、压力、趋势和机遇；</w:t>
      </w:r>
    </w:p>
    <w:p w14:paraId="424D727A">
      <w:pPr>
        <w:pStyle w:val="177"/>
        <w:numPr>
          <w:ilvl w:val="0"/>
          <w:numId w:val="48"/>
        </w:numPr>
        <w:bidi w:val="0"/>
        <w:ind w:left="851" w:leftChars="0" w:hanging="426" w:firstLineChars="0"/>
        <w:rPr>
          <w:color w:val="auto"/>
          <w:highlight w:val="none"/>
        </w:rPr>
      </w:pPr>
      <w:r>
        <w:rPr>
          <w:color w:val="auto"/>
          <w:highlight w:val="none"/>
        </w:rPr>
        <w:t>对沟通活动的成效进行监测与评估；</w:t>
      </w:r>
    </w:p>
    <w:p w14:paraId="392B83E4">
      <w:pPr>
        <w:pStyle w:val="177"/>
        <w:numPr>
          <w:ilvl w:val="0"/>
          <w:numId w:val="48"/>
        </w:numPr>
        <w:bidi w:val="0"/>
        <w:ind w:left="851" w:leftChars="0" w:hanging="426" w:firstLineChars="0"/>
        <w:rPr>
          <w:color w:val="auto"/>
          <w:highlight w:val="none"/>
        </w:rPr>
      </w:pPr>
      <w:bookmarkStart w:id="96" w:name="19"/>
      <w:bookmarkEnd w:id="96"/>
      <w:r>
        <w:rPr>
          <w:color w:val="auto"/>
          <w:highlight w:val="none"/>
        </w:rPr>
        <w:t>在战略制定与实施的全过程中，持续更新该计划。</w:t>
      </w:r>
    </w:p>
    <w:p w14:paraId="1E76214E">
      <w:pPr>
        <w:pStyle w:val="68"/>
        <w:spacing w:before="156" w:after="156"/>
        <w:rPr>
          <w:bCs/>
          <w:color w:val="auto"/>
          <w:highlight w:val="none"/>
        </w:rPr>
      </w:pPr>
      <w:bookmarkStart w:id="97" w:name="_Toc4635"/>
      <w:bookmarkEnd w:id="97"/>
      <w:bookmarkStart w:id="98" w:name="_Toc2532"/>
      <w:r>
        <w:rPr>
          <w:color w:val="auto"/>
          <w:highlight w:val="none"/>
        </w:rPr>
        <w:t>有效</w:t>
      </w:r>
      <w:r>
        <w:rPr>
          <w:rFonts w:hint="eastAsia"/>
          <w:color w:val="auto"/>
          <w:highlight w:val="none"/>
        </w:rPr>
        <w:t>的</w:t>
      </w:r>
      <w:r>
        <w:rPr>
          <w:color w:val="auto"/>
          <w:highlight w:val="none"/>
        </w:rPr>
        <w:t>社区参与策略</w:t>
      </w:r>
      <w:bookmarkEnd w:id="98"/>
    </w:p>
    <w:p w14:paraId="6B990BF9">
      <w:pPr>
        <w:pStyle w:val="167"/>
        <w:bidi w:val="0"/>
        <w:rPr>
          <w:color w:val="auto"/>
          <w:highlight w:val="none"/>
        </w:rPr>
      </w:pPr>
      <w:r>
        <w:rPr>
          <w:color w:val="auto"/>
          <w:highlight w:val="none"/>
        </w:rPr>
        <w:t>城市韧性</w:t>
      </w:r>
      <w:r>
        <w:rPr>
          <w:rFonts w:hint="eastAsia"/>
          <w:color w:val="auto"/>
          <w:highlight w:val="none"/>
          <w:lang w:val="en-US" w:eastAsia="zh-CN"/>
        </w:rPr>
        <w:t>建设领导小组</w:t>
      </w:r>
      <w:r>
        <w:rPr>
          <w:rFonts w:hint="eastAsia"/>
          <w:color w:val="auto"/>
          <w:highlight w:val="none"/>
          <w:lang w:eastAsia="zh-CN"/>
        </w:rPr>
        <w:t>宜</w:t>
      </w:r>
      <w:r>
        <w:rPr>
          <w:color w:val="auto"/>
          <w:highlight w:val="none"/>
        </w:rPr>
        <w:t>营造鼓励利益相关方参与的文化氛围，可通过以下方式实现：</w:t>
      </w:r>
    </w:p>
    <w:p w14:paraId="0A477EF8">
      <w:pPr>
        <w:pStyle w:val="177"/>
        <w:numPr>
          <w:ilvl w:val="0"/>
          <w:numId w:val="49"/>
        </w:numPr>
        <w:bidi w:val="0"/>
        <w:rPr>
          <w:color w:val="auto"/>
          <w:highlight w:val="none"/>
        </w:rPr>
      </w:pPr>
      <w:r>
        <w:rPr>
          <w:color w:val="auto"/>
          <w:highlight w:val="none"/>
        </w:rPr>
        <w:t>在设计参与</w:t>
      </w:r>
      <w:r>
        <w:rPr>
          <w:rFonts w:hint="eastAsia"/>
          <w:color w:val="auto"/>
          <w:highlight w:val="none"/>
          <w:lang w:val="en-US" w:eastAsia="zh-CN"/>
        </w:rPr>
        <w:t>方式</w:t>
      </w:r>
      <w:r>
        <w:rPr>
          <w:color w:val="auto"/>
          <w:highlight w:val="none"/>
        </w:rPr>
        <w:t>前，明确领导层的承诺与工作目标；</w:t>
      </w:r>
    </w:p>
    <w:p w14:paraId="7A33FA6F">
      <w:pPr>
        <w:pStyle w:val="177"/>
        <w:numPr>
          <w:ilvl w:val="0"/>
          <w:numId w:val="49"/>
        </w:numPr>
        <w:bidi w:val="0"/>
        <w:rPr>
          <w:color w:val="auto"/>
          <w:highlight w:val="none"/>
        </w:rPr>
      </w:pPr>
      <w:r>
        <w:rPr>
          <w:rFonts w:hint="eastAsia"/>
          <w:color w:val="auto"/>
          <w:highlight w:val="none"/>
          <w:lang w:val="en-US" w:eastAsia="zh-CN"/>
        </w:rPr>
        <w:t>明确</w:t>
      </w:r>
      <w:r>
        <w:rPr>
          <w:color w:val="auto"/>
          <w:highlight w:val="none"/>
        </w:rPr>
        <w:t>参与</w:t>
      </w:r>
      <w:r>
        <w:rPr>
          <w:rFonts w:hint="eastAsia"/>
          <w:color w:val="auto"/>
          <w:highlight w:val="none"/>
          <w:lang w:val="en-US" w:eastAsia="zh-CN"/>
        </w:rPr>
        <w:t>各方职责</w:t>
      </w:r>
      <w:r>
        <w:rPr>
          <w:color w:val="auto"/>
          <w:highlight w:val="none"/>
        </w:rPr>
        <w:t>，</w:t>
      </w:r>
      <w:r>
        <w:rPr>
          <w:rFonts w:hint="eastAsia"/>
          <w:color w:val="auto"/>
          <w:highlight w:val="none"/>
          <w:lang w:val="en-US" w:eastAsia="zh-CN"/>
        </w:rPr>
        <w:t>以引导、</w:t>
      </w:r>
      <w:r>
        <w:rPr>
          <w:color w:val="auto"/>
          <w:highlight w:val="none"/>
        </w:rPr>
        <w:t>管理利益相关方预期；</w:t>
      </w:r>
    </w:p>
    <w:p w14:paraId="32D3A65D">
      <w:pPr>
        <w:pStyle w:val="177"/>
        <w:numPr>
          <w:ilvl w:val="0"/>
          <w:numId w:val="49"/>
        </w:numPr>
        <w:bidi w:val="0"/>
        <w:rPr>
          <w:color w:val="auto"/>
          <w:highlight w:val="none"/>
        </w:rPr>
      </w:pPr>
      <w:r>
        <w:rPr>
          <w:color w:val="auto"/>
          <w:highlight w:val="none"/>
        </w:rPr>
        <w:t>邀请社区</w:t>
      </w:r>
      <w:r>
        <w:rPr>
          <w:rFonts w:hint="eastAsia"/>
          <w:color w:val="auto"/>
          <w:highlight w:val="none"/>
        </w:rPr>
        <w:t>协助</w:t>
      </w:r>
      <w:r>
        <w:rPr>
          <w:color w:val="auto"/>
          <w:highlight w:val="none"/>
        </w:rPr>
        <w:t>设计参与流程；</w:t>
      </w:r>
    </w:p>
    <w:p w14:paraId="6405E4D1">
      <w:pPr>
        <w:pStyle w:val="177"/>
        <w:numPr>
          <w:ilvl w:val="0"/>
          <w:numId w:val="49"/>
        </w:numPr>
        <w:bidi w:val="0"/>
        <w:rPr>
          <w:color w:val="auto"/>
          <w:highlight w:val="none"/>
        </w:rPr>
      </w:pPr>
      <w:r>
        <w:rPr>
          <w:color w:val="auto"/>
          <w:highlight w:val="none"/>
        </w:rPr>
        <w:t>共享所有相关信息，向利益相关方同步已</w:t>
      </w:r>
      <w:r>
        <w:rPr>
          <w:rFonts w:hint="eastAsia"/>
          <w:color w:val="auto"/>
          <w:highlight w:val="none"/>
        </w:rPr>
        <w:t>达成共识</w:t>
      </w:r>
      <w:r>
        <w:rPr>
          <w:color w:val="auto"/>
          <w:highlight w:val="none"/>
        </w:rPr>
        <w:t>的决策，并聚焦于可</w:t>
      </w:r>
      <w:r>
        <w:rPr>
          <w:rFonts w:hint="eastAsia"/>
          <w:color w:val="auto"/>
          <w:highlight w:val="none"/>
          <w:lang w:val="en-US" w:eastAsia="zh-CN"/>
        </w:rPr>
        <w:t>供</w:t>
      </w:r>
      <w:r>
        <w:rPr>
          <w:color w:val="auto"/>
          <w:highlight w:val="none"/>
        </w:rPr>
        <w:t>反馈的领域；</w:t>
      </w:r>
    </w:p>
    <w:p w14:paraId="49633AF7">
      <w:pPr>
        <w:pStyle w:val="177"/>
        <w:numPr>
          <w:ilvl w:val="0"/>
          <w:numId w:val="49"/>
        </w:numPr>
        <w:bidi w:val="0"/>
        <w:rPr>
          <w:color w:val="auto"/>
          <w:highlight w:val="none"/>
        </w:rPr>
      </w:pPr>
      <w:r>
        <w:rPr>
          <w:color w:val="auto"/>
          <w:highlight w:val="none"/>
        </w:rPr>
        <w:t>为参与计划设定清晰</w:t>
      </w:r>
      <w:r>
        <w:rPr>
          <w:rFonts w:hint="eastAsia"/>
          <w:color w:val="auto"/>
          <w:highlight w:val="none"/>
          <w:lang w:val="en-US" w:eastAsia="zh-CN"/>
        </w:rPr>
        <w:t>且</w:t>
      </w:r>
      <w:r>
        <w:rPr>
          <w:color w:val="auto"/>
          <w:highlight w:val="none"/>
        </w:rPr>
        <w:t>可</w:t>
      </w:r>
      <w:r>
        <w:rPr>
          <w:rFonts w:hint="eastAsia"/>
          <w:color w:val="auto"/>
          <w:highlight w:val="none"/>
        </w:rPr>
        <w:t>量化</w:t>
      </w:r>
      <w:r>
        <w:rPr>
          <w:color w:val="auto"/>
          <w:highlight w:val="none"/>
        </w:rPr>
        <w:t>的目标；如有可能，</w:t>
      </w:r>
      <w:r>
        <w:rPr>
          <w:rFonts w:hint="eastAsia"/>
          <w:color w:val="auto"/>
          <w:highlight w:val="none"/>
        </w:rPr>
        <w:t>与</w:t>
      </w:r>
      <w:r>
        <w:rPr>
          <w:color w:val="auto"/>
          <w:highlight w:val="none"/>
        </w:rPr>
        <w:t>社区代表</w:t>
      </w:r>
      <w:r>
        <w:rPr>
          <w:rFonts w:hint="eastAsia"/>
          <w:color w:val="auto"/>
          <w:highlight w:val="none"/>
        </w:rPr>
        <w:t>合作</w:t>
      </w:r>
      <w:r>
        <w:rPr>
          <w:color w:val="auto"/>
          <w:highlight w:val="none"/>
        </w:rPr>
        <w:t>制定</w:t>
      </w:r>
      <w:r>
        <w:rPr>
          <w:rFonts w:hint="eastAsia"/>
          <w:color w:val="auto"/>
          <w:highlight w:val="none"/>
          <w:lang w:val="en-US" w:eastAsia="zh-CN"/>
        </w:rPr>
        <w:t>上述</w:t>
      </w:r>
      <w:r>
        <w:rPr>
          <w:color w:val="auto"/>
          <w:highlight w:val="none"/>
        </w:rPr>
        <w:t>目标；</w:t>
      </w:r>
    </w:p>
    <w:p w14:paraId="0800AC58">
      <w:pPr>
        <w:pStyle w:val="177"/>
        <w:numPr>
          <w:ilvl w:val="0"/>
          <w:numId w:val="49"/>
        </w:numPr>
        <w:bidi w:val="0"/>
        <w:rPr>
          <w:color w:val="auto"/>
          <w:highlight w:val="none"/>
        </w:rPr>
      </w:pPr>
      <w:r>
        <w:rPr>
          <w:color w:val="auto"/>
          <w:highlight w:val="none"/>
        </w:rPr>
        <w:t>确定预算与资源，为可动态调整的参与流程预留充足时间；并依据问题或议题的复杂程度，匹配参与工作的深度与广度；</w:t>
      </w:r>
    </w:p>
    <w:p w14:paraId="05357C4A">
      <w:pPr>
        <w:pStyle w:val="177"/>
        <w:numPr>
          <w:ilvl w:val="0"/>
          <w:numId w:val="49"/>
        </w:numPr>
        <w:bidi w:val="0"/>
        <w:rPr>
          <w:color w:val="auto"/>
          <w:highlight w:val="none"/>
        </w:rPr>
      </w:pPr>
      <w:r>
        <w:rPr>
          <w:color w:val="auto"/>
          <w:highlight w:val="none"/>
        </w:rPr>
        <w:t>在参与流程启动前，与利益相关方建立协作关系，并针对个人数据收集与使用环节，提前解决隐私和安全问题；</w:t>
      </w:r>
    </w:p>
    <w:p w14:paraId="78E86269">
      <w:pPr>
        <w:pStyle w:val="177"/>
        <w:numPr>
          <w:ilvl w:val="0"/>
          <w:numId w:val="49"/>
        </w:numPr>
        <w:bidi w:val="0"/>
        <w:rPr>
          <w:color w:val="auto"/>
          <w:highlight w:val="none"/>
        </w:rPr>
      </w:pPr>
      <w:r>
        <w:rPr>
          <w:color w:val="auto"/>
          <w:highlight w:val="none"/>
        </w:rPr>
        <w:t>为已</w:t>
      </w:r>
      <w:r>
        <w:rPr>
          <w:rFonts w:hint="eastAsia"/>
          <w:color w:val="auto"/>
          <w:highlight w:val="none"/>
        </w:rPr>
        <w:t>识别</w:t>
      </w:r>
      <w:r>
        <w:rPr>
          <w:color w:val="auto"/>
          <w:highlight w:val="none"/>
        </w:rPr>
        <w:t>利益相关方的参与提供支持（如提供托育或交通服务；在晚间或周末开展活动；</w:t>
      </w:r>
      <w:r>
        <w:rPr>
          <w:rFonts w:hint="eastAsia"/>
          <w:color w:val="auto"/>
          <w:highlight w:val="none"/>
        </w:rPr>
        <w:t>若社区成员、利益相关方参与工作未在其带薪职责范围内，可为其提供</w:t>
      </w:r>
      <w:r>
        <w:rPr>
          <w:rFonts w:hint="eastAsia"/>
          <w:color w:val="auto"/>
          <w:highlight w:val="none"/>
          <w:lang w:val="en-US" w:eastAsia="zh-CN"/>
        </w:rPr>
        <w:t>补助</w:t>
      </w:r>
      <w:r>
        <w:rPr>
          <w:color w:val="auto"/>
          <w:highlight w:val="none"/>
        </w:rPr>
        <w:t>）；</w:t>
      </w:r>
    </w:p>
    <w:p w14:paraId="67E11693">
      <w:pPr>
        <w:pStyle w:val="177"/>
        <w:numPr>
          <w:ilvl w:val="0"/>
          <w:numId w:val="49"/>
        </w:numPr>
        <w:bidi w:val="0"/>
        <w:rPr>
          <w:color w:val="auto"/>
          <w:highlight w:val="none"/>
        </w:rPr>
      </w:pPr>
      <w:r>
        <w:rPr>
          <w:color w:val="auto"/>
          <w:highlight w:val="none"/>
        </w:rPr>
        <w:t>通过与盟友合作，或为政策难以覆盖的群体配备关系协调人/沟通中介，为</w:t>
      </w:r>
      <w:r>
        <w:rPr>
          <w:rFonts w:hint="eastAsia"/>
          <w:color w:val="auto"/>
          <w:highlight w:val="none"/>
          <w:lang w:val="en-US" w:eastAsia="zh-CN"/>
        </w:rPr>
        <w:t>公众</w:t>
      </w:r>
      <w:r>
        <w:rPr>
          <w:color w:val="auto"/>
          <w:highlight w:val="none"/>
        </w:rPr>
        <w:t>创造表达诉求的渠道。</w:t>
      </w:r>
    </w:p>
    <w:p w14:paraId="7820785B">
      <w:pPr>
        <w:pStyle w:val="167"/>
        <w:bidi w:val="0"/>
        <w:rPr>
          <w:color w:val="auto"/>
          <w:highlight w:val="none"/>
        </w:rPr>
      </w:pPr>
      <w:r>
        <w:rPr>
          <w:color w:val="auto"/>
          <w:highlight w:val="none"/>
        </w:rPr>
        <w:t>社交媒体</w:t>
      </w:r>
      <w:r>
        <w:rPr>
          <w:rFonts w:hint="eastAsia"/>
          <w:color w:val="auto"/>
          <w:highlight w:val="none"/>
          <w:lang w:val="en-US" w:eastAsia="zh-CN"/>
        </w:rPr>
        <w:t>可促进</w:t>
      </w:r>
      <w:r>
        <w:rPr>
          <w:color w:val="auto"/>
          <w:highlight w:val="none"/>
        </w:rPr>
        <w:t>社区参与、鼓励多元观点交流，</w:t>
      </w:r>
      <w:r>
        <w:rPr>
          <w:rFonts w:hint="eastAsia"/>
          <w:color w:val="auto"/>
          <w:highlight w:val="none"/>
        </w:rPr>
        <w:t>但也可能成为虚假信息和负面信息的来源，需加以严格管理。</w:t>
      </w:r>
    </w:p>
    <w:p w14:paraId="5E20ED2E">
      <w:pPr>
        <w:pStyle w:val="108"/>
        <w:spacing w:before="156" w:after="156"/>
        <w:rPr>
          <w:bCs/>
          <w:color w:val="auto"/>
          <w:highlight w:val="none"/>
        </w:rPr>
      </w:pPr>
      <w:bookmarkStart w:id="99" w:name="_Toc7503"/>
      <w:bookmarkEnd w:id="99"/>
      <w:bookmarkStart w:id="100" w:name="_Toc30845"/>
      <w:bookmarkStart w:id="101" w:name="_Toc206170526"/>
      <w:bookmarkStart w:id="102" w:name="_Toc2865"/>
      <w:bookmarkStart w:id="103" w:name="_Toc29434"/>
      <w:r>
        <w:rPr>
          <w:color w:val="auto"/>
          <w:highlight w:val="none"/>
        </w:rPr>
        <w:t>资源</w:t>
      </w:r>
      <w:r>
        <w:rPr>
          <w:rFonts w:hint="eastAsia"/>
          <w:color w:val="auto"/>
          <w:highlight w:val="none"/>
          <w:lang w:val="en-US" w:eastAsia="zh-CN"/>
        </w:rPr>
        <w:t>配置</w:t>
      </w:r>
      <w:bookmarkEnd w:id="100"/>
      <w:bookmarkEnd w:id="101"/>
      <w:bookmarkEnd w:id="102"/>
      <w:bookmarkEnd w:id="103"/>
    </w:p>
    <w:p w14:paraId="747FF37B">
      <w:pPr>
        <w:pStyle w:val="59"/>
        <w:ind w:firstLine="420"/>
        <w:rPr>
          <w:color w:val="auto"/>
          <w:highlight w:val="none"/>
        </w:rPr>
      </w:pPr>
      <w:r>
        <w:rPr>
          <w:color w:val="auto"/>
          <w:highlight w:val="none"/>
        </w:rPr>
        <w:t>城市韧性</w:t>
      </w:r>
      <w:r>
        <w:rPr>
          <w:rFonts w:hint="eastAsia"/>
          <w:color w:val="auto"/>
          <w:highlight w:val="none"/>
          <w:lang w:val="en-US" w:eastAsia="zh-CN"/>
        </w:rPr>
        <w:t>建设领导小组</w:t>
      </w:r>
      <w:r>
        <w:rPr>
          <w:rFonts w:hint="eastAsia"/>
          <w:color w:val="auto"/>
          <w:highlight w:val="none"/>
          <w:lang w:eastAsia="zh-CN"/>
        </w:rPr>
        <w:t>宜</w:t>
      </w:r>
      <w:r>
        <w:rPr>
          <w:color w:val="auto"/>
          <w:highlight w:val="none"/>
        </w:rPr>
        <w:t>：</w:t>
      </w:r>
    </w:p>
    <w:p w14:paraId="466F2C5D">
      <w:pPr>
        <w:pStyle w:val="177"/>
        <w:numPr>
          <w:ilvl w:val="0"/>
          <w:numId w:val="50"/>
        </w:numPr>
        <w:bidi w:val="0"/>
        <w:ind w:left="851" w:leftChars="0" w:hanging="426" w:firstLineChars="0"/>
        <w:rPr>
          <w:color w:val="auto"/>
          <w:highlight w:val="none"/>
        </w:rPr>
      </w:pPr>
      <w:r>
        <w:rPr>
          <w:color w:val="auto"/>
          <w:highlight w:val="none"/>
        </w:rPr>
        <w:t>估算规划、实施和监测城市韧性战略所需的资源类型与数量；</w:t>
      </w:r>
    </w:p>
    <w:p w14:paraId="2A2846A5">
      <w:pPr>
        <w:pStyle w:val="177"/>
        <w:numPr>
          <w:ilvl w:val="0"/>
          <w:numId w:val="50"/>
        </w:numPr>
        <w:bidi w:val="0"/>
        <w:ind w:left="851" w:leftChars="0" w:hanging="426" w:firstLineChars="0"/>
        <w:rPr>
          <w:color w:val="auto"/>
          <w:highlight w:val="none"/>
        </w:rPr>
      </w:pPr>
      <w:r>
        <w:rPr>
          <w:color w:val="auto"/>
          <w:highlight w:val="none"/>
        </w:rPr>
        <w:t>识别当前及未来可获取的资源，梳理并</w:t>
      </w:r>
      <w:r>
        <w:rPr>
          <w:rFonts w:hint="eastAsia"/>
          <w:color w:val="auto"/>
          <w:highlight w:val="none"/>
          <w:lang w:val="en-US" w:eastAsia="zh-CN"/>
        </w:rPr>
        <w:t>弥补</w:t>
      </w:r>
      <w:r>
        <w:rPr>
          <w:color w:val="auto"/>
          <w:highlight w:val="none"/>
        </w:rPr>
        <w:t>资源</w:t>
      </w:r>
      <w:r>
        <w:rPr>
          <w:rFonts w:hint="eastAsia"/>
          <w:color w:val="auto"/>
          <w:highlight w:val="none"/>
        </w:rPr>
        <w:t>可用性</w:t>
      </w:r>
      <w:r>
        <w:rPr>
          <w:color w:val="auto"/>
          <w:highlight w:val="none"/>
        </w:rPr>
        <w:t>方面的</w:t>
      </w:r>
      <w:r>
        <w:rPr>
          <w:rFonts w:hint="eastAsia"/>
          <w:color w:val="auto"/>
          <w:highlight w:val="none"/>
          <w:lang w:val="en-US" w:eastAsia="zh-CN"/>
        </w:rPr>
        <w:t>缺口和差距</w:t>
      </w:r>
      <w:r>
        <w:rPr>
          <w:color w:val="auto"/>
          <w:highlight w:val="none"/>
        </w:rPr>
        <w:t>；</w:t>
      </w:r>
    </w:p>
    <w:p w14:paraId="78863CC1">
      <w:pPr>
        <w:pStyle w:val="177"/>
        <w:numPr>
          <w:ilvl w:val="0"/>
          <w:numId w:val="50"/>
        </w:numPr>
        <w:bidi w:val="0"/>
        <w:ind w:left="851" w:leftChars="0" w:hanging="426" w:firstLineChars="0"/>
        <w:rPr>
          <w:color w:val="auto"/>
          <w:highlight w:val="none"/>
        </w:rPr>
      </w:pPr>
      <w:r>
        <w:rPr>
          <w:color w:val="auto"/>
          <w:highlight w:val="none"/>
        </w:rPr>
        <w:t>明确公共部门、私营部门及国际捐助方等相关</w:t>
      </w:r>
      <w:r>
        <w:rPr>
          <w:rFonts w:hint="eastAsia"/>
          <w:color w:val="auto"/>
          <w:highlight w:val="none"/>
          <w:lang w:eastAsia="zh-CN"/>
        </w:rPr>
        <w:t>利益相关方；</w:t>
      </w:r>
    </w:p>
    <w:p w14:paraId="4B95B62A">
      <w:pPr>
        <w:pStyle w:val="177"/>
        <w:numPr>
          <w:ilvl w:val="0"/>
          <w:numId w:val="50"/>
        </w:numPr>
        <w:bidi w:val="0"/>
        <w:ind w:left="851" w:leftChars="0" w:hanging="426" w:firstLineChars="0"/>
        <w:rPr>
          <w:color w:val="auto"/>
          <w:highlight w:val="none"/>
        </w:rPr>
      </w:pPr>
      <w:r>
        <w:rPr>
          <w:color w:val="auto"/>
          <w:highlight w:val="none"/>
        </w:rPr>
        <w:t>资源</w:t>
      </w:r>
      <w:r>
        <w:rPr>
          <w:rFonts w:hint="eastAsia"/>
          <w:color w:val="auto"/>
          <w:highlight w:val="none"/>
          <w:lang w:val="en-US" w:eastAsia="zh-CN"/>
        </w:rPr>
        <w:t>包括</w:t>
      </w:r>
      <w:r>
        <w:rPr>
          <w:color w:val="auto"/>
          <w:highlight w:val="none"/>
        </w:rPr>
        <w:t>但不限于：</w:t>
      </w:r>
    </w:p>
    <w:p w14:paraId="63146C59">
      <w:pPr>
        <w:pStyle w:val="135"/>
        <w:rPr>
          <w:color w:val="auto"/>
          <w:highlight w:val="none"/>
        </w:rPr>
      </w:pPr>
      <w:r>
        <w:rPr>
          <w:color w:val="auto"/>
          <w:highlight w:val="none"/>
        </w:rPr>
        <w:t>财政资源</w:t>
      </w:r>
      <w:r>
        <w:rPr>
          <w:rFonts w:hint="eastAsia"/>
          <w:color w:val="auto"/>
          <w:highlight w:val="none"/>
          <w:lang w:eastAsia="zh-CN"/>
        </w:rPr>
        <w:t>，</w:t>
      </w:r>
      <w:r>
        <w:rPr>
          <w:color w:val="auto"/>
          <w:highlight w:val="none"/>
        </w:rPr>
        <w:t>包括地方及相关区域/中央政府预算、资金</w:t>
      </w:r>
      <w:r>
        <w:rPr>
          <w:rFonts w:hint="eastAsia"/>
          <w:color w:val="auto"/>
          <w:highlight w:val="none"/>
        </w:rPr>
        <w:t>、</w:t>
      </w:r>
      <w:r>
        <w:rPr>
          <w:color w:val="auto"/>
          <w:highlight w:val="none"/>
        </w:rPr>
        <w:t>财政激励措施（见附录B），</w:t>
      </w:r>
      <w:r>
        <w:rPr>
          <w:rFonts w:hint="eastAsia"/>
          <w:color w:val="auto"/>
          <w:highlight w:val="none"/>
        </w:rPr>
        <w:t>以及政府与社会资本合作</w:t>
      </w:r>
      <w:r>
        <w:rPr>
          <w:color w:val="auto"/>
          <w:highlight w:val="none"/>
        </w:rPr>
        <w:t>（PPP）等合作模式；</w:t>
      </w:r>
    </w:p>
    <w:p w14:paraId="5CD067BE">
      <w:pPr>
        <w:pStyle w:val="135"/>
        <w:rPr>
          <w:color w:val="auto"/>
          <w:highlight w:val="none"/>
        </w:rPr>
      </w:pPr>
      <w:r>
        <w:rPr>
          <w:color w:val="auto"/>
          <w:highlight w:val="none"/>
        </w:rPr>
        <w:t>人力资源</w:t>
      </w:r>
      <w:r>
        <w:rPr>
          <w:rFonts w:hint="eastAsia"/>
          <w:color w:val="auto"/>
          <w:highlight w:val="none"/>
          <w:lang w:eastAsia="zh-CN"/>
        </w:rPr>
        <w:t>，</w:t>
      </w:r>
      <w:r>
        <w:rPr>
          <w:rFonts w:hint="eastAsia"/>
          <w:color w:val="auto"/>
          <w:highlight w:val="none"/>
        </w:rPr>
        <w:t>包括</w:t>
      </w:r>
      <w:r>
        <w:rPr>
          <w:color w:val="auto"/>
          <w:highlight w:val="none"/>
        </w:rPr>
        <w:t>技术专家</w:t>
      </w:r>
      <w:r>
        <w:rPr>
          <w:rFonts w:hint="eastAsia"/>
          <w:color w:val="auto"/>
          <w:highlight w:val="none"/>
          <w:lang w:val="en-US" w:eastAsia="zh-CN"/>
        </w:rPr>
        <w:t>和志愿者</w:t>
      </w:r>
      <w:r>
        <w:rPr>
          <w:color w:val="auto"/>
          <w:highlight w:val="none"/>
        </w:rPr>
        <w:t>，</w:t>
      </w:r>
      <w:r>
        <w:rPr>
          <w:rFonts w:hint="eastAsia"/>
          <w:color w:val="auto"/>
          <w:highlight w:val="none"/>
          <w:lang w:val="en-US" w:eastAsia="zh-CN"/>
        </w:rPr>
        <w:t>负责</w:t>
      </w:r>
      <w:r>
        <w:rPr>
          <w:color w:val="auto"/>
          <w:highlight w:val="none"/>
        </w:rPr>
        <w:t>参与数据收集、数据处理</w:t>
      </w:r>
      <w:r>
        <w:rPr>
          <w:rFonts w:hint="eastAsia"/>
          <w:color w:val="auto"/>
          <w:highlight w:val="none"/>
          <w:lang w:val="en-US" w:eastAsia="zh-CN"/>
        </w:rPr>
        <w:t>/</w:t>
      </w:r>
      <w:r>
        <w:rPr>
          <w:color w:val="auto"/>
          <w:highlight w:val="none"/>
        </w:rPr>
        <w:t>管理、分析</w:t>
      </w:r>
      <w:r>
        <w:rPr>
          <w:rFonts w:hint="eastAsia"/>
          <w:color w:val="auto"/>
          <w:highlight w:val="none"/>
        </w:rPr>
        <w:t>、</w:t>
      </w:r>
      <w:r>
        <w:rPr>
          <w:color w:val="auto"/>
          <w:highlight w:val="none"/>
        </w:rPr>
        <w:t>诊断、建议制定等工作；</w:t>
      </w:r>
    </w:p>
    <w:p w14:paraId="69DDA781">
      <w:pPr>
        <w:pStyle w:val="135"/>
        <w:rPr>
          <w:color w:val="auto"/>
          <w:highlight w:val="none"/>
        </w:rPr>
      </w:pPr>
      <w:r>
        <w:rPr>
          <w:color w:val="auto"/>
          <w:highlight w:val="none"/>
        </w:rPr>
        <w:t>技术资源</w:t>
      </w:r>
      <w:r>
        <w:rPr>
          <w:rFonts w:hint="eastAsia"/>
          <w:color w:val="auto"/>
          <w:highlight w:val="none"/>
          <w:lang w:eastAsia="zh-CN"/>
        </w:rPr>
        <w:t>，</w:t>
      </w:r>
      <w:r>
        <w:rPr>
          <w:rFonts w:hint="eastAsia"/>
          <w:color w:val="auto"/>
          <w:highlight w:val="none"/>
        </w:rPr>
        <w:t>包括数据、信息和知识</w:t>
      </w:r>
      <w:r>
        <w:rPr>
          <w:rFonts w:hint="eastAsia"/>
          <w:color w:val="auto"/>
          <w:highlight w:val="none"/>
          <w:lang w:eastAsia="zh-CN"/>
        </w:rPr>
        <w:t>；</w:t>
      </w:r>
    </w:p>
    <w:p w14:paraId="1AAE963D">
      <w:pPr>
        <w:pStyle w:val="135"/>
        <w:rPr>
          <w:color w:val="auto"/>
          <w:highlight w:val="none"/>
        </w:rPr>
      </w:pPr>
      <w:r>
        <w:rPr>
          <w:color w:val="auto"/>
          <w:highlight w:val="none"/>
        </w:rPr>
        <w:t>物质资源</w:t>
      </w:r>
      <w:r>
        <w:rPr>
          <w:rFonts w:hint="eastAsia"/>
          <w:color w:val="auto"/>
          <w:highlight w:val="none"/>
        </w:rPr>
        <w:t>，包括自然区域和资产、基础设施和设施</w:t>
      </w:r>
      <w:r>
        <w:rPr>
          <w:color w:val="auto"/>
          <w:highlight w:val="none"/>
        </w:rPr>
        <w:t>。</w:t>
      </w:r>
    </w:p>
    <w:p w14:paraId="2D1D389C">
      <w:pPr>
        <w:pStyle w:val="108"/>
        <w:spacing w:before="156" w:after="156"/>
        <w:rPr>
          <w:bCs/>
          <w:color w:val="auto"/>
          <w:highlight w:val="none"/>
        </w:rPr>
      </w:pPr>
      <w:bookmarkStart w:id="104" w:name="20"/>
      <w:bookmarkEnd w:id="104"/>
      <w:bookmarkStart w:id="105" w:name="_Toc20182"/>
      <w:bookmarkEnd w:id="105"/>
      <w:bookmarkStart w:id="106" w:name="_Toc18390"/>
      <w:bookmarkStart w:id="107" w:name="_Toc6715"/>
      <w:bookmarkStart w:id="108" w:name="_Toc30950"/>
      <w:bookmarkStart w:id="109" w:name="_Toc206170527"/>
      <w:r>
        <w:rPr>
          <w:color w:val="auto"/>
          <w:highlight w:val="none"/>
        </w:rPr>
        <w:t>数据收集、评估和共享</w:t>
      </w:r>
      <w:bookmarkEnd w:id="106"/>
      <w:bookmarkEnd w:id="107"/>
      <w:bookmarkEnd w:id="108"/>
      <w:bookmarkEnd w:id="109"/>
    </w:p>
    <w:p w14:paraId="3593DB5B">
      <w:pPr>
        <w:pStyle w:val="168"/>
        <w:bidi w:val="0"/>
        <w:rPr>
          <w:color w:val="auto"/>
          <w:highlight w:val="none"/>
        </w:rPr>
      </w:pPr>
      <w:r>
        <w:rPr>
          <w:color w:val="auto"/>
          <w:highlight w:val="none"/>
        </w:rPr>
        <w:t>城市韧性</w:t>
      </w:r>
      <w:r>
        <w:rPr>
          <w:rFonts w:hint="eastAsia"/>
          <w:color w:val="auto"/>
          <w:highlight w:val="none"/>
          <w:lang w:val="en-US" w:eastAsia="zh-CN"/>
        </w:rPr>
        <w:t>建设领导小组</w:t>
      </w:r>
      <w:r>
        <w:rPr>
          <w:rFonts w:hint="eastAsia"/>
          <w:color w:val="auto"/>
          <w:highlight w:val="none"/>
          <w:lang w:eastAsia="zh-CN"/>
        </w:rPr>
        <w:t>宜</w:t>
      </w:r>
      <w:r>
        <w:rPr>
          <w:color w:val="auto"/>
          <w:highlight w:val="none"/>
        </w:rPr>
        <w:t>：</w:t>
      </w:r>
    </w:p>
    <w:p w14:paraId="33FD5A6E">
      <w:pPr>
        <w:pStyle w:val="177"/>
        <w:numPr>
          <w:ilvl w:val="0"/>
          <w:numId w:val="51"/>
        </w:numPr>
        <w:bidi w:val="0"/>
        <w:ind w:left="851" w:leftChars="0" w:hanging="426" w:firstLineChars="0"/>
        <w:rPr>
          <w:color w:val="auto"/>
          <w:highlight w:val="none"/>
        </w:rPr>
      </w:pPr>
      <w:r>
        <w:rPr>
          <w:color w:val="auto"/>
          <w:highlight w:val="none"/>
        </w:rPr>
        <w:t>以行业公认的城市韧性良好实践为依据，同时考虑战略要实现的优先目标</w:t>
      </w:r>
      <w:r>
        <w:rPr>
          <w:rFonts w:hint="eastAsia"/>
          <w:color w:val="auto"/>
          <w:highlight w:val="none"/>
        </w:rPr>
        <w:t>，确定</w:t>
      </w:r>
      <w:r>
        <w:rPr>
          <w:rFonts w:hint="eastAsia"/>
          <w:color w:val="auto"/>
          <w:highlight w:val="none"/>
          <w:lang w:val="en-US" w:eastAsia="zh-CN"/>
        </w:rPr>
        <w:t>需要</w:t>
      </w:r>
      <w:r>
        <w:rPr>
          <w:rFonts w:hint="eastAsia"/>
          <w:color w:val="auto"/>
          <w:highlight w:val="none"/>
        </w:rPr>
        <w:t>获取的</w:t>
      </w:r>
      <w:r>
        <w:rPr>
          <w:rFonts w:hint="eastAsia"/>
          <w:color w:val="auto"/>
          <w:highlight w:val="none"/>
          <w:lang w:val="en-US" w:eastAsia="zh-CN"/>
        </w:rPr>
        <w:t>数据、知识等信息</w:t>
      </w:r>
      <w:r>
        <w:rPr>
          <w:color w:val="auto"/>
          <w:highlight w:val="none"/>
        </w:rPr>
        <w:t>；</w:t>
      </w:r>
    </w:p>
    <w:p w14:paraId="5728DBDB">
      <w:pPr>
        <w:pStyle w:val="177"/>
        <w:numPr>
          <w:ilvl w:val="0"/>
          <w:numId w:val="51"/>
        </w:numPr>
        <w:bidi w:val="0"/>
        <w:ind w:left="851" w:leftChars="0" w:hanging="426" w:firstLineChars="0"/>
        <w:rPr>
          <w:color w:val="auto"/>
          <w:highlight w:val="none"/>
        </w:rPr>
      </w:pPr>
      <w:r>
        <w:rPr>
          <w:color w:val="auto"/>
          <w:highlight w:val="none"/>
        </w:rPr>
        <w:t>确定分析工作所需的信息与知识类型；</w:t>
      </w:r>
    </w:p>
    <w:p w14:paraId="2C4EEDD1">
      <w:pPr>
        <w:pStyle w:val="177"/>
        <w:numPr>
          <w:ilvl w:val="0"/>
          <w:numId w:val="51"/>
        </w:numPr>
        <w:bidi w:val="0"/>
        <w:ind w:left="851" w:leftChars="0" w:hanging="426" w:firstLineChars="0"/>
        <w:rPr>
          <w:color w:val="auto"/>
          <w:highlight w:val="none"/>
        </w:rPr>
      </w:pPr>
      <w:r>
        <w:rPr>
          <w:color w:val="auto"/>
          <w:highlight w:val="none"/>
        </w:rPr>
        <w:t>制定数据收集方法及工具，分配相关资源与基础设施；</w:t>
      </w:r>
    </w:p>
    <w:p w14:paraId="42A2D4B8">
      <w:pPr>
        <w:pStyle w:val="177"/>
        <w:numPr>
          <w:ilvl w:val="0"/>
          <w:numId w:val="51"/>
        </w:numPr>
        <w:bidi w:val="0"/>
        <w:ind w:left="851" w:leftChars="0" w:hanging="426" w:firstLineChars="0"/>
        <w:rPr>
          <w:color w:val="auto"/>
          <w:highlight w:val="none"/>
        </w:rPr>
      </w:pPr>
      <w:r>
        <w:rPr>
          <w:color w:val="auto"/>
          <w:highlight w:val="none"/>
        </w:rPr>
        <w:t>建立信息安全交换协议，促进利益相关方之间数据共享；</w:t>
      </w:r>
    </w:p>
    <w:p w14:paraId="7FB9760D">
      <w:pPr>
        <w:pStyle w:val="177"/>
        <w:numPr>
          <w:ilvl w:val="0"/>
          <w:numId w:val="51"/>
        </w:numPr>
        <w:bidi w:val="0"/>
        <w:ind w:left="851" w:leftChars="0" w:hanging="426" w:firstLineChars="0"/>
        <w:rPr>
          <w:color w:val="auto"/>
          <w:highlight w:val="none"/>
        </w:rPr>
      </w:pPr>
      <w:r>
        <w:rPr>
          <w:color w:val="auto"/>
          <w:highlight w:val="none"/>
        </w:rPr>
        <w:t>设定数据评估标准，包括数据的相关性、可靠性，以及图形、统计、地理空间信息等不同格式数据的存储、共享、保护与处理；</w:t>
      </w:r>
    </w:p>
    <w:p w14:paraId="7E446F6B">
      <w:pPr>
        <w:pStyle w:val="177"/>
        <w:numPr>
          <w:ilvl w:val="0"/>
          <w:numId w:val="51"/>
        </w:numPr>
        <w:bidi w:val="0"/>
        <w:ind w:left="851" w:leftChars="0" w:hanging="426" w:firstLineChars="0"/>
        <w:rPr>
          <w:color w:val="auto"/>
          <w:highlight w:val="none"/>
        </w:rPr>
      </w:pPr>
      <w:r>
        <w:rPr>
          <w:color w:val="auto"/>
          <w:highlight w:val="none"/>
        </w:rPr>
        <w:t>收集可靠数据，针对城市区域应对不同风险时展现的能力以及优劣势，开展全面的循证分析与评估；</w:t>
      </w:r>
    </w:p>
    <w:p w14:paraId="074D8BAF">
      <w:pPr>
        <w:pStyle w:val="177"/>
        <w:numPr>
          <w:ilvl w:val="0"/>
          <w:numId w:val="51"/>
        </w:numPr>
        <w:bidi w:val="0"/>
        <w:ind w:left="851" w:leftChars="0" w:hanging="426" w:firstLineChars="0"/>
        <w:rPr>
          <w:color w:val="auto"/>
          <w:highlight w:val="none"/>
        </w:rPr>
      </w:pPr>
      <w:r>
        <w:rPr>
          <w:color w:val="auto"/>
          <w:highlight w:val="none"/>
        </w:rPr>
        <w:t>采用多种定性数据源（</w:t>
      </w:r>
      <w:r>
        <w:rPr>
          <w:rFonts w:hint="eastAsia"/>
          <w:color w:val="auto"/>
          <w:highlight w:val="none"/>
          <w:lang w:val="en-US" w:eastAsia="zh-CN"/>
        </w:rPr>
        <w:t>包括</w:t>
      </w:r>
      <w:r>
        <w:rPr>
          <w:color w:val="auto"/>
          <w:highlight w:val="none"/>
        </w:rPr>
        <w:t>地方知识和传统知识）与定量数据源，通过差异化方法与技术收集数据；</w:t>
      </w:r>
    </w:p>
    <w:p w14:paraId="048CE904">
      <w:pPr>
        <w:pStyle w:val="177"/>
        <w:numPr>
          <w:ilvl w:val="0"/>
          <w:numId w:val="51"/>
        </w:numPr>
        <w:bidi w:val="0"/>
        <w:ind w:left="851" w:leftChars="0" w:hanging="426" w:firstLineChars="0"/>
        <w:rPr>
          <w:color w:val="auto"/>
          <w:highlight w:val="none"/>
        </w:rPr>
      </w:pPr>
      <w:r>
        <w:rPr>
          <w:color w:val="auto"/>
          <w:highlight w:val="none"/>
        </w:rPr>
        <w:t>依据预设阈值、衡量标准及指标，建立数据收集工作完成情况</w:t>
      </w:r>
      <w:r>
        <w:rPr>
          <w:rFonts w:hint="eastAsia"/>
          <w:color w:val="auto"/>
          <w:highlight w:val="none"/>
        </w:rPr>
        <w:t>的</w:t>
      </w:r>
      <w:r>
        <w:rPr>
          <w:color w:val="auto"/>
          <w:highlight w:val="none"/>
        </w:rPr>
        <w:t>评估机制。</w:t>
      </w:r>
    </w:p>
    <w:p w14:paraId="53F7CE80">
      <w:pPr>
        <w:pStyle w:val="168"/>
        <w:bidi w:val="0"/>
        <w:rPr>
          <w:color w:val="auto"/>
          <w:highlight w:val="none"/>
        </w:rPr>
      </w:pPr>
      <w:r>
        <w:rPr>
          <w:color w:val="auto"/>
          <w:highlight w:val="none"/>
        </w:rPr>
        <w:t>在缺乏定量证据时，城市韧性</w:t>
      </w:r>
      <w:r>
        <w:rPr>
          <w:rFonts w:hint="eastAsia"/>
          <w:color w:val="auto"/>
          <w:highlight w:val="none"/>
          <w:lang w:val="en-US" w:eastAsia="zh-CN"/>
        </w:rPr>
        <w:t>建设领导小组</w:t>
      </w:r>
      <w:r>
        <w:rPr>
          <w:rFonts w:hint="eastAsia"/>
          <w:color w:val="auto"/>
          <w:highlight w:val="none"/>
          <w:lang w:eastAsia="zh-CN"/>
        </w:rPr>
        <w:t>宜</w:t>
      </w:r>
      <w:r>
        <w:rPr>
          <w:color w:val="auto"/>
          <w:highlight w:val="none"/>
        </w:rPr>
        <w:t>考虑受影响群体和</w:t>
      </w:r>
      <w:r>
        <w:rPr>
          <w:rFonts w:hint="eastAsia"/>
          <w:color w:val="auto"/>
          <w:highlight w:val="none"/>
          <w:lang w:val="en-US" w:eastAsia="zh-CN"/>
        </w:rPr>
        <w:t>子</w:t>
      </w:r>
      <w:r>
        <w:rPr>
          <w:color w:val="auto"/>
          <w:highlight w:val="none"/>
        </w:rPr>
        <w:t>系统</w:t>
      </w:r>
      <w:r>
        <w:rPr>
          <w:rFonts w:hint="eastAsia"/>
          <w:color w:val="auto"/>
          <w:highlight w:val="none"/>
          <w:lang w:val="en-US" w:eastAsia="zh-CN"/>
        </w:rPr>
        <w:t>运行方</w:t>
      </w:r>
      <w:r>
        <w:rPr>
          <w:rFonts w:hint="eastAsia"/>
          <w:color w:val="auto"/>
          <w:highlight w:val="none"/>
        </w:rPr>
        <w:t>对优势和劣势的感知</w:t>
      </w:r>
      <w:r>
        <w:rPr>
          <w:color w:val="auto"/>
          <w:highlight w:val="none"/>
        </w:rPr>
        <w:t>，评估定性数据的质量与完整性，为得出可靠性结论提供依据。</w:t>
      </w:r>
    </w:p>
    <w:p w14:paraId="6829671D">
      <w:pPr>
        <w:pStyle w:val="168"/>
        <w:bidi w:val="0"/>
        <w:rPr>
          <w:color w:val="auto"/>
          <w:highlight w:val="none"/>
        </w:rPr>
      </w:pPr>
      <w:r>
        <w:rPr>
          <w:rFonts w:hint="eastAsia"/>
          <w:color w:val="auto"/>
          <w:highlight w:val="none"/>
          <w:lang w:eastAsia="zh-CN"/>
        </w:rPr>
        <w:t>城市韧性建设领导小组组长宜记录</w:t>
      </w:r>
      <w:r>
        <w:rPr>
          <w:rFonts w:hint="eastAsia"/>
          <w:color w:val="auto"/>
          <w:highlight w:val="none"/>
        </w:rPr>
        <w:t>既无定量数据也无定性数据可供评估城市区域能力、优势和劣势的情况，以便将</w:t>
      </w:r>
      <w:r>
        <w:rPr>
          <w:rFonts w:hint="eastAsia"/>
          <w:color w:val="auto"/>
          <w:highlight w:val="none"/>
          <w:lang w:eastAsia="zh-CN"/>
        </w:rPr>
        <w:t>“</w:t>
      </w:r>
      <w:r>
        <w:rPr>
          <w:rFonts w:hint="eastAsia"/>
          <w:color w:val="auto"/>
          <w:highlight w:val="none"/>
        </w:rPr>
        <w:t>已知的未知</w:t>
      </w:r>
      <w:r>
        <w:rPr>
          <w:rFonts w:hint="eastAsia"/>
          <w:color w:val="auto"/>
          <w:highlight w:val="none"/>
          <w:lang w:eastAsia="zh-CN"/>
        </w:rPr>
        <w:t>”</w:t>
      </w:r>
      <w:r>
        <w:rPr>
          <w:rFonts w:hint="eastAsia"/>
          <w:color w:val="auto"/>
          <w:highlight w:val="none"/>
        </w:rPr>
        <w:t>纳入决策，并制定未来数据收集计划以填补空白</w:t>
      </w:r>
      <w:r>
        <w:rPr>
          <w:color w:val="auto"/>
          <w:highlight w:val="none"/>
        </w:rPr>
        <w:t>。</w:t>
      </w:r>
    </w:p>
    <w:p w14:paraId="7A4AA45F">
      <w:pPr>
        <w:pStyle w:val="183"/>
        <w:numPr>
          <w:ilvl w:val="0"/>
          <w:numId w:val="52"/>
        </w:numPr>
        <w:bidi w:val="0"/>
        <w:ind w:left="811" w:leftChars="0" w:hanging="448" w:firstLineChars="0"/>
        <w:rPr>
          <w:rFonts w:hint="eastAsia"/>
          <w:color w:val="auto"/>
          <w:highlight w:val="none"/>
        </w:rPr>
      </w:pPr>
      <w:r>
        <w:rPr>
          <w:rFonts w:hint="eastAsia"/>
          <w:color w:val="auto"/>
          <w:highlight w:val="none"/>
          <w:lang w:val="en-US" w:eastAsia="zh-CN"/>
        </w:rPr>
        <w:t>GB/T 45157</w:t>
      </w:r>
      <w:r>
        <w:rPr>
          <w:rFonts w:hint="eastAsia"/>
          <w:color w:val="auto"/>
          <w:highlight w:val="none"/>
        </w:rPr>
        <w:t>提供了组织间信息交换相关指南。</w:t>
      </w:r>
    </w:p>
    <w:p w14:paraId="2F400307">
      <w:pPr>
        <w:pStyle w:val="183"/>
        <w:numPr>
          <w:ilvl w:val="0"/>
          <w:numId w:val="52"/>
        </w:numPr>
        <w:bidi w:val="0"/>
        <w:ind w:left="811" w:leftChars="0" w:hanging="448" w:firstLineChars="0"/>
        <w:rPr>
          <w:color w:val="auto"/>
          <w:highlight w:val="none"/>
        </w:rPr>
      </w:pPr>
      <w:r>
        <w:rPr>
          <w:rFonts w:hint="eastAsia"/>
          <w:color w:val="auto"/>
          <w:highlight w:val="none"/>
        </w:rPr>
        <w:t>GB/T 22080规定了在组织场景中建立、实施、维护并持续改进信息安全管理体系的具体要求。</w:t>
      </w:r>
    </w:p>
    <w:p w14:paraId="43D1A5A4">
      <w:pPr>
        <w:pStyle w:val="107"/>
        <w:spacing w:before="312" w:after="312"/>
        <w:rPr>
          <w:bCs/>
          <w:color w:val="auto"/>
          <w:highlight w:val="none"/>
        </w:rPr>
      </w:pPr>
      <w:bookmarkStart w:id="110" w:name="_Toc28239"/>
      <w:r>
        <w:rPr>
          <w:color w:val="auto"/>
          <w:highlight w:val="none"/>
        </w:rPr>
        <w:t>评估与排序</w:t>
      </w:r>
      <w:bookmarkEnd w:id="110"/>
    </w:p>
    <w:p w14:paraId="7054281E">
      <w:pPr>
        <w:pStyle w:val="108"/>
        <w:spacing w:before="156" w:after="156"/>
        <w:rPr>
          <w:color w:val="auto"/>
          <w:highlight w:val="none"/>
        </w:rPr>
      </w:pPr>
      <w:bookmarkStart w:id="111" w:name="_Toc43"/>
      <w:bookmarkEnd w:id="111"/>
      <w:bookmarkStart w:id="112" w:name="_Toc5927"/>
      <w:r>
        <w:rPr>
          <w:rFonts w:hint="eastAsia"/>
          <w:color w:val="auto"/>
          <w:highlight w:val="none"/>
        </w:rPr>
        <w:t>概述</w:t>
      </w:r>
      <w:bookmarkEnd w:id="112"/>
    </w:p>
    <w:p w14:paraId="73665AF3">
      <w:pPr>
        <w:pStyle w:val="59"/>
        <w:ind w:firstLine="420"/>
        <w:rPr>
          <w:color w:val="auto"/>
          <w:highlight w:val="none"/>
        </w:rPr>
      </w:pPr>
      <w:r>
        <w:rPr>
          <w:rFonts w:hint="eastAsia"/>
          <w:color w:val="auto"/>
          <w:highlight w:val="none"/>
        </w:rPr>
        <w:t>战略团队宜</w:t>
      </w:r>
      <w:r>
        <w:rPr>
          <w:color w:val="auto"/>
          <w:highlight w:val="none"/>
        </w:rPr>
        <w:t>使用定性或定量数据（</w:t>
      </w:r>
      <w:r>
        <w:rPr>
          <w:rFonts w:hint="eastAsia"/>
          <w:color w:val="auto"/>
          <w:highlight w:val="none"/>
        </w:rPr>
        <w:t>或根据实际情况综合使用两类数据</w:t>
      </w:r>
      <w:r>
        <w:rPr>
          <w:color w:val="auto"/>
          <w:highlight w:val="none"/>
        </w:rPr>
        <w:t>）</w:t>
      </w:r>
      <w:r>
        <w:rPr>
          <w:rFonts w:hint="eastAsia"/>
          <w:color w:val="auto"/>
          <w:highlight w:val="none"/>
        </w:rPr>
        <w:t>开展</w:t>
      </w:r>
      <w:r>
        <w:rPr>
          <w:color w:val="auto"/>
          <w:highlight w:val="none"/>
        </w:rPr>
        <w:t>城市系统分析</w:t>
      </w:r>
      <w:r>
        <w:rPr>
          <w:rFonts w:hint="eastAsia"/>
          <w:color w:val="auto"/>
          <w:highlight w:val="none"/>
        </w:rPr>
        <w:t>，</w:t>
      </w:r>
      <w:r>
        <w:rPr>
          <w:color w:val="auto"/>
          <w:highlight w:val="none"/>
        </w:rPr>
        <w:t>具体分析</w:t>
      </w:r>
      <w:r>
        <w:rPr>
          <w:rFonts w:hint="eastAsia"/>
          <w:color w:val="auto"/>
          <w:highlight w:val="none"/>
        </w:rPr>
        <w:t>工作宜包括</w:t>
      </w:r>
      <w:r>
        <w:rPr>
          <w:color w:val="auto"/>
          <w:highlight w:val="none"/>
        </w:rPr>
        <w:t>：</w:t>
      </w:r>
    </w:p>
    <w:p w14:paraId="110D9103">
      <w:pPr>
        <w:pStyle w:val="177"/>
        <w:numPr>
          <w:ilvl w:val="0"/>
          <w:numId w:val="53"/>
        </w:numPr>
        <w:bidi w:val="0"/>
        <w:ind w:left="851" w:leftChars="0" w:hanging="426" w:firstLineChars="0"/>
        <w:rPr>
          <w:color w:val="auto"/>
          <w:highlight w:val="none"/>
        </w:rPr>
      </w:pPr>
      <w:r>
        <w:rPr>
          <w:color w:val="auto"/>
          <w:highlight w:val="none"/>
        </w:rPr>
        <w:t>聚焦</w:t>
      </w:r>
      <w:r>
        <w:rPr>
          <w:rFonts w:hint="eastAsia"/>
          <w:color w:val="auto"/>
          <w:highlight w:val="none"/>
        </w:rPr>
        <w:t>实现</w:t>
      </w:r>
      <w:r>
        <w:rPr>
          <w:color w:val="auto"/>
          <w:highlight w:val="none"/>
        </w:rPr>
        <w:t>6.2.1中确定的愿景与目标，将风险与已制定的目标以及</w:t>
      </w:r>
      <w:r>
        <w:rPr>
          <w:rFonts w:hint="eastAsia"/>
          <w:color w:val="auto"/>
          <w:highlight w:val="none"/>
        </w:rPr>
        <w:t>城市韧性举措</w:t>
      </w:r>
      <w:r>
        <w:rPr>
          <w:color w:val="auto"/>
          <w:highlight w:val="none"/>
        </w:rPr>
        <w:t>的优先级排序相关联；</w:t>
      </w:r>
    </w:p>
    <w:p w14:paraId="39C99E5D">
      <w:pPr>
        <w:pStyle w:val="177"/>
        <w:numPr>
          <w:ilvl w:val="0"/>
          <w:numId w:val="53"/>
        </w:numPr>
        <w:bidi w:val="0"/>
        <w:ind w:left="851" w:leftChars="0" w:hanging="426" w:firstLineChars="0"/>
        <w:rPr>
          <w:color w:val="auto"/>
          <w:highlight w:val="none"/>
        </w:rPr>
      </w:pPr>
      <w:r>
        <w:rPr>
          <w:color w:val="auto"/>
          <w:highlight w:val="none"/>
        </w:rPr>
        <w:t>绘制</w:t>
      </w:r>
      <w:r>
        <w:rPr>
          <w:rFonts w:hint="eastAsia"/>
          <w:color w:val="auto"/>
          <w:highlight w:val="none"/>
        </w:rPr>
        <w:t>所</w:t>
      </w:r>
      <w:r>
        <w:rPr>
          <w:color w:val="auto"/>
          <w:highlight w:val="none"/>
        </w:rPr>
        <w:t>选定城市区域的系统</w:t>
      </w:r>
      <w:r>
        <w:rPr>
          <w:rFonts w:hint="eastAsia"/>
          <w:color w:val="auto"/>
          <w:highlight w:val="none"/>
        </w:rPr>
        <w:t>关系</w:t>
      </w:r>
      <w:r>
        <w:rPr>
          <w:color w:val="auto"/>
          <w:highlight w:val="none"/>
        </w:rPr>
        <w:t>图</w:t>
      </w:r>
      <w:r>
        <w:rPr>
          <w:rFonts w:hint="eastAsia"/>
          <w:color w:val="auto"/>
          <w:highlight w:val="none"/>
        </w:rPr>
        <w:t>谱</w:t>
      </w:r>
      <w:r>
        <w:rPr>
          <w:color w:val="auto"/>
          <w:highlight w:val="none"/>
        </w:rPr>
        <w:t>，评估系统</w:t>
      </w:r>
      <w:r>
        <w:rPr>
          <w:rFonts w:hint="eastAsia"/>
          <w:color w:val="auto"/>
          <w:highlight w:val="none"/>
        </w:rPr>
        <w:t>各要素之</w:t>
      </w:r>
      <w:r>
        <w:rPr>
          <w:color w:val="auto"/>
          <w:highlight w:val="none"/>
        </w:rPr>
        <w:t>间</w:t>
      </w:r>
      <w:r>
        <w:rPr>
          <w:rFonts w:hint="eastAsia"/>
          <w:color w:val="auto"/>
          <w:highlight w:val="none"/>
        </w:rPr>
        <w:t>的</w:t>
      </w:r>
      <w:r>
        <w:rPr>
          <w:color w:val="auto"/>
          <w:highlight w:val="none"/>
        </w:rPr>
        <w:t>相互依</w:t>
      </w:r>
      <w:r>
        <w:rPr>
          <w:rFonts w:hint="eastAsia"/>
          <w:color w:val="auto"/>
          <w:highlight w:val="none"/>
        </w:rPr>
        <w:t>赖</w:t>
      </w:r>
      <w:r>
        <w:rPr>
          <w:color w:val="auto"/>
          <w:highlight w:val="none"/>
        </w:rPr>
        <w:t>关系；评估时需考</w:t>
      </w:r>
      <w:r>
        <w:rPr>
          <w:rFonts w:hint="eastAsia"/>
          <w:color w:val="auto"/>
          <w:highlight w:val="none"/>
        </w:rPr>
        <w:t>虑</w:t>
      </w:r>
      <w:r>
        <w:rPr>
          <w:color w:val="auto"/>
          <w:highlight w:val="none"/>
        </w:rPr>
        <w:t>系统</w:t>
      </w:r>
      <w:r>
        <w:rPr>
          <w:rFonts w:hint="eastAsia"/>
          <w:color w:val="auto"/>
          <w:highlight w:val="none"/>
        </w:rPr>
        <w:t>各</w:t>
      </w:r>
      <w:r>
        <w:rPr>
          <w:color w:val="auto"/>
          <w:highlight w:val="none"/>
        </w:rPr>
        <w:t>要素对居民</w:t>
      </w:r>
      <w:r>
        <w:rPr>
          <w:rFonts w:hint="eastAsia"/>
          <w:color w:val="auto"/>
          <w:highlight w:val="none"/>
        </w:rPr>
        <w:t>和</w:t>
      </w:r>
      <w:r>
        <w:rPr>
          <w:color w:val="auto"/>
          <w:highlight w:val="none"/>
        </w:rPr>
        <w:t>组织所提供服务的</w:t>
      </w:r>
      <w:r>
        <w:rPr>
          <w:rFonts w:hint="eastAsia"/>
          <w:color w:val="auto"/>
          <w:highlight w:val="none"/>
        </w:rPr>
        <w:t>重要性</w:t>
      </w:r>
      <w:r>
        <w:rPr>
          <w:color w:val="auto"/>
          <w:highlight w:val="none"/>
        </w:rPr>
        <w:t>；</w:t>
      </w:r>
    </w:p>
    <w:p w14:paraId="42C70EE2">
      <w:pPr>
        <w:pStyle w:val="177"/>
        <w:numPr>
          <w:ilvl w:val="0"/>
          <w:numId w:val="53"/>
        </w:numPr>
        <w:bidi w:val="0"/>
        <w:ind w:left="851" w:leftChars="0" w:hanging="426" w:firstLineChars="0"/>
        <w:rPr>
          <w:color w:val="auto"/>
          <w:highlight w:val="none"/>
        </w:rPr>
      </w:pPr>
      <w:r>
        <w:rPr>
          <w:color w:val="auto"/>
          <w:highlight w:val="none"/>
        </w:rPr>
        <w:t>收集信息</w:t>
      </w:r>
      <w:r>
        <w:rPr>
          <w:rFonts w:hint="eastAsia"/>
          <w:color w:val="auto"/>
          <w:highlight w:val="none"/>
        </w:rPr>
        <w:t>，</w:t>
      </w:r>
      <w:r>
        <w:rPr>
          <w:color w:val="auto"/>
          <w:highlight w:val="none"/>
        </w:rPr>
        <w:t>了解城市背景、当前风险、机遇及现有韧性水平；</w:t>
      </w:r>
    </w:p>
    <w:p w14:paraId="6C5C8B29">
      <w:pPr>
        <w:pStyle w:val="177"/>
        <w:numPr>
          <w:ilvl w:val="0"/>
          <w:numId w:val="53"/>
        </w:numPr>
        <w:bidi w:val="0"/>
        <w:ind w:left="851" w:leftChars="0" w:hanging="426" w:firstLineChars="0"/>
        <w:rPr>
          <w:color w:val="auto"/>
          <w:highlight w:val="none"/>
        </w:rPr>
      </w:pPr>
      <w:r>
        <w:rPr>
          <w:rFonts w:hint="eastAsia"/>
          <w:color w:val="auto"/>
          <w:highlight w:val="none"/>
        </w:rPr>
        <w:t>剖析城市遇到的</w:t>
      </w:r>
      <w:r>
        <w:rPr>
          <w:color w:val="auto"/>
          <w:highlight w:val="none"/>
        </w:rPr>
        <w:t>冲击、压力、趋势与机遇（含新兴</w:t>
      </w:r>
      <w:r>
        <w:rPr>
          <w:rFonts w:hint="eastAsia"/>
          <w:color w:val="auto"/>
          <w:highlight w:val="none"/>
        </w:rPr>
        <w:t>风险</w:t>
      </w:r>
      <w:r>
        <w:rPr>
          <w:color w:val="auto"/>
          <w:highlight w:val="none"/>
        </w:rPr>
        <w:t>、未来风险），</w:t>
      </w:r>
      <w:r>
        <w:rPr>
          <w:rFonts w:hint="eastAsia"/>
          <w:color w:val="auto"/>
          <w:highlight w:val="none"/>
        </w:rPr>
        <w:t>分析各类</w:t>
      </w:r>
      <w:r>
        <w:rPr>
          <w:color w:val="auto"/>
          <w:highlight w:val="none"/>
        </w:rPr>
        <w:t>因素在城市韧性系统中引发的</w:t>
      </w:r>
      <w:r>
        <w:rPr>
          <w:rFonts w:hint="eastAsia"/>
          <w:color w:val="auto"/>
          <w:highlight w:val="none"/>
        </w:rPr>
        <w:t>级联</w:t>
      </w:r>
      <w:r>
        <w:rPr>
          <w:color w:val="auto"/>
          <w:highlight w:val="none"/>
        </w:rPr>
        <w:t>影响；</w:t>
      </w:r>
    </w:p>
    <w:p w14:paraId="361266D4">
      <w:pPr>
        <w:pStyle w:val="177"/>
        <w:numPr>
          <w:ilvl w:val="0"/>
          <w:numId w:val="53"/>
        </w:numPr>
        <w:bidi w:val="0"/>
        <w:ind w:left="851" w:leftChars="0" w:hanging="426" w:firstLineChars="0"/>
        <w:rPr>
          <w:color w:val="auto"/>
          <w:highlight w:val="none"/>
        </w:rPr>
      </w:pPr>
      <w:r>
        <w:rPr>
          <w:rFonts w:hint="eastAsia"/>
          <w:color w:val="auto"/>
          <w:highlight w:val="none"/>
        </w:rPr>
        <w:t>采用</w:t>
      </w:r>
      <w:r>
        <w:rPr>
          <w:color w:val="auto"/>
          <w:highlight w:val="none"/>
        </w:rPr>
        <w:t>客观</w:t>
      </w:r>
      <w:r>
        <w:rPr>
          <w:rFonts w:hint="eastAsia"/>
          <w:color w:val="auto"/>
          <w:highlight w:val="none"/>
        </w:rPr>
        <w:t>、</w:t>
      </w:r>
      <w:r>
        <w:rPr>
          <w:color w:val="auto"/>
          <w:highlight w:val="none"/>
        </w:rPr>
        <w:t>可验证</w:t>
      </w:r>
      <w:r>
        <w:rPr>
          <w:rFonts w:hint="eastAsia"/>
          <w:color w:val="auto"/>
          <w:highlight w:val="none"/>
        </w:rPr>
        <w:t>的</w:t>
      </w:r>
      <w:r>
        <w:rPr>
          <w:color w:val="auto"/>
          <w:highlight w:val="none"/>
        </w:rPr>
        <w:t>指标（定量、定性或</w:t>
      </w:r>
      <w:r>
        <w:rPr>
          <w:rFonts w:hint="eastAsia"/>
          <w:color w:val="auto"/>
          <w:highlight w:val="none"/>
        </w:rPr>
        <w:t>组合指标</w:t>
      </w:r>
      <w:r>
        <w:rPr>
          <w:color w:val="auto"/>
          <w:highlight w:val="none"/>
        </w:rPr>
        <w:t>），对</w:t>
      </w:r>
      <w:bookmarkStart w:id="113" w:name="OLE_LINK2"/>
      <w:r>
        <w:rPr>
          <w:color w:val="auto"/>
          <w:highlight w:val="none"/>
        </w:rPr>
        <w:t>城市系统在韧性方面展现的优劣势以及面临的机遇与威胁</w:t>
      </w:r>
      <w:bookmarkEnd w:id="113"/>
      <w:r>
        <w:rPr>
          <w:rFonts w:hint="eastAsia"/>
          <w:color w:val="auto"/>
          <w:highlight w:val="none"/>
        </w:rPr>
        <w:t>进行</w:t>
      </w:r>
      <w:r>
        <w:rPr>
          <w:color w:val="auto"/>
          <w:highlight w:val="none"/>
        </w:rPr>
        <w:t>评估</w:t>
      </w:r>
      <w:r>
        <w:rPr>
          <w:rFonts w:hint="eastAsia"/>
          <w:color w:val="auto"/>
          <w:highlight w:val="none"/>
        </w:rPr>
        <w:t>研判</w:t>
      </w:r>
      <w:r>
        <w:rPr>
          <w:color w:val="auto"/>
          <w:highlight w:val="none"/>
        </w:rPr>
        <w:t>。</w:t>
      </w:r>
    </w:p>
    <w:p w14:paraId="6C3B5420">
      <w:pPr>
        <w:pStyle w:val="108"/>
        <w:spacing w:before="156" w:after="156"/>
        <w:rPr>
          <w:color w:val="auto"/>
          <w:highlight w:val="none"/>
        </w:rPr>
      </w:pPr>
      <w:bookmarkStart w:id="114" w:name="_Toc20121"/>
      <w:bookmarkEnd w:id="114"/>
      <w:bookmarkStart w:id="115" w:name="_Toc206170530"/>
      <w:bookmarkStart w:id="116" w:name="_Toc29525"/>
      <w:bookmarkStart w:id="117" w:name="_Toc29420"/>
      <w:bookmarkStart w:id="118" w:name="_Toc16567"/>
      <w:r>
        <w:rPr>
          <w:color w:val="auto"/>
          <w:highlight w:val="none"/>
        </w:rPr>
        <w:t>系统价值与效益</w:t>
      </w:r>
      <w:bookmarkEnd w:id="115"/>
      <w:bookmarkEnd w:id="116"/>
      <w:bookmarkEnd w:id="117"/>
      <w:bookmarkEnd w:id="118"/>
    </w:p>
    <w:p w14:paraId="03A9CDD1">
      <w:pPr>
        <w:pStyle w:val="59"/>
        <w:ind w:firstLine="420"/>
        <w:rPr>
          <w:color w:val="auto"/>
          <w:highlight w:val="none"/>
        </w:rPr>
      </w:pPr>
      <w:r>
        <w:rPr>
          <w:rFonts w:hint="eastAsia"/>
          <w:color w:val="auto"/>
          <w:highlight w:val="none"/>
        </w:rPr>
        <w:t>战略团队</w:t>
      </w:r>
      <w:r>
        <w:rPr>
          <w:color w:val="auto"/>
          <w:highlight w:val="none"/>
        </w:rPr>
        <w:t>与指导</w:t>
      </w:r>
      <w:r>
        <w:rPr>
          <w:rFonts w:hint="eastAsia"/>
          <w:color w:val="auto"/>
          <w:highlight w:val="none"/>
        </w:rPr>
        <w:t>委员会宜以科学研判与风险评估为导向，制定</w:t>
      </w:r>
      <w:r>
        <w:rPr>
          <w:color w:val="auto"/>
          <w:highlight w:val="none"/>
        </w:rPr>
        <w:t>城市韧性战略</w:t>
      </w:r>
      <w:r>
        <w:rPr>
          <w:rFonts w:hint="eastAsia"/>
          <w:color w:val="auto"/>
          <w:highlight w:val="none"/>
        </w:rPr>
        <w:t>，</w:t>
      </w:r>
      <w:r>
        <w:rPr>
          <w:color w:val="auto"/>
          <w:highlight w:val="none"/>
        </w:rPr>
        <w:t>量化冲击</w:t>
      </w:r>
      <w:r>
        <w:rPr>
          <w:rFonts w:hint="eastAsia"/>
          <w:color w:val="auto"/>
          <w:highlight w:val="none"/>
        </w:rPr>
        <w:t>、</w:t>
      </w:r>
      <w:r>
        <w:rPr>
          <w:color w:val="auto"/>
          <w:highlight w:val="none"/>
        </w:rPr>
        <w:t>压力对愿景落地</w:t>
      </w:r>
      <w:r>
        <w:rPr>
          <w:rFonts w:hint="eastAsia"/>
          <w:color w:val="auto"/>
          <w:highlight w:val="none"/>
        </w:rPr>
        <w:t>及城市社会目标</w:t>
      </w:r>
      <w:r>
        <w:rPr>
          <w:color w:val="auto"/>
          <w:highlight w:val="none"/>
        </w:rPr>
        <w:t>达成的潜在影响。</w:t>
      </w:r>
      <w:r>
        <w:rPr>
          <w:rFonts w:hint="eastAsia"/>
          <w:color w:val="auto"/>
          <w:highlight w:val="none"/>
        </w:rPr>
        <w:t>评估</w:t>
      </w:r>
      <w:r>
        <w:rPr>
          <w:color w:val="auto"/>
          <w:highlight w:val="none"/>
        </w:rPr>
        <w:t>城市韧性战略</w:t>
      </w:r>
      <w:r>
        <w:rPr>
          <w:rFonts w:hint="eastAsia"/>
          <w:color w:val="auto"/>
          <w:highlight w:val="none"/>
        </w:rPr>
        <w:t>所带来</w:t>
      </w:r>
      <w:r>
        <w:rPr>
          <w:color w:val="auto"/>
          <w:highlight w:val="none"/>
        </w:rPr>
        <w:t>的效益</w:t>
      </w:r>
      <w:r>
        <w:rPr>
          <w:rFonts w:hint="eastAsia"/>
          <w:color w:val="auto"/>
          <w:highlight w:val="none"/>
        </w:rPr>
        <w:t>时</w:t>
      </w:r>
      <w:r>
        <w:rPr>
          <w:color w:val="auto"/>
          <w:highlight w:val="none"/>
        </w:rPr>
        <w:t>，</w:t>
      </w:r>
      <w:r>
        <w:rPr>
          <w:rFonts w:hint="eastAsia"/>
          <w:color w:val="auto"/>
          <w:highlight w:val="none"/>
        </w:rPr>
        <w:t>除</w:t>
      </w:r>
      <w:r>
        <w:rPr>
          <w:color w:val="auto"/>
          <w:highlight w:val="none"/>
        </w:rPr>
        <w:t>考</w:t>
      </w:r>
      <w:r>
        <w:rPr>
          <w:rFonts w:hint="eastAsia"/>
          <w:color w:val="auto"/>
          <w:highlight w:val="none"/>
        </w:rPr>
        <w:t>虑“</w:t>
      </w:r>
      <w:r>
        <w:rPr>
          <w:color w:val="auto"/>
          <w:highlight w:val="none"/>
        </w:rPr>
        <w:t>投资回报率</w:t>
      </w:r>
      <w:r>
        <w:rPr>
          <w:rFonts w:hint="eastAsia"/>
          <w:color w:val="auto"/>
          <w:highlight w:val="none"/>
        </w:rPr>
        <w:t>”外</w:t>
      </w:r>
      <w:r>
        <w:rPr>
          <w:color w:val="auto"/>
          <w:highlight w:val="none"/>
        </w:rPr>
        <w:t>，</w:t>
      </w:r>
      <w:r>
        <w:rPr>
          <w:rFonts w:hint="eastAsia"/>
          <w:color w:val="auto"/>
          <w:highlight w:val="none"/>
        </w:rPr>
        <w:t>还应兼顾更广泛</w:t>
      </w:r>
      <w:r>
        <w:rPr>
          <w:color w:val="auto"/>
          <w:highlight w:val="none"/>
        </w:rPr>
        <w:t>的城市社会</w:t>
      </w:r>
      <w:r>
        <w:rPr>
          <w:rFonts w:hint="eastAsia"/>
          <w:color w:val="auto"/>
          <w:highlight w:val="none"/>
        </w:rPr>
        <w:t>效益</w:t>
      </w:r>
      <w:r>
        <w:rPr>
          <w:color w:val="auto"/>
          <w:highlight w:val="none"/>
        </w:rPr>
        <w:t>以及城市韧性</w:t>
      </w:r>
      <w:r>
        <w:rPr>
          <w:rFonts w:hint="eastAsia"/>
          <w:color w:val="auto"/>
          <w:highlight w:val="none"/>
        </w:rPr>
        <w:t>全</w:t>
      </w:r>
      <w:r>
        <w:rPr>
          <w:color w:val="auto"/>
          <w:highlight w:val="none"/>
        </w:rPr>
        <w:t>维度</w:t>
      </w:r>
      <w:r>
        <w:rPr>
          <w:rFonts w:hint="eastAsia"/>
          <w:color w:val="auto"/>
          <w:highlight w:val="none"/>
        </w:rPr>
        <w:t>，包括民生</w:t>
      </w:r>
      <w:r>
        <w:rPr>
          <w:color w:val="auto"/>
          <w:highlight w:val="none"/>
        </w:rPr>
        <w:t>福祉、生态系统，以及保障后代发展需求的能力。</w:t>
      </w:r>
    </w:p>
    <w:p w14:paraId="4C32BEA5">
      <w:pPr>
        <w:pStyle w:val="108"/>
        <w:spacing w:before="156" w:after="156"/>
        <w:rPr>
          <w:color w:val="auto"/>
          <w:highlight w:val="none"/>
        </w:rPr>
      </w:pPr>
      <w:bookmarkStart w:id="119" w:name="_Toc31610"/>
      <w:bookmarkEnd w:id="119"/>
      <w:bookmarkStart w:id="120" w:name="_Toc17629"/>
      <w:bookmarkStart w:id="121" w:name="_Toc8788"/>
      <w:r>
        <w:rPr>
          <w:color w:val="auto"/>
          <w:highlight w:val="none"/>
        </w:rPr>
        <w:t>系统定义与</w:t>
      </w:r>
      <w:r>
        <w:rPr>
          <w:rFonts w:hint="eastAsia"/>
          <w:color w:val="auto"/>
          <w:highlight w:val="none"/>
        </w:rPr>
        <w:t>理解</w:t>
      </w:r>
      <w:bookmarkEnd w:id="120"/>
      <w:bookmarkEnd w:id="121"/>
    </w:p>
    <w:p w14:paraId="6E9FBCD4">
      <w:pPr>
        <w:pStyle w:val="68"/>
        <w:spacing w:before="156" w:after="156"/>
        <w:rPr>
          <w:bCs/>
          <w:color w:val="auto"/>
          <w:highlight w:val="none"/>
        </w:rPr>
      </w:pPr>
      <w:bookmarkStart w:id="122" w:name="_Toc14126"/>
      <w:bookmarkEnd w:id="122"/>
      <w:r>
        <w:rPr>
          <w:color w:val="auto"/>
          <w:highlight w:val="none"/>
        </w:rPr>
        <w:t>系统</w:t>
      </w:r>
      <w:r>
        <w:rPr>
          <w:rFonts w:hint="eastAsia"/>
          <w:color w:val="auto"/>
          <w:highlight w:val="none"/>
        </w:rPr>
        <w:t>图谱绘制</w:t>
      </w:r>
    </w:p>
    <w:p w14:paraId="139CAA8A">
      <w:pPr>
        <w:pStyle w:val="167"/>
        <w:bidi w:val="0"/>
        <w:rPr>
          <w:color w:val="auto"/>
          <w:highlight w:val="none"/>
        </w:rPr>
      </w:pPr>
      <w:r>
        <w:rPr>
          <w:color w:val="auto"/>
          <w:highlight w:val="none"/>
        </w:rPr>
        <w:t>城市区域是由多个相互关联子系统构成的复杂系统，各子系统通过协同作用保障城市区域的核心使命与价值产出。</w:t>
      </w:r>
      <w:r>
        <w:rPr>
          <w:rFonts w:hint="eastAsia"/>
          <w:color w:val="auto"/>
          <w:highlight w:val="none"/>
        </w:rPr>
        <w:t>应</w:t>
      </w:r>
      <w:r>
        <w:rPr>
          <w:color w:val="auto"/>
          <w:highlight w:val="none"/>
        </w:rPr>
        <w:t>梳理城市</w:t>
      </w:r>
      <w:r>
        <w:rPr>
          <w:rFonts w:hint="eastAsia"/>
          <w:color w:val="auto"/>
          <w:highlight w:val="none"/>
        </w:rPr>
        <w:t>区域</w:t>
      </w:r>
      <w:r>
        <w:rPr>
          <w:color w:val="auto"/>
          <w:highlight w:val="none"/>
        </w:rPr>
        <w:t>内部</w:t>
      </w:r>
      <w:r>
        <w:rPr>
          <w:rFonts w:hint="eastAsia"/>
          <w:color w:val="auto"/>
          <w:highlight w:val="none"/>
        </w:rPr>
        <w:t>及其边界处</w:t>
      </w:r>
      <w:r>
        <w:rPr>
          <w:color w:val="auto"/>
          <w:highlight w:val="none"/>
        </w:rPr>
        <w:t>的相互依</w:t>
      </w:r>
      <w:r>
        <w:rPr>
          <w:rFonts w:hint="eastAsia"/>
          <w:color w:val="auto"/>
          <w:highlight w:val="none"/>
        </w:rPr>
        <w:t>赖</w:t>
      </w:r>
      <w:r>
        <w:rPr>
          <w:color w:val="auto"/>
          <w:highlight w:val="none"/>
        </w:rPr>
        <w:t>关系，并将其纳入城市韧性评估体系。</w:t>
      </w:r>
    </w:p>
    <w:p w14:paraId="7CCD04E6">
      <w:pPr>
        <w:pStyle w:val="167"/>
        <w:bidi w:val="0"/>
        <w:rPr>
          <w:color w:val="auto"/>
          <w:highlight w:val="none"/>
        </w:rPr>
      </w:pPr>
      <w:r>
        <w:rPr>
          <w:color w:val="auto"/>
          <w:highlight w:val="none"/>
        </w:rPr>
        <w:t>城市韧性负责人与指导</w:t>
      </w:r>
      <w:r>
        <w:rPr>
          <w:rFonts w:hint="eastAsia"/>
          <w:color w:val="auto"/>
          <w:highlight w:val="none"/>
        </w:rPr>
        <w:t>委员会宜</w:t>
      </w:r>
      <w:r>
        <w:rPr>
          <w:color w:val="auto"/>
          <w:highlight w:val="none"/>
        </w:rPr>
        <w:t>在评估启动阶段完成以下工作：</w:t>
      </w:r>
    </w:p>
    <w:p w14:paraId="31F94491">
      <w:pPr>
        <w:pStyle w:val="177"/>
        <w:numPr>
          <w:ilvl w:val="0"/>
          <w:numId w:val="54"/>
        </w:numPr>
        <w:bidi w:val="0"/>
        <w:ind w:left="851" w:leftChars="0" w:hanging="426" w:firstLineChars="0"/>
        <w:rPr>
          <w:color w:val="auto"/>
          <w:highlight w:val="none"/>
        </w:rPr>
      </w:pPr>
      <w:r>
        <w:rPr>
          <w:color w:val="auto"/>
          <w:highlight w:val="none"/>
        </w:rPr>
        <w:t>基于</w:t>
      </w:r>
      <w:r>
        <w:rPr>
          <w:rFonts w:hint="eastAsia"/>
          <w:color w:val="auto"/>
          <w:highlight w:val="none"/>
        </w:rPr>
        <w:t>现有的自然</w:t>
      </w:r>
      <w:r>
        <w:rPr>
          <w:color w:val="auto"/>
          <w:highlight w:val="none"/>
        </w:rPr>
        <w:t>地理边界、城市行政边界或人口分布边界，</w:t>
      </w:r>
      <w:r>
        <w:rPr>
          <w:rFonts w:hint="eastAsia"/>
          <w:color w:val="auto"/>
          <w:highlight w:val="none"/>
        </w:rPr>
        <w:t>划定</w:t>
      </w:r>
      <w:r>
        <w:rPr>
          <w:color w:val="auto"/>
          <w:highlight w:val="none"/>
        </w:rPr>
        <w:t>城市区域</w:t>
      </w:r>
      <w:r>
        <w:rPr>
          <w:rFonts w:hint="eastAsia"/>
          <w:color w:val="auto"/>
          <w:highlight w:val="none"/>
        </w:rPr>
        <w:t>的</w:t>
      </w:r>
      <w:r>
        <w:rPr>
          <w:color w:val="auto"/>
          <w:highlight w:val="none"/>
        </w:rPr>
        <w:t>范围；</w:t>
      </w:r>
    </w:p>
    <w:p w14:paraId="5A6497A4">
      <w:pPr>
        <w:pStyle w:val="177"/>
        <w:numPr>
          <w:ilvl w:val="0"/>
          <w:numId w:val="54"/>
        </w:numPr>
        <w:bidi w:val="0"/>
        <w:ind w:left="851" w:leftChars="0" w:hanging="426" w:firstLineChars="0"/>
        <w:rPr>
          <w:color w:val="auto"/>
          <w:highlight w:val="none"/>
        </w:rPr>
      </w:pPr>
      <w:r>
        <w:rPr>
          <w:color w:val="auto"/>
          <w:highlight w:val="none"/>
        </w:rPr>
        <w:t>识别并绘制</w:t>
      </w:r>
      <w:r>
        <w:rPr>
          <w:rFonts w:hint="eastAsia"/>
          <w:color w:val="auto"/>
          <w:highlight w:val="none"/>
        </w:rPr>
        <w:t>城市区域</w:t>
      </w:r>
      <w:r>
        <w:rPr>
          <w:color w:val="auto"/>
          <w:highlight w:val="none"/>
        </w:rPr>
        <w:t>的系统</w:t>
      </w:r>
      <w:r>
        <w:rPr>
          <w:rFonts w:hint="eastAsia"/>
          <w:color w:val="auto"/>
          <w:highlight w:val="none"/>
        </w:rPr>
        <w:t>图谱（</w:t>
      </w:r>
      <w:r>
        <w:rPr>
          <w:color w:val="auto"/>
          <w:highlight w:val="none"/>
        </w:rPr>
        <w:t>涵盖基础设施</w:t>
      </w:r>
      <w:r>
        <w:rPr>
          <w:rFonts w:hint="eastAsia"/>
          <w:color w:val="auto"/>
          <w:highlight w:val="none"/>
        </w:rPr>
        <w:t>与资源环境、</w:t>
      </w:r>
      <w:r>
        <w:rPr>
          <w:color w:val="auto"/>
          <w:highlight w:val="none"/>
        </w:rPr>
        <w:t>社区</w:t>
      </w:r>
      <w:r>
        <w:rPr>
          <w:rFonts w:hint="eastAsia"/>
          <w:color w:val="auto"/>
          <w:highlight w:val="none"/>
        </w:rPr>
        <w:t>与公众、治理与公共服务、生产经营与商业服务，</w:t>
      </w:r>
      <w:r>
        <w:rPr>
          <w:color w:val="auto"/>
          <w:highlight w:val="none"/>
        </w:rPr>
        <w:t>见图4</w:t>
      </w:r>
      <w:r>
        <w:rPr>
          <w:rFonts w:hint="eastAsia"/>
          <w:color w:val="auto"/>
          <w:highlight w:val="none"/>
        </w:rPr>
        <w:t>）</w:t>
      </w:r>
      <w:r>
        <w:rPr>
          <w:color w:val="auto"/>
          <w:highlight w:val="none"/>
        </w:rPr>
        <w:t>；</w:t>
      </w:r>
    </w:p>
    <w:p w14:paraId="26DCBEA8">
      <w:pPr>
        <w:pStyle w:val="177"/>
        <w:numPr>
          <w:ilvl w:val="0"/>
          <w:numId w:val="54"/>
        </w:numPr>
        <w:bidi w:val="0"/>
        <w:ind w:left="851" w:leftChars="0" w:hanging="426" w:firstLineChars="0"/>
        <w:rPr>
          <w:color w:val="auto"/>
          <w:highlight w:val="none"/>
        </w:rPr>
      </w:pPr>
      <w:r>
        <w:rPr>
          <w:rFonts w:hint="eastAsia"/>
          <w:color w:val="auto"/>
          <w:highlight w:val="none"/>
        </w:rPr>
        <w:t>重点</w:t>
      </w:r>
      <w:r>
        <w:rPr>
          <w:color w:val="auto"/>
          <w:highlight w:val="none"/>
        </w:rPr>
        <w:t>关注更易受风险冲击的弱势群体与社区。</w:t>
      </w:r>
    </w:p>
    <w:p w14:paraId="29912957">
      <w:pPr>
        <w:pStyle w:val="59"/>
        <w:ind w:firstLine="420"/>
        <w:jc w:val="center"/>
        <w:rPr>
          <w:color w:val="auto"/>
          <w:highlight w:val="none"/>
        </w:rPr>
      </w:pPr>
    </w:p>
    <w:p w14:paraId="7FCBAD67">
      <w:pPr>
        <w:pStyle w:val="59"/>
        <w:ind w:firstLine="420"/>
        <w:jc w:val="center"/>
        <w:rPr>
          <w:color w:val="auto"/>
          <w:highlight w:val="none"/>
        </w:rPr>
      </w:pPr>
      <w:r>
        <w:rPr>
          <w:color w:val="auto"/>
          <w:highlight w:val="none"/>
        </w:rPr>
        <w:drawing>
          <wp:inline distT="0" distB="0" distL="0" distR="0">
            <wp:extent cx="4358005" cy="4355465"/>
            <wp:effectExtent l="0" t="0" r="4445" b="6985"/>
            <wp:docPr id="156944764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447641" name="图片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4358554" cy="4356000"/>
                    </a:xfrm>
                    <a:prstGeom prst="rect">
                      <a:avLst/>
                    </a:prstGeom>
                    <a:noFill/>
                  </pic:spPr>
                </pic:pic>
              </a:graphicData>
            </a:graphic>
          </wp:inline>
        </w:drawing>
      </w:r>
    </w:p>
    <w:p w14:paraId="6E14B16A">
      <w:pPr>
        <w:pStyle w:val="117"/>
        <w:numPr>
          <w:ilvl w:val="0"/>
          <w:numId w:val="17"/>
        </w:numPr>
        <w:spacing w:before="156" w:after="156"/>
        <w:rPr>
          <w:bCs/>
          <w:color w:val="auto"/>
          <w:highlight w:val="none"/>
        </w:rPr>
      </w:pPr>
      <w:r>
        <w:rPr>
          <w:color w:val="auto"/>
          <w:highlight w:val="none"/>
        </w:rPr>
        <w:t>城市</w:t>
      </w:r>
      <w:r>
        <w:rPr>
          <w:rFonts w:hint="eastAsia"/>
          <w:color w:val="auto"/>
          <w:highlight w:val="none"/>
        </w:rPr>
        <w:t>社会</w:t>
      </w:r>
      <w:r>
        <w:rPr>
          <w:color w:val="auto"/>
          <w:highlight w:val="none"/>
        </w:rPr>
        <w:t>目标与价值系统示例</w:t>
      </w:r>
    </w:p>
    <w:p w14:paraId="53B8E1C4">
      <w:pPr>
        <w:pStyle w:val="182"/>
        <w:rPr>
          <w:color w:val="auto"/>
          <w:highlight w:val="none"/>
        </w:rPr>
      </w:pPr>
      <w:r>
        <w:rPr>
          <w:rFonts w:hint="eastAsia"/>
          <w:color w:val="auto"/>
          <w:highlight w:val="none"/>
        </w:rPr>
        <w:t>图来自</w:t>
      </w:r>
      <w:r>
        <w:rPr>
          <w:color w:val="auto"/>
          <w:highlight w:val="none"/>
        </w:rPr>
        <w:t>BS 67000:2019，经</w:t>
      </w:r>
      <w:r>
        <w:rPr>
          <w:rFonts w:hint="eastAsia"/>
          <w:color w:val="auto"/>
          <w:highlight w:val="none"/>
        </w:rPr>
        <w:t>版权方</w:t>
      </w:r>
      <w:r>
        <w:rPr>
          <w:color w:val="auto"/>
          <w:highlight w:val="none"/>
        </w:rPr>
        <w:t>授权转载。</w:t>
      </w:r>
    </w:p>
    <w:p w14:paraId="15955A70">
      <w:pPr>
        <w:pStyle w:val="167"/>
        <w:bidi w:val="0"/>
        <w:rPr>
          <w:color w:val="auto"/>
          <w:highlight w:val="none"/>
        </w:rPr>
      </w:pPr>
      <w:r>
        <w:rPr>
          <w:rFonts w:hint="eastAsia"/>
          <w:color w:val="auto"/>
          <w:highlight w:val="none"/>
        </w:rPr>
        <w:t>上述</w:t>
      </w:r>
      <w:r>
        <w:rPr>
          <w:color w:val="auto"/>
          <w:highlight w:val="none"/>
        </w:rPr>
        <w:t>系统可在地理信息系统</w:t>
      </w:r>
      <w:r>
        <w:rPr>
          <w:rFonts w:hint="eastAsia"/>
          <w:color w:val="auto"/>
          <w:highlight w:val="none"/>
        </w:rPr>
        <w:t>（</w:t>
      </w:r>
      <w:r>
        <w:rPr>
          <w:color w:val="auto"/>
          <w:highlight w:val="none"/>
        </w:rPr>
        <w:t>GIS</w:t>
      </w:r>
      <w:r>
        <w:rPr>
          <w:rFonts w:hint="eastAsia"/>
          <w:color w:val="auto"/>
          <w:highlight w:val="none"/>
        </w:rPr>
        <w:t>）</w:t>
      </w:r>
      <w:r>
        <w:rPr>
          <w:color w:val="auto"/>
          <w:highlight w:val="none"/>
        </w:rPr>
        <w:t>中进行</w:t>
      </w:r>
      <w:r>
        <w:rPr>
          <w:rFonts w:hint="eastAsia"/>
          <w:color w:val="auto"/>
          <w:highlight w:val="none"/>
        </w:rPr>
        <w:t>图谱</w:t>
      </w:r>
      <w:r>
        <w:rPr>
          <w:color w:val="auto"/>
          <w:highlight w:val="none"/>
        </w:rPr>
        <w:t>建模，将暴露</w:t>
      </w:r>
      <w:r>
        <w:rPr>
          <w:rFonts w:hint="eastAsia"/>
          <w:color w:val="auto"/>
          <w:highlight w:val="none"/>
        </w:rPr>
        <w:t>度</w:t>
      </w:r>
      <w:r>
        <w:rPr>
          <w:color w:val="auto"/>
          <w:highlight w:val="none"/>
        </w:rPr>
        <w:t>与特定冲击</w:t>
      </w:r>
      <w:r>
        <w:rPr>
          <w:rFonts w:hint="eastAsia"/>
          <w:color w:val="auto"/>
          <w:highlight w:val="none"/>
        </w:rPr>
        <w:t>和</w:t>
      </w:r>
      <w:r>
        <w:rPr>
          <w:color w:val="auto"/>
          <w:highlight w:val="none"/>
        </w:rPr>
        <w:t>压力因素叠加分析。</w:t>
      </w:r>
    </w:p>
    <w:p w14:paraId="65C1E7AF">
      <w:pPr>
        <w:pStyle w:val="68"/>
        <w:spacing w:before="156" w:after="156"/>
        <w:rPr>
          <w:bCs/>
          <w:color w:val="auto"/>
          <w:highlight w:val="none"/>
        </w:rPr>
      </w:pPr>
      <w:bookmarkStart w:id="123" w:name="_Toc1647"/>
      <w:bookmarkEnd w:id="123"/>
      <w:bookmarkStart w:id="124" w:name="_Toc23692"/>
      <w:r>
        <w:rPr>
          <w:color w:val="auto"/>
          <w:highlight w:val="none"/>
        </w:rPr>
        <w:t>相互依</w:t>
      </w:r>
      <w:r>
        <w:rPr>
          <w:rFonts w:hint="eastAsia"/>
          <w:color w:val="auto"/>
          <w:highlight w:val="none"/>
        </w:rPr>
        <w:t>赖</w:t>
      </w:r>
      <w:r>
        <w:rPr>
          <w:color w:val="auto"/>
          <w:highlight w:val="none"/>
        </w:rPr>
        <w:t>关系与关键组成部分</w:t>
      </w:r>
      <w:bookmarkEnd w:id="124"/>
    </w:p>
    <w:p w14:paraId="5D6CB3D3">
      <w:pPr>
        <w:pStyle w:val="59"/>
        <w:ind w:firstLine="420"/>
        <w:rPr>
          <w:color w:val="auto"/>
          <w:highlight w:val="none"/>
        </w:rPr>
      </w:pPr>
      <w:r>
        <w:rPr>
          <w:rFonts w:hint="eastAsia"/>
          <w:color w:val="auto"/>
          <w:highlight w:val="none"/>
        </w:rPr>
        <w:t>战略团队宜完成以下工作</w:t>
      </w:r>
      <w:r>
        <w:rPr>
          <w:color w:val="auto"/>
          <w:highlight w:val="none"/>
        </w:rPr>
        <w:t>：</w:t>
      </w:r>
    </w:p>
    <w:p w14:paraId="2ED7963F">
      <w:pPr>
        <w:pStyle w:val="177"/>
        <w:numPr>
          <w:ilvl w:val="0"/>
          <w:numId w:val="55"/>
        </w:numPr>
        <w:bidi w:val="0"/>
        <w:ind w:left="851" w:leftChars="0" w:hanging="426" w:firstLineChars="0"/>
        <w:rPr>
          <w:color w:val="auto"/>
          <w:highlight w:val="none"/>
        </w:rPr>
      </w:pPr>
      <w:r>
        <w:rPr>
          <w:rFonts w:hint="eastAsia"/>
          <w:color w:val="auto"/>
          <w:highlight w:val="none"/>
        </w:rPr>
        <w:t>识别关键功能和组成部分（由责任机构界定）</w:t>
      </w:r>
      <w:r>
        <w:rPr>
          <w:color w:val="auto"/>
          <w:highlight w:val="none"/>
        </w:rPr>
        <w:t>；</w:t>
      </w:r>
    </w:p>
    <w:p w14:paraId="202AF637">
      <w:pPr>
        <w:pStyle w:val="177"/>
        <w:numPr>
          <w:ilvl w:val="0"/>
          <w:numId w:val="55"/>
        </w:numPr>
        <w:bidi w:val="0"/>
        <w:ind w:left="851" w:leftChars="0" w:hanging="426" w:firstLineChars="0"/>
        <w:rPr>
          <w:color w:val="auto"/>
          <w:highlight w:val="none"/>
        </w:rPr>
      </w:pPr>
      <w:r>
        <w:rPr>
          <w:color w:val="auto"/>
          <w:highlight w:val="none"/>
        </w:rPr>
        <w:t>依据</w:t>
      </w:r>
      <w:r>
        <w:rPr>
          <w:rFonts w:hint="eastAsia"/>
          <w:color w:val="auto"/>
          <w:highlight w:val="none"/>
        </w:rPr>
        <w:t>各</w:t>
      </w:r>
      <w:r>
        <w:rPr>
          <w:color w:val="auto"/>
          <w:highlight w:val="none"/>
        </w:rPr>
        <w:t>系统对城市整体社会价值贡献</w:t>
      </w:r>
      <w:r>
        <w:rPr>
          <w:rFonts w:hint="eastAsia"/>
          <w:color w:val="auto"/>
          <w:highlight w:val="none"/>
        </w:rPr>
        <w:t>程</w:t>
      </w:r>
      <w:r>
        <w:rPr>
          <w:color w:val="auto"/>
          <w:highlight w:val="none"/>
        </w:rPr>
        <w:t>度（即满足城市区域需求与目标的程度），评估</w:t>
      </w:r>
      <w:r>
        <w:rPr>
          <w:rFonts w:hint="eastAsia"/>
          <w:color w:val="auto"/>
          <w:highlight w:val="none"/>
        </w:rPr>
        <w:t>其</w:t>
      </w:r>
      <w:r>
        <w:rPr>
          <w:color w:val="auto"/>
          <w:highlight w:val="none"/>
        </w:rPr>
        <w:t>重要性</w:t>
      </w:r>
      <w:r>
        <w:rPr>
          <w:rFonts w:hint="eastAsia"/>
          <w:color w:val="auto"/>
          <w:highlight w:val="none"/>
        </w:rPr>
        <w:t>；</w:t>
      </w:r>
    </w:p>
    <w:p w14:paraId="724D25CD">
      <w:pPr>
        <w:pStyle w:val="177"/>
        <w:numPr>
          <w:ilvl w:val="0"/>
          <w:numId w:val="55"/>
        </w:numPr>
        <w:bidi w:val="0"/>
        <w:ind w:left="851" w:leftChars="0" w:hanging="426" w:firstLineChars="0"/>
        <w:rPr>
          <w:color w:val="auto"/>
          <w:highlight w:val="none"/>
        </w:rPr>
      </w:pPr>
      <w:r>
        <w:rPr>
          <w:rFonts w:hint="eastAsia"/>
          <w:color w:val="auto"/>
          <w:highlight w:val="none"/>
        </w:rPr>
        <w:t>分析城市内</w:t>
      </w:r>
      <w:r>
        <w:rPr>
          <w:color w:val="auto"/>
          <w:highlight w:val="none"/>
        </w:rPr>
        <w:t>系统间的相互依</w:t>
      </w:r>
      <w:r>
        <w:rPr>
          <w:rFonts w:hint="eastAsia"/>
          <w:color w:val="auto"/>
          <w:highlight w:val="none"/>
        </w:rPr>
        <w:t>赖</w:t>
      </w:r>
      <w:r>
        <w:rPr>
          <w:color w:val="auto"/>
          <w:highlight w:val="none"/>
        </w:rPr>
        <w:t>关系</w:t>
      </w:r>
      <w:r>
        <w:rPr>
          <w:rFonts w:hint="eastAsia"/>
          <w:color w:val="auto"/>
          <w:highlight w:val="none"/>
        </w:rPr>
        <w:t>，</w:t>
      </w:r>
      <w:r>
        <w:rPr>
          <w:color w:val="auto"/>
          <w:highlight w:val="none"/>
        </w:rPr>
        <w:t>当某系统发生中断或失效，导致城市大部分功能</w:t>
      </w:r>
      <w:r>
        <w:rPr>
          <w:rFonts w:hint="eastAsia"/>
          <w:color w:val="auto"/>
          <w:highlight w:val="none"/>
        </w:rPr>
        <w:t>不能正常运行</w:t>
      </w:r>
      <w:r>
        <w:rPr>
          <w:color w:val="auto"/>
          <w:highlight w:val="none"/>
        </w:rPr>
        <w:t>，</w:t>
      </w:r>
      <w:r>
        <w:rPr>
          <w:rFonts w:hint="eastAsia"/>
          <w:color w:val="auto"/>
          <w:highlight w:val="none"/>
        </w:rPr>
        <w:t>则</w:t>
      </w:r>
      <w:r>
        <w:rPr>
          <w:color w:val="auto"/>
          <w:highlight w:val="none"/>
        </w:rPr>
        <w:t>该系统（如</w:t>
      </w:r>
      <w:r>
        <w:rPr>
          <w:rFonts w:hint="eastAsia"/>
          <w:color w:val="auto"/>
          <w:highlight w:val="none"/>
        </w:rPr>
        <w:t>电力</w:t>
      </w:r>
      <w:r>
        <w:rPr>
          <w:color w:val="auto"/>
          <w:highlight w:val="none"/>
        </w:rPr>
        <w:t>系统、</w:t>
      </w:r>
      <w:r>
        <w:rPr>
          <w:rFonts w:hint="eastAsia"/>
          <w:color w:val="auto"/>
          <w:highlight w:val="none"/>
        </w:rPr>
        <w:t>通信系统）宜判定为高重要度系统</w:t>
      </w:r>
      <w:r>
        <w:rPr>
          <w:color w:val="auto"/>
          <w:highlight w:val="none"/>
        </w:rPr>
        <w:t>；</w:t>
      </w:r>
    </w:p>
    <w:p w14:paraId="6F29A0AC">
      <w:pPr>
        <w:pStyle w:val="177"/>
        <w:numPr>
          <w:ilvl w:val="0"/>
          <w:numId w:val="55"/>
        </w:numPr>
        <w:bidi w:val="0"/>
        <w:ind w:left="851" w:leftChars="0" w:hanging="426" w:firstLineChars="0"/>
        <w:rPr>
          <w:color w:val="auto"/>
          <w:highlight w:val="none"/>
        </w:rPr>
      </w:pPr>
      <w:r>
        <w:rPr>
          <w:color w:val="auto"/>
          <w:highlight w:val="none"/>
        </w:rPr>
        <w:t>在城市韧性评估中，聚焦对韧性建设起关键作用的功能与组成部分；</w:t>
      </w:r>
    </w:p>
    <w:p w14:paraId="65D99325">
      <w:pPr>
        <w:pStyle w:val="177"/>
        <w:numPr>
          <w:ilvl w:val="0"/>
          <w:numId w:val="55"/>
        </w:numPr>
        <w:bidi w:val="0"/>
        <w:ind w:left="851" w:leftChars="0" w:hanging="426" w:firstLineChars="0"/>
        <w:rPr>
          <w:color w:val="auto"/>
          <w:highlight w:val="none"/>
        </w:rPr>
      </w:pPr>
      <w:bookmarkStart w:id="125" w:name="23"/>
      <w:bookmarkEnd w:id="125"/>
      <w:r>
        <w:rPr>
          <w:color w:val="auto"/>
          <w:highlight w:val="none"/>
        </w:rPr>
        <w:t>推进</w:t>
      </w:r>
      <w:r>
        <w:rPr>
          <w:rFonts w:hint="eastAsia"/>
          <w:color w:val="auto"/>
          <w:highlight w:val="none"/>
        </w:rPr>
        <w:t>多方</w:t>
      </w:r>
      <w:r>
        <w:rPr>
          <w:color w:val="auto"/>
          <w:highlight w:val="none"/>
        </w:rPr>
        <w:t>协作，</w:t>
      </w:r>
      <w:r>
        <w:rPr>
          <w:rFonts w:hint="eastAsia"/>
          <w:color w:val="auto"/>
          <w:highlight w:val="none"/>
        </w:rPr>
        <w:t>针对</w:t>
      </w:r>
      <w:r>
        <w:rPr>
          <w:color w:val="auto"/>
          <w:highlight w:val="none"/>
        </w:rPr>
        <w:t>共享流程</w:t>
      </w:r>
      <w:r>
        <w:rPr>
          <w:rFonts w:hint="eastAsia"/>
          <w:color w:val="auto"/>
          <w:highlight w:val="none"/>
        </w:rPr>
        <w:t>，</w:t>
      </w:r>
      <w:r>
        <w:rPr>
          <w:color w:val="auto"/>
          <w:highlight w:val="none"/>
        </w:rPr>
        <w:t>明确</w:t>
      </w:r>
      <w:r>
        <w:rPr>
          <w:rFonts w:hint="eastAsia"/>
          <w:color w:val="auto"/>
          <w:highlight w:val="none"/>
        </w:rPr>
        <w:t>参与</w:t>
      </w:r>
      <w:r>
        <w:rPr>
          <w:color w:val="auto"/>
          <w:highlight w:val="none"/>
        </w:rPr>
        <w:t>角色</w:t>
      </w:r>
      <w:r>
        <w:rPr>
          <w:rFonts w:hint="eastAsia"/>
          <w:color w:val="auto"/>
          <w:highlight w:val="none"/>
        </w:rPr>
        <w:t>、</w:t>
      </w:r>
      <w:r>
        <w:rPr>
          <w:color w:val="auto"/>
          <w:highlight w:val="none"/>
        </w:rPr>
        <w:t>人员</w:t>
      </w:r>
      <w:r>
        <w:rPr>
          <w:rFonts w:hint="eastAsia"/>
          <w:color w:val="auto"/>
          <w:highlight w:val="none"/>
        </w:rPr>
        <w:t>职责</w:t>
      </w:r>
      <w:r>
        <w:rPr>
          <w:color w:val="auto"/>
          <w:highlight w:val="none"/>
        </w:rPr>
        <w:t>、行动</w:t>
      </w:r>
      <w:r>
        <w:rPr>
          <w:rFonts w:hint="eastAsia"/>
          <w:color w:val="auto"/>
          <w:highlight w:val="none"/>
        </w:rPr>
        <w:t>流程</w:t>
      </w:r>
      <w:r>
        <w:rPr>
          <w:color w:val="auto"/>
          <w:highlight w:val="none"/>
        </w:rPr>
        <w:t>、前置条件</w:t>
      </w:r>
      <w:r>
        <w:rPr>
          <w:rFonts w:hint="eastAsia"/>
          <w:color w:val="auto"/>
          <w:highlight w:val="none"/>
        </w:rPr>
        <w:t>和</w:t>
      </w:r>
      <w:r>
        <w:rPr>
          <w:color w:val="auto"/>
          <w:highlight w:val="none"/>
        </w:rPr>
        <w:t>规则体系，从社会和技术两个层面加深对</w:t>
      </w:r>
      <w:r>
        <w:rPr>
          <w:rFonts w:hint="eastAsia"/>
          <w:color w:val="auto"/>
          <w:highlight w:val="none"/>
        </w:rPr>
        <w:t>城市内</w:t>
      </w:r>
      <w:r>
        <w:rPr>
          <w:color w:val="auto"/>
          <w:highlight w:val="none"/>
        </w:rPr>
        <w:t>系统间的相互依</w:t>
      </w:r>
      <w:r>
        <w:rPr>
          <w:rFonts w:hint="eastAsia"/>
          <w:color w:val="auto"/>
          <w:highlight w:val="none"/>
        </w:rPr>
        <w:t>赖</w:t>
      </w:r>
      <w:r>
        <w:rPr>
          <w:color w:val="auto"/>
          <w:highlight w:val="none"/>
        </w:rPr>
        <w:t>关系</w:t>
      </w:r>
      <w:r>
        <w:rPr>
          <w:rFonts w:hint="eastAsia"/>
          <w:color w:val="auto"/>
          <w:highlight w:val="none"/>
        </w:rPr>
        <w:t>和</w:t>
      </w:r>
      <w:r>
        <w:rPr>
          <w:color w:val="auto"/>
          <w:highlight w:val="none"/>
        </w:rPr>
        <w:t>关键组成部分的理解；</w:t>
      </w:r>
    </w:p>
    <w:p w14:paraId="3B06101E">
      <w:pPr>
        <w:pStyle w:val="177"/>
        <w:numPr>
          <w:ilvl w:val="0"/>
          <w:numId w:val="55"/>
        </w:numPr>
        <w:bidi w:val="0"/>
        <w:ind w:left="851" w:leftChars="0" w:hanging="426" w:firstLineChars="0"/>
        <w:rPr>
          <w:color w:val="auto"/>
          <w:highlight w:val="none"/>
        </w:rPr>
      </w:pPr>
      <w:r>
        <w:rPr>
          <w:color w:val="auto"/>
          <w:highlight w:val="none"/>
        </w:rPr>
        <w:t>向</w:t>
      </w:r>
      <w:r>
        <w:rPr>
          <w:rFonts w:hint="eastAsia"/>
          <w:color w:val="auto"/>
          <w:highlight w:val="none"/>
        </w:rPr>
        <w:t>利益相关方</w:t>
      </w:r>
      <w:r>
        <w:rPr>
          <w:color w:val="auto"/>
          <w:highlight w:val="none"/>
        </w:rPr>
        <w:t>说明系统间的相互依</w:t>
      </w:r>
      <w:r>
        <w:rPr>
          <w:rFonts w:hint="eastAsia"/>
          <w:color w:val="auto"/>
          <w:highlight w:val="none"/>
        </w:rPr>
        <w:t>赖</w:t>
      </w:r>
      <w:r>
        <w:rPr>
          <w:color w:val="auto"/>
          <w:highlight w:val="none"/>
        </w:rPr>
        <w:t>关系</w:t>
      </w:r>
      <w:r>
        <w:rPr>
          <w:rFonts w:hint="eastAsia"/>
          <w:color w:val="auto"/>
          <w:highlight w:val="none"/>
        </w:rPr>
        <w:t>及其重要</w:t>
      </w:r>
      <w:r>
        <w:rPr>
          <w:color w:val="auto"/>
          <w:highlight w:val="none"/>
        </w:rPr>
        <w:t>性。</w:t>
      </w:r>
    </w:p>
    <w:p w14:paraId="338B1571">
      <w:pPr>
        <w:pStyle w:val="108"/>
        <w:spacing w:before="156" w:after="156"/>
        <w:rPr>
          <w:color w:val="auto"/>
          <w:highlight w:val="none"/>
        </w:rPr>
      </w:pPr>
      <w:bookmarkStart w:id="126" w:name="_Toc19888"/>
      <w:bookmarkEnd w:id="126"/>
      <w:bookmarkStart w:id="127" w:name="_Toc16582"/>
      <w:bookmarkStart w:id="128" w:name="_Toc206170532"/>
      <w:bookmarkStart w:id="129" w:name="_Toc8063"/>
      <w:bookmarkStart w:id="130" w:name="_Toc11184"/>
      <w:r>
        <w:rPr>
          <w:color w:val="auto"/>
          <w:highlight w:val="none"/>
        </w:rPr>
        <w:t>风险识别与评估</w:t>
      </w:r>
      <w:bookmarkEnd w:id="127"/>
      <w:bookmarkEnd w:id="128"/>
      <w:bookmarkEnd w:id="129"/>
      <w:bookmarkEnd w:id="130"/>
    </w:p>
    <w:p w14:paraId="17B4356F">
      <w:pPr>
        <w:pStyle w:val="59"/>
        <w:ind w:firstLine="420"/>
        <w:rPr>
          <w:color w:val="auto"/>
          <w:highlight w:val="none"/>
        </w:rPr>
      </w:pPr>
      <w:r>
        <w:rPr>
          <w:rFonts w:hint="eastAsia"/>
          <w:color w:val="auto"/>
          <w:highlight w:val="none"/>
        </w:rPr>
        <w:t>在</w:t>
      </w:r>
      <w:r>
        <w:rPr>
          <w:color w:val="auto"/>
          <w:highlight w:val="none"/>
        </w:rPr>
        <w:t>城市韧性评估</w:t>
      </w:r>
      <w:r>
        <w:rPr>
          <w:rFonts w:hint="eastAsia"/>
          <w:color w:val="auto"/>
          <w:highlight w:val="none"/>
        </w:rPr>
        <w:t>工作时</w:t>
      </w:r>
      <w:r>
        <w:rPr>
          <w:color w:val="auto"/>
          <w:highlight w:val="none"/>
        </w:rPr>
        <w:t>，</w:t>
      </w:r>
      <w:r>
        <w:rPr>
          <w:rFonts w:hint="eastAsia"/>
          <w:color w:val="auto"/>
          <w:highlight w:val="none"/>
        </w:rPr>
        <w:t>战略团队宜完成以下工作</w:t>
      </w:r>
      <w:r>
        <w:rPr>
          <w:color w:val="auto"/>
          <w:highlight w:val="none"/>
        </w:rPr>
        <w:t>：</w:t>
      </w:r>
    </w:p>
    <w:p w14:paraId="01828934">
      <w:pPr>
        <w:pStyle w:val="177"/>
        <w:numPr>
          <w:ilvl w:val="0"/>
          <w:numId w:val="56"/>
        </w:numPr>
        <w:bidi w:val="0"/>
        <w:ind w:left="851" w:leftChars="0" w:hanging="426" w:firstLineChars="0"/>
        <w:rPr>
          <w:color w:val="auto"/>
          <w:highlight w:val="none"/>
        </w:rPr>
      </w:pPr>
      <w:r>
        <w:rPr>
          <w:color w:val="auto"/>
          <w:highlight w:val="none"/>
        </w:rPr>
        <w:t>联</w:t>
      </w:r>
      <w:r>
        <w:rPr>
          <w:rFonts w:hint="eastAsia"/>
          <w:color w:val="auto"/>
          <w:highlight w:val="none"/>
        </w:rPr>
        <w:t>合社区</w:t>
      </w:r>
      <w:r>
        <w:rPr>
          <w:color w:val="auto"/>
          <w:highlight w:val="none"/>
        </w:rPr>
        <w:t>与</w:t>
      </w:r>
      <w:r>
        <w:rPr>
          <w:rFonts w:hint="eastAsia"/>
          <w:color w:val="auto"/>
          <w:highlight w:val="none"/>
        </w:rPr>
        <w:t>行业</w:t>
      </w:r>
      <w:r>
        <w:rPr>
          <w:color w:val="auto"/>
          <w:highlight w:val="none"/>
        </w:rPr>
        <w:t>专家，识别关键冲击、压力、趋势及机遇，了解</w:t>
      </w:r>
      <w:r>
        <w:rPr>
          <w:rFonts w:hint="eastAsia"/>
          <w:color w:val="auto"/>
          <w:highlight w:val="none"/>
        </w:rPr>
        <w:t>城市社会目标</w:t>
      </w:r>
      <w:r>
        <w:rPr>
          <w:color w:val="auto"/>
          <w:highlight w:val="none"/>
        </w:rPr>
        <w:t>实现过程中的潜在威胁；对照国家</w:t>
      </w:r>
      <w:r>
        <w:rPr>
          <w:rFonts w:hint="eastAsia"/>
          <w:color w:val="auto"/>
          <w:highlight w:val="none"/>
        </w:rPr>
        <w:t>、</w:t>
      </w:r>
      <w:r>
        <w:rPr>
          <w:color w:val="auto"/>
          <w:highlight w:val="none"/>
        </w:rPr>
        <w:t>地方风险</w:t>
      </w:r>
      <w:r>
        <w:rPr>
          <w:rFonts w:hint="eastAsia"/>
          <w:color w:val="auto"/>
          <w:highlight w:val="none"/>
        </w:rPr>
        <w:t>辨识建议清单</w:t>
      </w:r>
      <w:r>
        <w:rPr>
          <w:color w:val="auto"/>
          <w:highlight w:val="none"/>
        </w:rPr>
        <w:t>进行</w:t>
      </w:r>
      <w:r>
        <w:rPr>
          <w:rFonts w:hint="eastAsia"/>
          <w:color w:val="auto"/>
          <w:highlight w:val="none"/>
        </w:rPr>
        <w:t>确认</w:t>
      </w:r>
      <w:r>
        <w:rPr>
          <w:color w:val="auto"/>
          <w:highlight w:val="none"/>
        </w:rPr>
        <w:t>；</w:t>
      </w:r>
    </w:p>
    <w:p w14:paraId="0BFE4885">
      <w:pPr>
        <w:pStyle w:val="177"/>
        <w:numPr>
          <w:ilvl w:val="0"/>
          <w:numId w:val="56"/>
        </w:numPr>
        <w:bidi w:val="0"/>
        <w:ind w:left="851" w:leftChars="0" w:hanging="426" w:firstLineChars="0"/>
        <w:rPr>
          <w:color w:val="auto"/>
          <w:highlight w:val="none"/>
        </w:rPr>
      </w:pPr>
      <w:r>
        <w:rPr>
          <w:color w:val="auto"/>
          <w:highlight w:val="none"/>
        </w:rPr>
        <w:t>将以往未</w:t>
      </w:r>
      <w:r>
        <w:rPr>
          <w:rFonts w:hint="eastAsia"/>
          <w:color w:val="auto"/>
          <w:highlight w:val="none"/>
        </w:rPr>
        <w:t>出现</w:t>
      </w:r>
      <w:r>
        <w:rPr>
          <w:color w:val="auto"/>
          <w:highlight w:val="none"/>
        </w:rPr>
        <w:t>过的压力、冲击与机遇纳入</w:t>
      </w:r>
      <w:r>
        <w:rPr>
          <w:rFonts w:hint="eastAsia"/>
          <w:color w:val="auto"/>
          <w:highlight w:val="none"/>
        </w:rPr>
        <w:t>辨识</w:t>
      </w:r>
      <w:r>
        <w:rPr>
          <w:color w:val="auto"/>
          <w:highlight w:val="none"/>
        </w:rPr>
        <w:t>范围；</w:t>
      </w:r>
    </w:p>
    <w:p w14:paraId="60E4B33B">
      <w:pPr>
        <w:pStyle w:val="177"/>
        <w:numPr>
          <w:ilvl w:val="0"/>
          <w:numId w:val="56"/>
        </w:numPr>
        <w:bidi w:val="0"/>
        <w:ind w:left="851" w:leftChars="0" w:hanging="426" w:firstLineChars="0"/>
        <w:rPr>
          <w:color w:val="auto"/>
          <w:highlight w:val="none"/>
        </w:rPr>
      </w:pPr>
      <w:r>
        <w:rPr>
          <w:color w:val="auto"/>
          <w:highlight w:val="none"/>
        </w:rPr>
        <w:t>采集</w:t>
      </w:r>
      <w:r>
        <w:rPr>
          <w:rFonts w:hint="eastAsia"/>
          <w:color w:val="auto"/>
          <w:highlight w:val="none"/>
        </w:rPr>
        <w:t>、</w:t>
      </w:r>
      <w:r>
        <w:rPr>
          <w:color w:val="auto"/>
          <w:highlight w:val="none"/>
        </w:rPr>
        <w:t>整合数据</w:t>
      </w:r>
      <w:r>
        <w:rPr>
          <w:rFonts w:hint="eastAsia"/>
          <w:color w:val="auto"/>
          <w:highlight w:val="none"/>
        </w:rPr>
        <w:t>资源</w:t>
      </w:r>
      <w:r>
        <w:rPr>
          <w:color w:val="auto"/>
          <w:highlight w:val="none"/>
        </w:rPr>
        <w:t>，为危害分析、</w:t>
      </w:r>
      <w:r>
        <w:rPr>
          <w:rFonts w:hint="eastAsia"/>
          <w:color w:val="auto"/>
          <w:highlight w:val="none"/>
        </w:rPr>
        <w:t>模型构建</w:t>
      </w:r>
      <w:r>
        <w:rPr>
          <w:color w:val="auto"/>
          <w:highlight w:val="none"/>
        </w:rPr>
        <w:t>及风险暴露</w:t>
      </w:r>
      <w:r>
        <w:rPr>
          <w:rFonts w:hint="eastAsia"/>
          <w:color w:val="auto"/>
          <w:highlight w:val="none"/>
        </w:rPr>
        <w:t>图谱绘制</w:t>
      </w:r>
      <w:r>
        <w:rPr>
          <w:color w:val="auto"/>
          <w:highlight w:val="none"/>
        </w:rPr>
        <w:t>提供</w:t>
      </w:r>
      <w:r>
        <w:rPr>
          <w:rFonts w:hint="eastAsia"/>
          <w:color w:val="auto"/>
          <w:highlight w:val="none"/>
        </w:rPr>
        <w:t>数据</w:t>
      </w:r>
      <w:r>
        <w:rPr>
          <w:color w:val="auto"/>
          <w:highlight w:val="none"/>
        </w:rPr>
        <w:t>支撑；</w:t>
      </w:r>
    </w:p>
    <w:p w14:paraId="7CDDD2FE">
      <w:pPr>
        <w:pStyle w:val="177"/>
        <w:numPr>
          <w:ilvl w:val="0"/>
          <w:numId w:val="56"/>
        </w:numPr>
        <w:bidi w:val="0"/>
        <w:ind w:left="851" w:leftChars="0" w:hanging="426" w:firstLineChars="0"/>
        <w:rPr>
          <w:color w:val="auto"/>
          <w:highlight w:val="none"/>
        </w:rPr>
      </w:pPr>
      <w:r>
        <w:rPr>
          <w:color w:val="auto"/>
          <w:highlight w:val="none"/>
        </w:rPr>
        <w:t>梳理历史</w:t>
      </w:r>
      <w:r>
        <w:rPr>
          <w:rFonts w:hint="eastAsia"/>
          <w:color w:val="auto"/>
          <w:highlight w:val="none"/>
        </w:rPr>
        <w:t>灾害</w:t>
      </w:r>
      <w:r>
        <w:rPr>
          <w:color w:val="auto"/>
          <w:highlight w:val="none"/>
        </w:rPr>
        <w:t>损失数据</w:t>
      </w:r>
      <w:r>
        <w:rPr>
          <w:rFonts w:hint="eastAsia"/>
          <w:color w:val="auto"/>
          <w:highlight w:val="none"/>
        </w:rPr>
        <w:t>，研判</w:t>
      </w:r>
      <w:r>
        <w:rPr>
          <w:color w:val="auto"/>
          <w:highlight w:val="none"/>
        </w:rPr>
        <w:t>未来</w:t>
      </w:r>
      <w:r>
        <w:rPr>
          <w:rFonts w:hint="eastAsia"/>
          <w:color w:val="auto"/>
          <w:highlight w:val="none"/>
        </w:rPr>
        <w:t>发展</w:t>
      </w:r>
      <w:r>
        <w:rPr>
          <w:color w:val="auto"/>
          <w:highlight w:val="none"/>
        </w:rPr>
        <w:t>趋势，</w:t>
      </w:r>
      <w:r>
        <w:rPr>
          <w:rFonts w:hint="eastAsia"/>
          <w:color w:val="auto"/>
          <w:highlight w:val="none"/>
        </w:rPr>
        <w:t>并分析其</w:t>
      </w:r>
      <w:r>
        <w:rPr>
          <w:color w:val="auto"/>
          <w:highlight w:val="none"/>
        </w:rPr>
        <w:t>与其他冲击</w:t>
      </w:r>
      <w:r>
        <w:rPr>
          <w:rFonts w:hint="eastAsia"/>
          <w:color w:val="auto"/>
          <w:highlight w:val="none"/>
        </w:rPr>
        <w:t>和</w:t>
      </w:r>
      <w:r>
        <w:rPr>
          <w:color w:val="auto"/>
          <w:highlight w:val="none"/>
        </w:rPr>
        <w:t>压力的相互关联</w:t>
      </w:r>
      <w:r>
        <w:rPr>
          <w:rFonts w:hint="eastAsia"/>
          <w:color w:val="auto"/>
          <w:highlight w:val="none"/>
        </w:rPr>
        <w:t>关系</w:t>
      </w:r>
      <w:r>
        <w:rPr>
          <w:color w:val="auto"/>
          <w:highlight w:val="none"/>
        </w:rPr>
        <w:t>；</w:t>
      </w:r>
    </w:p>
    <w:p w14:paraId="4C28B545">
      <w:pPr>
        <w:pStyle w:val="177"/>
        <w:numPr>
          <w:ilvl w:val="0"/>
          <w:numId w:val="56"/>
        </w:numPr>
        <w:bidi w:val="0"/>
        <w:ind w:left="851" w:leftChars="0" w:hanging="426" w:firstLineChars="0"/>
        <w:rPr>
          <w:color w:val="auto"/>
          <w:highlight w:val="none"/>
        </w:rPr>
      </w:pPr>
      <w:r>
        <w:rPr>
          <w:color w:val="auto"/>
          <w:highlight w:val="none"/>
        </w:rPr>
        <w:t>重点关注不可预测或</w:t>
      </w:r>
      <w:r>
        <w:rPr>
          <w:rFonts w:hint="eastAsia"/>
          <w:color w:val="auto"/>
          <w:highlight w:val="none"/>
        </w:rPr>
        <w:t>无法</w:t>
      </w:r>
      <w:r>
        <w:rPr>
          <w:color w:val="auto"/>
          <w:highlight w:val="none"/>
        </w:rPr>
        <w:t>预见的</w:t>
      </w:r>
      <w:r>
        <w:rPr>
          <w:rFonts w:hint="eastAsia"/>
          <w:color w:val="auto"/>
          <w:highlight w:val="none"/>
        </w:rPr>
        <w:t>“</w:t>
      </w:r>
      <w:r>
        <w:rPr>
          <w:color w:val="auto"/>
          <w:highlight w:val="none"/>
        </w:rPr>
        <w:t>黑天鹅</w:t>
      </w:r>
      <w:r>
        <w:rPr>
          <w:rFonts w:hint="eastAsia"/>
          <w:color w:val="auto"/>
          <w:highlight w:val="none"/>
        </w:rPr>
        <w:t>”</w:t>
      </w:r>
      <w:r>
        <w:rPr>
          <w:color w:val="auto"/>
          <w:highlight w:val="none"/>
        </w:rPr>
        <w:t>事件</w:t>
      </w:r>
      <w:r>
        <w:rPr>
          <w:rFonts w:hint="eastAsia"/>
          <w:color w:val="auto"/>
          <w:highlight w:val="none"/>
        </w:rPr>
        <w:t>，该</w:t>
      </w:r>
      <w:r>
        <w:rPr>
          <w:color w:val="auto"/>
          <w:highlight w:val="none"/>
        </w:rPr>
        <w:t>类事件通常</w:t>
      </w:r>
      <w:r>
        <w:rPr>
          <w:rFonts w:hint="eastAsia"/>
          <w:color w:val="auto"/>
          <w:highlight w:val="none"/>
        </w:rPr>
        <w:t>易引发</w:t>
      </w:r>
      <w:r>
        <w:rPr>
          <w:color w:val="auto"/>
          <w:highlight w:val="none"/>
        </w:rPr>
        <w:t>极端后果。</w:t>
      </w:r>
    </w:p>
    <w:p w14:paraId="5AB66B0F">
      <w:pPr>
        <w:pStyle w:val="183"/>
        <w:numPr>
          <w:ilvl w:val="0"/>
          <w:numId w:val="57"/>
        </w:numPr>
        <w:rPr>
          <w:color w:val="auto"/>
          <w:highlight w:val="none"/>
        </w:rPr>
      </w:pPr>
      <w:r>
        <w:rPr>
          <w:rFonts w:hint="eastAsia"/>
          <w:color w:val="auto"/>
          <w:highlight w:val="none"/>
        </w:rPr>
        <w:t>GB/T 24091提供了适应气候变化风险的相关指南。</w:t>
      </w:r>
    </w:p>
    <w:p w14:paraId="4F8A07A7">
      <w:pPr>
        <w:pStyle w:val="183"/>
        <w:numPr>
          <w:ilvl w:val="0"/>
          <w:numId w:val="57"/>
        </w:numPr>
        <w:rPr>
          <w:color w:val="auto"/>
          <w:highlight w:val="none"/>
        </w:rPr>
      </w:pPr>
      <w:r>
        <w:rPr>
          <w:rFonts w:hint="eastAsia"/>
          <w:color w:val="auto"/>
          <w:highlight w:val="none"/>
        </w:rPr>
        <w:t>GB/T 45614提供了战略危机管理能力的相关指南，可用于管理“黑天鹅”事件。</w:t>
      </w:r>
    </w:p>
    <w:p w14:paraId="61E258AE">
      <w:pPr>
        <w:pStyle w:val="59"/>
        <w:ind w:firstLine="420"/>
        <w:rPr>
          <w:color w:val="auto"/>
          <w:highlight w:val="none"/>
        </w:rPr>
      </w:pPr>
      <w:r>
        <w:rPr>
          <w:color w:val="auto"/>
          <w:highlight w:val="none"/>
        </w:rPr>
        <w:t>表2</w:t>
      </w:r>
      <w:r>
        <w:rPr>
          <w:rFonts w:hint="eastAsia"/>
          <w:color w:val="auto"/>
          <w:highlight w:val="none"/>
        </w:rPr>
        <w:t>给出了</w:t>
      </w:r>
      <w:r>
        <w:rPr>
          <w:color w:val="auto"/>
          <w:highlight w:val="none"/>
        </w:rPr>
        <w:t>数据收集建议</w:t>
      </w:r>
      <w:r>
        <w:rPr>
          <w:rFonts w:hint="eastAsia"/>
          <w:color w:val="auto"/>
          <w:highlight w:val="none"/>
        </w:rPr>
        <w:t>以及预期</w:t>
      </w:r>
      <w:r>
        <w:rPr>
          <w:color w:val="auto"/>
          <w:highlight w:val="none"/>
        </w:rPr>
        <w:t>评估</w:t>
      </w:r>
      <w:r>
        <w:rPr>
          <w:rFonts w:hint="eastAsia"/>
          <w:color w:val="auto"/>
          <w:highlight w:val="none"/>
        </w:rPr>
        <w:t>结果</w:t>
      </w:r>
      <w:r>
        <w:rPr>
          <w:color w:val="auto"/>
          <w:highlight w:val="none"/>
        </w:rPr>
        <w:t>。</w:t>
      </w:r>
    </w:p>
    <w:p w14:paraId="757CBD18">
      <w:pPr>
        <w:pStyle w:val="115"/>
        <w:spacing w:before="156" w:after="156"/>
        <w:rPr>
          <w:color w:val="auto"/>
          <w:highlight w:val="none"/>
        </w:rPr>
      </w:pPr>
      <w:bookmarkStart w:id="131" w:name="24"/>
      <w:bookmarkEnd w:id="131"/>
      <w:r>
        <w:rPr>
          <w:color w:val="auto"/>
          <w:highlight w:val="none"/>
        </w:rPr>
        <w:br w:type="page"/>
      </w:r>
      <w:r>
        <w:rPr>
          <w:color w:val="auto"/>
          <w:highlight w:val="none"/>
        </w:rPr>
        <w:t>冲击、压力和趋势的评估</w:t>
      </w:r>
    </w:p>
    <w:tbl>
      <w:tblPr>
        <w:tblStyle w:val="27"/>
        <w:tblW w:w="5010" w:type="pct"/>
        <w:tblInd w:w="8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28" w:type="dxa"/>
          <w:left w:w="0" w:type="dxa"/>
          <w:bottom w:w="28" w:type="dxa"/>
          <w:right w:w="0" w:type="dxa"/>
        </w:tblCellMar>
      </w:tblPr>
      <w:tblGrid>
        <w:gridCol w:w="553"/>
        <w:gridCol w:w="4384"/>
        <w:gridCol w:w="4416"/>
      </w:tblGrid>
      <w:tr w14:paraId="2672AA6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28" w:type="dxa"/>
            <w:left w:w="0" w:type="dxa"/>
            <w:bottom w:w="28" w:type="dxa"/>
            <w:right w:w="0" w:type="dxa"/>
          </w:tblCellMar>
        </w:tblPrEx>
        <w:tc>
          <w:tcPr>
            <w:tcW w:w="296" w:type="pct"/>
            <w:tcBorders>
              <w:top w:val="single" w:color="000000" w:sz="8" w:space="0"/>
              <w:bottom w:val="single" w:color="000000" w:sz="8" w:space="0"/>
            </w:tcBorders>
            <w:vAlign w:val="center"/>
          </w:tcPr>
          <w:p w14:paraId="566A51A2">
            <w:pPr>
              <w:pStyle w:val="59"/>
              <w:ind w:firstLine="360"/>
              <w:rPr>
                <w:color w:val="auto"/>
                <w:sz w:val="18"/>
                <w:highlight w:val="none"/>
              </w:rPr>
            </w:pPr>
          </w:p>
        </w:tc>
        <w:tc>
          <w:tcPr>
            <w:tcW w:w="2343" w:type="pct"/>
            <w:tcBorders>
              <w:top w:val="single" w:color="000000" w:sz="8" w:space="0"/>
              <w:bottom w:val="single" w:color="000000" w:sz="8" w:space="0"/>
            </w:tcBorders>
            <w:vAlign w:val="center"/>
          </w:tcPr>
          <w:p w14:paraId="4AC839C3">
            <w:pPr>
              <w:pStyle w:val="59"/>
              <w:ind w:firstLine="0" w:firstLineChars="0"/>
              <w:jc w:val="center"/>
              <w:rPr>
                <w:b/>
                <w:bCs/>
                <w:color w:val="auto"/>
                <w:sz w:val="18"/>
                <w:highlight w:val="none"/>
              </w:rPr>
            </w:pPr>
            <w:r>
              <w:rPr>
                <w:b/>
                <w:color w:val="auto"/>
                <w:sz w:val="18"/>
                <w:highlight w:val="none"/>
              </w:rPr>
              <w:t>评估所需的信息和知识来源</w:t>
            </w:r>
          </w:p>
        </w:tc>
        <w:tc>
          <w:tcPr>
            <w:tcW w:w="2360" w:type="pct"/>
            <w:tcBorders>
              <w:top w:val="single" w:color="000000" w:sz="8" w:space="0"/>
              <w:bottom w:val="single" w:color="000000" w:sz="8" w:space="0"/>
            </w:tcBorders>
            <w:vAlign w:val="center"/>
          </w:tcPr>
          <w:p w14:paraId="63C4BDAF">
            <w:pPr>
              <w:pStyle w:val="59"/>
              <w:ind w:firstLine="0" w:firstLineChars="0"/>
              <w:jc w:val="center"/>
              <w:rPr>
                <w:b/>
                <w:bCs/>
                <w:color w:val="auto"/>
                <w:sz w:val="18"/>
                <w:highlight w:val="none"/>
              </w:rPr>
            </w:pPr>
            <w:r>
              <w:rPr>
                <w:b/>
                <w:color w:val="auto"/>
                <w:sz w:val="18"/>
                <w:highlight w:val="none"/>
              </w:rPr>
              <w:t>预期评估</w:t>
            </w:r>
            <w:r>
              <w:rPr>
                <w:rFonts w:hint="eastAsia"/>
                <w:b/>
                <w:color w:val="auto"/>
                <w:sz w:val="18"/>
                <w:highlight w:val="none"/>
              </w:rPr>
              <w:t>结果</w:t>
            </w:r>
          </w:p>
        </w:tc>
      </w:tr>
      <w:tr w14:paraId="1C38C69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28" w:type="dxa"/>
            <w:left w:w="0" w:type="dxa"/>
            <w:bottom w:w="28" w:type="dxa"/>
            <w:right w:w="0" w:type="dxa"/>
          </w:tblCellMar>
        </w:tblPrEx>
        <w:tc>
          <w:tcPr>
            <w:tcW w:w="296" w:type="pct"/>
            <w:tcBorders>
              <w:top w:val="single" w:color="000000" w:sz="8" w:space="0"/>
            </w:tcBorders>
            <w:vAlign w:val="center"/>
          </w:tcPr>
          <w:p w14:paraId="07D18928">
            <w:pPr>
              <w:pStyle w:val="59"/>
              <w:ind w:firstLine="0" w:firstLineChars="0"/>
              <w:rPr>
                <w:color w:val="auto"/>
                <w:sz w:val="18"/>
                <w:highlight w:val="none"/>
              </w:rPr>
            </w:pPr>
            <w:r>
              <w:rPr>
                <w:color w:val="auto"/>
                <w:sz w:val="18"/>
                <w:highlight w:val="none"/>
              </w:rPr>
              <w:t>冲击</w:t>
            </w:r>
          </w:p>
        </w:tc>
        <w:tc>
          <w:tcPr>
            <w:tcW w:w="2343" w:type="pct"/>
            <w:tcBorders>
              <w:top w:val="single" w:color="000000" w:sz="8" w:space="0"/>
            </w:tcBorders>
            <w:vAlign w:val="center"/>
          </w:tcPr>
          <w:p w14:paraId="278DE68F">
            <w:pPr>
              <w:pStyle w:val="177"/>
              <w:numPr>
                <w:ilvl w:val="0"/>
                <w:numId w:val="58"/>
              </w:numPr>
              <w:rPr>
                <w:color w:val="auto"/>
                <w:sz w:val="18"/>
                <w:szCs w:val="18"/>
                <w:highlight w:val="none"/>
              </w:rPr>
            </w:pPr>
            <w:r>
              <w:rPr>
                <w:rFonts w:hint="eastAsia"/>
                <w:color w:val="auto"/>
                <w:sz w:val="18"/>
                <w:szCs w:val="18"/>
                <w:highlight w:val="none"/>
              </w:rPr>
              <w:t>属地长期实践的经验与教训</w:t>
            </w:r>
            <w:r>
              <w:rPr>
                <w:color w:val="auto"/>
                <w:sz w:val="18"/>
                <w:szCs w:val="18"/>
                <w:highlight w:val="none"/>
              </w:rPr>
              <w:t>。</w:t>
            </w:r>
          </w:p>
          <w:p w14:paraId="12817790">
            <w:pPr>
              <w:pStyle w:val="177"/>
              <w:numPr>
                <w:ilvl w:val="0"/>
                <w:numId w:val="58"/>
              </w:numPr>
              <w:rPr>
                <w:color w:val="auto"/>
                <w:sz w:val="18"/>
                <w:szCs w:val="18"/>
                <w:highlight w:val="none"/>
              </w:rPr>
            </w:pPr>
            <w:r>
              <w:rPr>
                <w:rFonts w:hint="eastAsia"/>
                <w:color w:val="auto"/>
                <w:sz w:val="18"/>
                <w:szCs w:val="18"/>
                <w:highlight w:val="none"/>
              </w:rPr>
              <w:t>地方政府部门、</w:t>
            </w:r>
            <w:r>
              <w:rPr>
                <w:color w:val="auto"/>
                <w:sz w:val="18"/>
                <w:szCs w:val="18"/>
                <w:highlight w:val="none"/>
              </w:rPr>
              <w:t>领域专家、大学和研究中心等开展的广泛</w:t>
            </w:r>
            <w:r>
              <w:rPr>
                <w:rFonts w:hint="eastAsia"/>
                <w:color w:val="auto"/>
                <w:sz w:val="18"/>
                <w:szCs w:val="18"/>
                <w:highlight w:val="none"/>
              </w:rPr>
              <w:t>调研</w:t>
            </w:r>
            <w:r>
              <w:rPr>
                <w:color w:val="auto"/>
                <w:sz w:val="18"/>
                <w:szCs w:val="18"/>
                <w:highlight w:val="none"/>
              </w:rPr>
              <w:t>及相关研究。</w:t>
            </w:r>
          </w:p>
          <w:p w14:paraId="7701CDB5">
            <w:pPr>
              <w:pStyle w:val="177"/>
              <w:numPr>
                <w:ilvl w:val="0"/>
                <w:numId w:val="58"/>
              </w:numPr>
              <w:rPr>
                <w:color w:val="auto"/>
                <w:sz w:val="18"/>
                <w:szCs w:val="18"/>
                <w:highlight w:val="none"/>
              </w:rPr>
            </w:pPr>
            <w:r>
              <w:rPr>
                <w:rFonts w:hint="eastAsia"/>
                <w:color w:val="auto"/>
                <w:sz w:val="18"/>
                <w:szCs w:val="18"/>
                <w:highlight w:val="none"/>
              </w:rPr>
              <w:t>影响城市区域的冲击评估</w:t>
            </w:r>
            <w:r>
              <w:rPr>
                <w:color w:val="auto"/>
                <w:sz w:val="18"/>
                <w:szCs w:val="18"/>
                <w:highlight w:val="none"/>
              </w:rPr>
              <w:t>（当前和新</w:t>
            </w:r>
            <w:r>
              <w:rPr>
                <w:rFonts w:hint="eastAsia"/>
                <w:color w:val="auto"/>
                <w:sz w:val="18"/>
                <w:szCs w:val="18"/>
                <w:highlight w:val="none"/>
              </w:rPr>
              <w:t>兴风险</w:t>
            </w:r>
            <w:r>
              <w:rPr>
                <w:color w:val="auto"/>
                <w:sz w:val="18"/>
                <w:szCs w:val="18"/>
                <w:highlight w:val="none"/>
              </w:rPr>
              <w:t>）。</w:t>
            </w:r>
          </w:p>
          <w:p w14:paraId="34D1F09E">
            <w:pPr>
              <w:pStyle w:val="177"/>
              <w:numPr>
                <w:ilvl w:val="0"/>
                <w:numId w:val="58"/>
              </w:numPr>
              <w:rPr>
                <w:color w:val="auto"/>
                <w:sz w:val="18"/>
                <w:szCs w:val="18"/>
                <w:highlight w:val="none"/>
              </w:rPr>
            </w:pPr>
            <w:r>
              <w:rPr>
                <w:color w:val="auto"/>
                <w:sz w:val="18"/>
                <w:szCs w:val="18"/>
                <w:highlight w:val="none"/>
              </w:rPr>
              <w:t>城市系统绩效的定量和定性评估结果，其中重点突出差距、劣势和脆弱性。</w:t>
            </w:r>
          </w:p>
          <w:p w14:paraId="26F4AC8B">
            <w:pPr>
              <w:pStyle w:val="177"/>
              <w:numPr>
                <w:ilvl w:val="0"/>
                <w:numId w:val="58"/>
              </w:numPr>
              <w:rPr>
                <w:color w:val="auto"/>
                <w:sz w:val="18"/>
                <w:szCs w:val="18"/>
                <w:highlight w:val="none"/>
              </w:rPr>
            </w:pPr>
            <w:r>
              <w:rPr>
                <w:color w:val="auto"/>
                <w:sz w:val="18"/>
                <w:szCs w:val="18"/>
                <w:highlight w:val="none"/>
              </w:rPr>
              <w:t>应急管理、住房城乡建设等主管部门提供的事故</w:t>
            </w:r>
            <w:r>
              <w:rPr>
                <w:rFonts w:hint="eastAsia"/>
                <w:color w:val="auto"/>
                <w:sz w:val="18"/>
                <w:szCs w:val="18"/>
                <w:highlight w:val="none"/>
              </w:rPr>
              <w:t>调查</w:t>
            </w:r>
            <w:r>
              <w:rPr>
                <w:color w:val="auto"/>
                <w:sz w:val="18"/>
                <w:szCs w:val="18"/>
                <w:highlight w:val="none"/>
              </w:rPr>
              <w:t>报告</w:t>
            </w:r>
            <w:r>
              <w:rPr>
                <w:rStyle w:val="35"/>
                <w:rFonts w:hint="eastAsia"/>
                <w:color w:val="auto"/>
                <w:sz w:val="18"/>
                <w:szCs w:val="18"/>
                <w:highlight w:val="none"/>
              </w:rPr>
              <w:t>。</w:t>
            </w:r>
          </w:p>
          <w:p w14:paraId="112E818C">
            <w:pPr>
              <w:pStyle w:val="177"/>
              <w:numPr>
                <w:ilvl w:val="0"/>
                <w:numId w:val="58"/>
              </w:numPr>
              <w:rPr>
                <w:color w:val="auto"/>
                <w:sz w:val="18"/>
                <w:szCs w:val="18"/>
                <w:highlight w:val="none"/>
              </w:rPr>
            </w:pPr>
            <w:r>
              <w:rPr>
                <w:color w:val="auto"/>
                <w:sz w:val="18"/>
                <w:szCs w:val="18"/>
                <w:highlight w:val="none"/>
              </w:rPr>
              <w:t>风险辨识建议清单。</w:t>
            </w:r>
          </w:p>
        </w:tc>
        <w:tc>
          <w:tcPr>
            <w:tcW w:w="2360" w:type="pct"/>
            <w:tcBorders>
              <w:top w:val="single" w:color="000000" w:sz="8" w:space="0"/>
            </w:tcBorders>
            <w:vAlign w:val="center"/>
          </w:tcPr>
          <w:p w14:paraId="1264B280">
            <w:pPr>
              <w:pStyle w:val="59"/>
              <w:numPr>
                <w:ilvl w:val="0"/>
                <w:numId w:val="59"/>
              </w:numPr>
              <w:ind w:firstLineChars="0"/>
              <w:rPr>
                <w:color w:val="auto"/>
                <w:sz w:val="18"/>
                <w:szCs w:val="18"/>
                <w:highlight w:val="none"/>
              </w:rPr>
            </w:pPr>
            <w:r>
              <w:rPr>
                <w:color w:val="auto"/>
                <w:sz w:val="18"/>
                <w:szCs w:val="18"/>
                <w:highlight w:val="none"/>
              </w:rPr>
              <w:t>了解已识别冲击对人员、</w:t>
            </w:r>
            <w:r>
              <w:rPr>
                <w:rFonts w:hint="eastAsia"/>
                <w:color w:val="auto"/>
                <w:sz w:val="18"/>
                <w:szCs w:val="18"/>
                <w:highlight w:val="none"/>
              </w:rPr>
              <w:t>资产和过程</w:t>
            </w:r>
            <w:r>
              <w:rPr>
                <w:color w:val="auto"/>
                <w:sz w:val="18"/>
                <w:szCs w:val="18"/>
                <w:highlight w:val="none"/>
              </w:rPr>
              <w:t>造成的影响</w:t>
            </w:r>
            <w:r>
              <w:rPr>
                <w:rFonts w:hint="eastAsia"/>
                <w:color w:val="auto"/>
                <w:sz w:val="18"/>
                <w:szCs w:val="18"/>
                <w:highlight w:val="none"/>
              </w:rPr>
              <w:t>的原</w:t>
            </w:r>
            <w:r>
              <w:rPr>
                <w:color w:val="auto"/>
                <w:sz w:val="18"/>
                <w:szCs w:val="18"/>
                <w:highlight w:val="none"/>
              </w:rPr>
              <w:t>因、频率及强度。</w:t>
            </w:r>
          </w:p>
          <w:p w14:paraId="5C05D9F5">
            <w:pPr>
              <w:pStyle w:val="59"/>
              <w:numPr>
                <w:ilvl w:val="0"/>
                <w:numId w:val="59"/>
              </w:numPr>
              <w:ind w:firstLineChars="0"/>
              <w:rPr>
                <w:color w:val="auto"/>
                <w:sz w:val="18"/>
                <w:szCs w:val="18"/>
                <w:highlight w:val="none"/>
              </w:rPr>
            </w:pPr>
            <w:r>
              <w:rPr>
                <w:color w:val="auto"/>
                <w:sz w:val="18"/>
                <w:szCs w:val="18"/>
                <w:highlight w:val="none"/>
              </w:rPr>
              <w:t>阐明已识别冲击与城市系统要素之间的关联。</w:t>
            </w:r>
          </w:p>
        </w:tc>
      </w:tr>
      <w:tr w14:paraId="378EAAE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28" w:type="dxa"/>
            <w:left w:w="0" w:type="dxa"/>
            <w:bottom w:w="28" w:type="dxa"/>
            <w:right w:w="0" w:type="dxa"/>
          </w:tblCellMar>
        </w:tblPrEx>
        <w:tc>
          <w:tcPr>
            <w:tcW w:w="296" w:type="pct"/>
            <w:vAlign w:val="center"/>
          </w:tcPr>
          <w:p w14:paraId="738DB85F">
            <w:pPr>
              <w:pStyle w:val="59"/>
              <w:ind w:firstLine="0" w:firstLineChars="0"/>
              <w:rPr>
                <w:color w:val="auto"/>
                <w:sz w:val="18"/>
                <w:highlight w:val="none"/>
              </w:rPr>
            </w:pPr>
            <w:r>
              <w:rPr>
                <w:color w:val="auto"/>
                <w:sz w:val="18"/>
                <w:highlight w:val="none"/>
              </w:rPr>
              <w:t>压力</w:t>
            </w:r>
          </w:p>
        </w:tc>
        <w:tc>
          <w:tcPr>
            <w:tcW w:w="2343" w:type="pct"/>
            <w:vAlign w:val="center"/>
          </w:tcPr>
          <w:p w14:paraId="5B026F78">
            <w:pPr>
              <w:pStyle w:val="177"/>
              <w:numPr>
                <w:ilvl w:val="0"/>
                <w:numId w:val="60"/>
              </w:numPr>
              <w:rPr>
                <w:color w:val="auto"/>
                <w:sz w:val="18"/>
                <w:szCs w:val="18"/>
                <w:highlight w:val="none"/>
              </w:rPr>
            </w:pPr>
            <w:r>
              <w:rPr>
                <w:rFonts w:hint="eastAsia"/>
                <w:color w:val="auto"/>
                <w:sz w:val="18"/>
                <w:szCs w:val="18"/>
                <w:highlight w:val="none"/>
              </w:rPr>
              <w:t>属地长期实践的经验与教训</w:t>
            </w:r>
            <w:r>
              <w:rPr>
                <w:color w:val="auto"/>
                <w:sz w:val="18"/>
                <w:szCs w:val="18"/>
                <w:highlight w:val="none"/>
              </w:rPr>
              <w:t>。</w:t>
            </w:r>
          </w:p>
          <w:p w14:paraId="4EC9816C">
            <w:pPr>
              <w:pStyle w:val="177"/>
              <w:numPr>
                <w:ilvl w:val="0"/>
                <w:numId w:val="60"/>
              </w:numPr>
              <w:rPr>
                <w:color w:val="auto"/>
                <w:sz w:val="18"/>
                <w:szCs w:val="18"/>
                <w:highlight w:val="none"/>
              </w:rPr>
            </w:pPr>
            <w:r>
              <w:rPr>
                <w:rFonts w:hint="eastAsia"/>
                <w:color w:val="auto"/>
                <w:sz w:val="18"/>
                <w:szCs w:val="18"/>
                <w:highlight w:val="none"/>
              </w:rPr>
              <w:t>影响城市区域的压力评估（当前和未来风险）</w:t>
            </w:r>
            <w:r>
              <w:rPr>
                <w:color w:val="auto"/>
                <w:sz w:val="18"/>
                <w:szCs w:val="18"/>
                <w:highlight w:val="none"/>
              </w:rPr>
              <w:t>。</w:t>
            </w:r>
          </w:p>
          <w:p w14:paraId="5B0BC816">
            <w:pPr>
              <w:pStyle w:val="177"/>
              <w:numPr>
                <w:ilvl w:val="0"/>
                <w:numId w:val="60"/>
              </w:numPr>
              <w:rPr>
                <w:color w:val="auto"/>
                <w:sz w:val="18"/>
                <w:szCs w:val="18"/>
                <w:highlight w:val="none"/>
              </w:rPr>
            </w:pPr>
            <w:r>
              <w:rPr>
                <w:color w:val="auto"/>
                <w:sz w:val="18"/>
                <w:szCs w:val="18"/>
                <w:highlight w:val="none"/>
              </w:rPr>
              <w:t>城市系统绩效的定量和定性评估结果，其中重点突出差距、劣势和脆弱性。</w:t>
            </w:r>
          </w:p>
          <w:p w14:paraId="6623DF79">
            <w:pPr>
              <w:pStyle w:val="177"/>
              <w:numPr>
                <w:ilvl w:val="0"/>
                <w:numId w:val="60"/>
              </w:numPr>
              <w:rPr>
                <w:color w:val="auto"/>
                <w:sz w:val="18"/>
                <w:szCs w:val="18"/>
                <w:highlight w:val="none"/>
              </w:rPr>
            </w:pPr>
            <w:r>
              <w:rPr>
                <w:rFonts w:hint="eastAsia"/>
                <w:color w:val="auto"/>
                <w:sz w:val="18"/>
                <w:szCs w:val="18"/>
                <w:highlight w:val="none"/>
              </w:rPr>
              <w:t>影响</w:t>
            </w:r>
            <w:r>
              <w:rPr>
                <w:color w:val="auto"/>
                <w:sz w:val="18"/>
                <w:szCs w:val="18"/>
                <w:highlight w:val="none"/>
              </w:rPr>
              <w:t>城市区域</w:t>
            </w:r>
            <w:r>
              <w:rPr>
                <w:rFonts w:hint="eastAsia"/>
                <w:color w:val="auto"/>
                <w:sz w:val="18"/>
                <w:szCs w:val="18"/>
                <w:highlight w:val="none"/>
              </w:rPr>
              <w:t>的新兴风险变化迹象。</w:t>
            </w:r>
          </w:p>
        </w:tc>
        <w:tc>
          <w:tcPr>
            <w:tcW w:w="2360" w:type="pct"/>
            <w:vAlign w:val="center"/>
          </w:tcPr>
          <w:p w14:paraId="72F5C7DE">
            <w:pPr>
              <w:pStyle w:val="177"/>
              <w:numPr>
                <w:ilvl w:val="0"/>
                <w:numId w:val="61"/>
              </w:numPr>
              <w:rPr>
                <w:color w:val="auto"/>
                <w:sz w:val="18"/>
                <w:szCs w:val="18"/>
                <w:highlight w:val="none"/>
              </w:rPr>
            </w:pPr>
            <w:r>
              <w:rPr>
                <w:color w:val="auto"/>
                <w:sz w:val="18"/>
                <w:szCs w:val="18"/>
                <w:highlight w:val="none"/>
              </w:rPr>
              <w:t>识别影响城市</w:t>
            </w:r>
            <w:r>
              <w:rPr>
                <w:rFonts w:hint="eastAsia"/>
                <w:color w:val="auto"/>
                <w:sz w:val="18"/>
                <w:szCs w:val="18"/>
                <w:highlight w:val="none"/>
              </w:rPr>
              <w:t>韧性</w:t>
            </w:r>
            <w:r>
              <w:rPr>
                <w:color w:val="auto"/>
                <w:sz w:val="18"/>
                <w:szCs w:val="18"/>
                <w:highlight w:val="none"/>
              </w:rPr>
              <w:t>的</w:t>
            </w:r>
            <w:r>
              <w:rPr>
                <w:rFonts w:hint="eastAsia"/>
                <w:color w:val="auto"/>
                <w:sz w:val="18"/>
                <w:szCs w:val="18"/>
                <w:highlight w:val="none"/>
              </w:rPr>
              <w:t>主要</w:t>
            </w:r>
            <w:r>
              <w:rPr>
                <w:color w:val="auto"/>
                <w:sz w:val="18"/>
                <w:szCs w:val="18"/>
                <w:highlight w:val="none"/>
              </w:rPr>
              <w:t>压力。</w:t>
            </w:r>
          </w:p>
          <w:p w14:paraId="1A3B11EB">
            <w:pPr>
              <w:pStyle w:val="177"/>
              <w:numPr>
                <w:ilvl w:val="0"/>
                <w:numId w:val="61"/>
              </w:numPr>
              <w:rPr>
                <w:color w:val="auto"/>
                <w:sz w:val="18"/>
                <w:szCs w:val="18"/>
                <w:highlight w:val="none"/>
              </w:rPr>
            </w:pPr>
            <w:r>
              <w:rPr>
                <w:color w:val="auto"/>
                <w:sz w:val="18"/>
                <w:szCs w:val="18"/>
                <w:highlight w:val="none"/>
              </w:rPr>
              <w:t>了解已识别压力对城市系统造成影响的</w:t>
            </w:r>
            <w:r>
              <w:rPr>
                <w:rFonts w:hint="eastAsia"/>
                <w:color w:val="auto"/>
                <w:sz w:val="18"/>
                <w:szCs w:val="18"/>
                <w:highlight w:val="none"/>
              </w:rPr>
              <w:t>后果</w:t>
            </w:r>
            <w:r>
              <w:rPr>
                <w:color w:val="auto"/>
                <w:sz w:val="18"/>
                <w:szCs w:val="18"/>
                <w:highlight w:val="none"/>
              </w:rPr>
              <w:t>严重程度。</w:t>
            </w:r>
          </w:p>
          <w:p w14:paraId="4B74A4B2">
            <w:pPr>
              <w:pStyle w:val="177"/>
              <w:numPr>
                <w:ilvl w:val="0"/>
                <w:numId w:val="61"/>
              </w:numPr>
              <w:rPr>
                <w:color w:val="auto"/>
                <w:sz w:val="18"/>
                <w:szCs w:val="18"/>
                <w:highlight w:val="none"/>
              </w:rPr>
            </w:pPr>
            <w:r>
              <w:rPr>
                <w:color w:val="auto"/>
                <w:sz w:val="18"/>
                <w:szCs w:val="18"/>
                <w:highlight w:val="none"/>
              </w:rPr>
              <w:t>梳理已识别压力与城市系统各要素、组成部分之间的直接和间接关联。</w:t>
            </w:r>
          </w:p>
          <w:p w14:paraId="222BADDF">
            <w:pPr>
              <w:pStyle w:val="177"/>
              <w:numPr>
                <w:ilvl w:val="0"/>
                <w:numId w:val="61"/>
              </w:numPr>
              <w:rPr>
                <w:color w:val="auto"/>
                <w:sz w:val="18"/>
                <w:szCs w:val="18"/>
                <w:highlight w:val="none"/>
              </w:rPr>
            </w:pPr>
            <w:r>
              <w:rPr>
                <w:color w:val="auto"/>
                <w:sz w:val="18"/>
                <w:szCs w:val="18"/>
                <w:highlight w:val="none"/>
              </w:rPr>
              <w:t>推断压力</w:t>
            </w:r>
            <w:r>
              <w:rPr>
                <w:rFonts w:hint="eastAsia"/>
                <w:color w:val="auto"/>
                <w:sz w:val="18"/>
                <w:szCs w:val="18"/>
                <w:highlight w:val="none"/>
              </w:rPr>
              <w:t>的</w:t>
            </w:r>
            <w:r>
              <w:rPr>
                <w:color w:val="auto"/>
                <w:sz w:val="18"/>
                <w:szCs w:val="18"/>
                <w:highlight w:val="none"/>
              </w:rPr>
              <w:t>影响如何加剧系统对已识别冲击的脆弱性，以及冲击反过来如何放大压力带来的影响。</w:t>
            </w:r>
          </w:p>
        </w:tc>
      </w:tr>
      <w:tr w14:paraId="2D86361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28" w:type="dxa"/>
            <w:left w:w="0" w:type="dxa"/>
            <w:bottom w:w="28" w:type="dxa"/>
            <w:right w:w="0" w:type="dxa"/>
          </w:tblCellMar>
        </w:tblPrEx>
        <w:tc>
          <w:tcPr>
            <w:tcW w:w="296" w:type="pct"/>
            <w:vAlign w:val="center"/>
          </w:tcPr>
          <w:p w14:paraId="00A7E128">
            <w:pPr>
              <w:pStyle w:val="59"/>
              <w:ind w:firstLine="0" w:firstLineChars="0"/>
              <w:rPr>
                <w:color w:val="auto"/>
                <w:sz w:val="18"/>
                <w:highlight w:val="none"/>
              </w:rPr>
            </w:pPr>
            <w:r>
              <w:rPr>
                <w:color w:val="auto"/>
                <w:sz w:val="18"/>
                <w:highlight w:val="none"/>
              </w:rPr>
              <w:t>趋势</w:t>
            </w:r>
          </w:p>
        </w:tc>
        <w:tc>
          <w:tcPr>
            <w:tcW w:w="2343" w:type="pct"/>
            <w:vAlign w:val="center"/>
          </w:tcPr>
          <w:p w14:paraId="2A61FBAB">
            <w:pPr>
              <w:pStyle w:val="177"/>
              <w:numPr>
                <w:ilvl w:val="0"/>
                <w:numId w:val="62"/>
              </w:numPr>
              <w:rPr>
                <w:color w:val="auto"/>
                <w:sz w:val="18"/>
                <w:szCs w:val="18"/>
                <w:highlight w:val="none"/>
              </w:rPr>
            </w:pPr>
            <w:r>
              <w:rPr>
                <w:rFonts w:hint="eastAsia"/>
                <w:color w:val="auto"/>
                <w:sz w:val="18"/>
                <w:szCs w:val="18"/>
                <w:highlight w:val="none"/>
              </w:rPr>
              <w:t>属地长期实践的经验与教训</w:t>
            </w:r>
            <w:r>
              <w:rPr>
                <w:color w:val="auto"/>
                <w:sz w:val="18"/>
                <w:szCs w:val="18"/>
                <w:highlight w:val="none"/>
              </w:rPr>
              <w:t>。</w:t>
            </w:r>
          </w:p>
          <w:p w14:paraId="7A154985">
            <w:pPr>
              <w:pStyle w:val="177"/>
              <w:numPr>
                <w:ilvl w:val="0"/>
                <w:numId w:val="62"/>
              </w:numPr>
              <w:rPr>
                <w:color w:val="auto"/>
                <w:sz w:val="18"/>
                <w:szCs w:val="18"/>
                <w:highlight w:val="none"/>
              </w:rPr>
            </w:pPr>
            <w:r>
              <w:rPr>
                <w:color w:val="auto"/>
                <w:sz w:val="18"/>
                <w:szCs w:val="18"/>
                <w:highlight w:val="none"/>
              </w:rPr>
              <w:t>学术文献和研究成果。</w:t>
            </w:r>
          </w:p>
          <w:p w14:paraId="2CB77D8F">
            <w:pPr>
              <w:pStyle w:val="177"/>
              <w:numPr>
                <w:ilvl w:val="0"/>
                <w:numId w:val="62"/>
              </w:numPr>
              <w:rPr>
                <w:color w:val="auto"/>
                <w:sz w:val="18"/>
                <w:szCs w:val="18"/>
                <w:highlight w:val="none"/>
              </w:rPr>
            </w:pPr>
            <w:r>
              <w:rPr>
                <w:color w:val="auto"/>
                <w:sz w:val="18"/>
                <w:szCs w:val="18"/>
                <w:highlight w:val="none"/>
              </w:rPr>
              <w:t>气候变化模型输出结果。</w:t>
            </w:r>
          </w:p>
          <w:p w14:paraId="35E37258">
            <w:pPr>
              <w:pStyle w:val="177"/>
              <w:numPr>
                <w:ilvl w:val="0"/>
                <w:numId w:val="62"/>
              </w:numPr>
              <w:rPr>
                <w:color w:val="auto"/>
                <w:sz w:val="18"/>
                <w:szCs w:val="18"/>
                <w:highlight w:val="none"/>
              </w:rPr>
            </w:pPr>
            <w:r>
              <w:rPr>
                <w:color w:val="auto"/>
                <w:sz w:val="18"/>
                <w:szCs w:val="18"/>
                <w:highlight w:val="none"/>
              </w:rPr>
              <w:t>其他地区的</w:t>
            </w:r>
            <w:r>
              <w:rPr>
                <w:rFonts w:hint="eastAsia"/>
                <w:color w:val="auto"/>
                <w:sz w:val="18"/>
                <w:szCs w:val="18"/>
                <w:highlight w:val="none"/>
              </w:rPr>
              <w:t>实践案例与经验</w:t>
            </w:r>
            <w:r>
              <w:rPr>
                <w:color w:val="auto"/>
                <w:sz w:val="18"/>
                <w:szCs w:val="18"/>
                <w:highlight w:val="none"/>
              </w:rPr>
              <w:t>。</w:t>
            </w:r>
          </w:p>
        </w:tc>
        <w:tc>
          <w:tcPr>
            <w:tcW w:w="2360" w:type="pct"/>
            <w:vAlign w:val="center"/>
          </w:tcPr>
          <w:p w14:paraId="0A92B079">
            <w:pPr>
              <w:pStyle w:val="177"/>
              <w:numPr>
                <w:ilvl w:val="0"/>
                <w:numId w:val="63"/>
              </w:numPr>
              <w:rPr>
                <w:color w:val="auto"/>
                <w:sz w:val="18"/>
                <w:szCs w:val="18"/>
                <w:highlight w:val="none"/>
              </w:rPr>
            </w:pPr>
            <w:r>
              <w:rPr>
                <w:color w:val="auto"/>
                <w:sz w:val="18"/>
                <w:szCs w:val="18"/>
                <w:highlight w:val="none"/>
              </w:rPr>
              <w:t>通过前瞻性</w:t>
            </w:r>
            <w:r>
              <w:rPr>
                <w:rFonts w:hint="eastAsia"/>
                <w:color w:val="auto"/>
                <w:sz w:val="18"/>
                <w:szCs w:val="18"/>
                <w:highlight w:val="none"/>
              </w:rPr>
              <w:t>风险研判</w:t>
            </w:r>
            <w:r>
              <w:rPr>
                <w:color w:val="auto"/>
                <w:sz w:val="18"/>
                <w:szCs w:val="18"/>
                <w:highlight w:val="none"/>
              </w:rPr>
              <w:t>识别相关趋势。</w:t>
            </w:r>
          </w:p>
          <w:p w14:paraId="4E03C4A8">
            <w:pPr>
              <w:pStyle w:val="177"/>
              <w:numPr>
                <w:ilvl w:val="0"/>
                <w:numId w:val="63"/>
              </w:numPr>
              <w:rPr>
                <w:color w:val="auto"/>
                <w:sz w:val="18"/>
                <w:szCs w:val="18"/>
                <w:highlight w:val="none"/>
              </w:rPr>
            </w:pPr>
            <w:r>
              <w:rPr>
                <w:color w:val="auto"/>
                <w:sz w:val="18"/>
                <w:szCs w:val="18"/>
                <w:highlight w:val="none"/>
              </w:rPr>
              <w:t>推断已识别趋势加剧已识别冲击和压力影响的</w:t>
            </w:r>
            <w:r>
              <w:rPr>
                <w:rFonts w:hint="eastAsia"/>
                <w:color w:val="auto"/>
                <w:sz w:val="18"/>
                <w:szCs w:val="18"/>
                <w:highlight w:val="none"/>
              </w:rPr>
              <w:t>潜在</w:t>
            </w:r>
            <w:r>
              <w:rPr>
                <w:color w:val="auto"/>
                <w:sz w:val="18"/>
                <w:szCs w:val="18"/>
                <w:highlight w:val="none"/>
              </w:rPr>
              <w:t>可能性。</w:t>
            </w:r>
          </w:p>
          <w:p w14:paraId="5CDAE650">
            <w:pPr>
              <w:pStyle w:val="177"/>
              <w:numPr>
                <w:ilvl w:val="0"/>
                <w:numId w:val="63"/>
              </w:numPr>
              <w:rPr>
                <w:color w:val="auto"/>
                <w:sz w:val="18"/>
                <w:szCs w:val="18"/>
                <w:highlight w:val="none"/>
              </w:rPr>
            </w:pPr>
            <w:r>
              <w:rPr>
                <w:color w:val="auto"/>
                <w:sz w:val="18"/>
                <w:szCs w:val="18"/>
                <w:highlight w:val="none"/>
              </w:rPr>
              <w:t>评估这些趋势可能为城市区域带来的机遇。</w:t>
            </w:r>
          </w:p>
        </w:tc>
      </w:tr>
    </w:tbl>
    <w:p w14:paraId="60D430C7">
      <w:pPr>
        <w:pStyle w:val="182"/>
        <w:rPr>
          <w:color w:val="auto"/>
          <w:highlight w:val="none"/>
        </w:rPr>
      </w:pPr>
      <w:r>
        <w:rPr>
          <w:rFonts w:hint="eastAsia"/>
          <w:color w:val="auto"/>
          <w:highlight w:val="none"/>
        </w:rPr>
        <w:t>GB/T 24353</w:t>
      </w:r>
      <w:r>
        <w:rPr>
          <w:color w:val="auto"/>
          <w:highlight w:val="none"/>
        </w:rPr>
        <w:t>提供了风险管理的相关指南。</w:t>
      </w:r>
    </w:p>
    <w:p w14:paraId="6DE77565">
      <w:pPr>
        <w:pStyle w:val="108"/>
        <w:spacing w:before="156" w:after="156"/>
        <w:rPr>
          <w:color w:val="auto"/>
          <w:highlight w:val="none"/>
        </w:rPr>
      </w:pPr>
      <w:bookmarkStart w:id="132" w:name="_Toc4281"/>
      <w:bookmarkEnd w:id="132"/>
      <w:bookmarkStart w:id="133" w:name="_Toc23959"/>
      <w:bookmarkStart w:id="134" w:name="_Toc24404"/>
      <w:r>
        <w:rPr>
          <w:color w:val="auto"/>
          <w:highlight w:val="none"/>
        </w:rPr>
        <w:t>城市韧性评估的系统基</w:t>
      </w:r>
      <w:r>
        <w:rPr>
          <w:rFonts w:hint="eastAsia"/>
          <w:color w:val="auto"/>
          <w:highlight w:val="none"/>
        </w:rPr>
        <w:t>准</w:t>
      </w:r>
      <w:r>
        <w:rPr>
          <w:color w:val="auto"/>
          <w:highlight w:val="none"/>
        </w:rPr>
        <w:t>线</w:t>
      </w:r>
      <w:bookmarkEnd w:id="133"/>
      <w:bookmarkEnd w:id="134"/>
    </w:p>
    <w:p w14:paraId="63E5F6C9">
      <w:pPr>
        <w:pStyle w:val="68"/>
        <w:spacing w:before="156" w:after="156"/>
        <w:rPr>
          <w:bCs/>
          <w:color w:val="auto"/>
          <w:highlight w:val="none"/>
        </w:rPr>
      </w:pPr>
      <w:bookmarkStart w:id="135" w:name="_Toc19752"/>
      <w:bookmarkEnd w:id="135"/>
      <w:bookmarkStart w:id="136" w:name="_Toc26556"/>
      <w:r>
        <w:rPr>
          <w:color w:val="auto"/>
          <w:highlight w:val="none"/>
        </w:rPr>
        <w:t>系统风险</w:t>
      </w:r>
      <w:bookmarkEnd w:id="136"/>
    </w:p>
    <w:p w14:paraId="6047BB93">
      <w:pPr>
        <w:pStyle w:val="59"/>
        <w:ind w:firstLine="420"/>
        <w:rPr>
          <w:color w:val="auto"/>
          <w:highlight w:val="none"/>
        </w:rPr>
      </w:pPr>
      <w:r>
        <w:rPr>
          <w:rFonts w:hint="eastAsia"/>
          <w:color w:val="auto"/>
          <w:highlight w:val="none"/>
        </w:rPr>
        <w:t>战略团队宜完成以下工作</w:t>
      </w:r>
      <w:r>
        <w:rPr>
          <w:color w:val="auto"/>
          <w:highlight w:val="none"/>
        </w:rPr>
        <w:t>：</w:t>
      </w:r>
    </w:p>
    <w:p w14:paraId="2CF8C6E4">
      <w:pPr>
        <w:pStyle w:val="177"/>
        <w:numPr>
          <w:ilvl w:val="0"/>
          <w:numId w:val="64"/>
        </w:numPr>
        <w:bidi w:val="0"/>
        <w:ind w:left="851" w:leftChars="0" w:hanging="426" w:firstLineChars="0"/>
        <w:rPr>
          <w:color w:val="auto"/>
          <w:highlight w:val="none"/>
        </w:rPr>
      </w:pPr>
      <w:r>
        <w:rPr>
          <w:color w:val="auto"/>
          <w:highlight w:val="none"/>
        </w:rPr>
        <w:t>评估已识别</w:t>
      </w:r>
      <w:r>
        <w:rPr>
          <w:rFonts w:hint="eastAsia"/>
          <w:color w:val="auto"/>
          <w:highlight w:val="none"/>
        </w:rPr>
        <w:t>的</w:t>
      </w:r>
      <w:r>
        <w:rPr>
          <w:color w:val="auto"/>
          <w:highlight w:val="none"/>
        </w:rPr>
        <w:t>冲击、压力和趋势对系统关键组成部分</w:t>
      </w:r>
      <w:r>
        <w:rPr>
          <w:rFonts w:hint="eastAsia"/>
          <w:color w:val="auto"/>
          <w:highlight w:val="none"/>
        </w:rPr>
        <w:t>构成</w:t>
      </w:r>
      <w:r>
        <w:rPr>
          <w:color w:val="auto"/>
          <w:highlight w:val="none"/>
        </w:rPr>
        <w:t>的风险；</w:t>
      </w:r>
    </w:p>
    <w:p w14:paraId="408B2375">
      <w:pPr>
        <w:pStyle w:val="177"/>
        <w:numPr>
          <w:ilvl w:val="0"/>
          <w:numId w:val="64"/>
        </w:numPr>
        <w:bidi w:val="0"/>
        <w:ind w:left="851" w:leftChars="0" w:hanging="426" w:firstLineChars="0"/>
        <w:rPr>
          <w:color w:val="auto"/>
          <w:highlight w:val="none"/>
        </w:rPr>
      </w:pPr>
      <w:r>
        <w:rPr>
          <w:rFonts w:hint="eastAsia"/>
          <w:color w:val="auto"/>
          <w:highlight w:val="none"/>
        </w:rPr>
        <w:t>判定</w:t>
      </w:r>
      <w:r>
        <w:rPr>
          <w:color w:val="auto"/>
          <w:highlight w:val="none"/>
        </w:rPr>
        <w:t>所关注的</w:t>
      </w:r>
      <w:r>
        <w:rPr>
          <w:rFonts w:hint="eastAsia"/>
          <w:color w:val="auto"/>
          <w:highlight w:val="none"/>
        </w:rPr>
        <w:t>关键</w:t>
      </w:r>
      <w:r>
        <w:rPr>
          <w:color w:val="auto"/>
          <w:highlight w:val="none"/>
        </w:rPr>
        <w:t>组成部分是否暴露于该风险，</w:t>
      </w:r>
      <w:r>
        <w:rPr>
          <w:rFonts w:hint="eastAsia"/>
          <w:color w:val="auto"/>
          <w:highlight w:val="none"/>
        </w:rPr>
        <w:t>并确定</w:t>
      </w:r>
      <w:r>
        <w:rPr>
          <w:color w:val="auto"/>
          <w:highlight w:val="none"/>
        </w:rPr>
        <w:t>相应的风险等级；</w:t>
      </w:r>
    </w:p>
    <w:p w14:paraId="6A07742C">
      <w:pPr>
        <w:pStyle w:val="177"/>
        <w:numPr>
          <w:ilvl w:val="0"/>
          <w:numId w:val="64"/>
        </w:numPr>
        <w:bidi w:val="0"/>
        <w:ind w:left="851" w:leftChars="0" w:hanging="426" w:firstLineChars="0"/>
        <w:rPr>
          <w:color w:val="auto"/>
          <w:highlight w:val="none"/>
        </w:rPr>
      </w:pPr>
      <w:r>
        <w:rPr>
          <w:rFonts w:hint="eastAsia"/>
          <w:color w:val="auto"/>
          <w:highlight w:val="none"/>
        </w:rPr>
        <w:t>分析</w:t>
      </w:r>
      <w:r>
        <w:rPr>
          <w:color w:val="auto"/>
          <w:highlight w:val="none"/>
        </w:rPr>
        <w:t>风险随时间的变化情况，了解城市</w:t>
      </w:r>
      <w:r>
        <w:rPr>
          <w:rFonts w:hint="eastAsia"/>
          <w:color w:val="auto"/>
          <w:highlight w:val="none"/>
        </w:rPr>
        <w:t>的</w:t>
      </w:r>
      <w:r>
        <w:rPr>
          <w:color w:val="auto"/>
          <w:highlight w:val="none"/>
        </w:rPr>
        <w:t>长期韧性；</w:t>
      </w:r>
    </w:p>
    <w:p w14:paraId="6EE32ECC">
      <w:pPr>
        <w:pStyle w:val="177"/>
        <w:numPr>
          <w:ilvl w:val="0"/>
          <w:numId w:val="64"/>
        </w:numPr>
        <w:bidi w:val="0"/>
        <w:ind w:left="851" w:leftChars="0" w:hanging="426" w:firstLineChars="0"/>
        <w:rPr>
          <w:color w:val="auto"/>
          <w:highlight w:val="none"/>
        </w:rPr>
      </w:pPr>
      <w:r>
        <w:rPr>
          <w:rFonts w:hint="eastAsia"/>
          <w:color w:val="auto"/>
          <w:highlight w:val="none"/>
        </w:rPr>
        <w:t>将</w:t>
      </w:r>
      <w:r>
        <w:rPr>
          <w:color w:val="auto"/>
          <w:highlight w:val="none"/>
        </w:rPr>
        <w:t>气候变化</w:t>
      </w:r>
      <w:r>
        <w:rPr>
          <w:rFonts w:hint="eastAsia"/>
          <w:color w:val="auto"/>
          <w:highlight w:val="none"/>
        </w:rPr>
        <w:t>、</w:t>
      </w:r>
      <w:r>
        <w:rPr>
          <w:color w:val="auto"/>
          <w:highlight w:val="none"/>
        </w:rPr>
        <w:t>人口</w:t>
      </w:r>
      <w:r>
        <w:rPr>
          <w:rFonts w:hint="eastAsia"/>
          <w:color w:val="auto"/>
          <w:highlight w:val="none"/>
        </w:rPr>
        <w:t>变化或</w:t>
      </w:r>
      <w:r>
        <w:rPr>
          <w:color w:val="auto"/>
          <w:highlight w:val="none"/>
        </w:rPr>
        <w:t>人口</w:t>
      </w:r>
      <w:r>
        <w:rPr>
          <w:rFonts w:hint="eastAsia"/>
          <w:color w:val="auto"/>
          <w:highlight w:val="none"/>
        </w:rPr>
        <w:t>结构</w:t>
      </w:r>
      <w:r>
        <w:rPr>
          <w:color w:val="auto"/>
          <w:highlight w:val="none"/>
        </w:rPr>
        <w:t>变化</w:t>
      </w:r>
      <w:r>
        <w:rPr>
          <w:rFonts w:hint="eastAsia"/>
          <w:color w:val="auto"/>
          <w:highlight w:val="none"/>
        </w:rPr>
        <w:t>等长期性趋势与持续性压力纳入</w:t>
      </w:r>
      <w:r>
        <w:rPr>
          <w:color w:val="auto"/>
          <w:highlight w:val="none"/>
        </w:rPr>
        <w:t>城市韧性评估</w:t>
      </w:r>
      <w:r>
        <w:rPr>
          <w:rFonts w:hint="eastAsia"/>
          <w:color w:val="auto"/>
          <w:highlight w:val="none"/>
        </w:rPr>
        <w:t>范畴</w:t>
      </w:r>
      <w:r>
        <w:rPr>
          <w:color w:val="auto"/>
          <w:highlight w:val="none"/>
        </w:rPr>
        <w:t>；</w:t>
      </w:r>
    </w:p>
    <w:p w14:paraId="107F5FE2">
      <w:pPr>
        <w:pStyle w:val="177"/>
        <w:numPr>
          <w:ilvl w:val="0"/>
          <w:numId w:val="64"/>
        </w:numPr>
        <w:bidi w:val="0"/>
        <w:ind w:left="851" w:leftChars="0" w:hanging="426" w:firstLineChars="0"/>
        <w:rPr>
          <w:color w:val="auto"/>
          <w:highlight w:val="none"/>
        </w:rPr>
      </w:pPr>
      <w:r>
        <w:rPr>
          <w:color w:val="auto"/>
          <w:highlight w:val="none"/>
        </w:rPr>
        <w:t>在评估中纳入新兴风险；</w:t>
      </w:r>
    </w:p>
    <w:p w14:paraId="71264A4C">
      <w:pPr>
        <w:pStyle w:val="177"/>
        <w:numPr>
          <w:ilvl w:val="0"/>
          <w:numId w:val="64"/>
        </w:numPr>
        <w:bidi w:val="0"/>
        <w:ind w:left="851" w:leftChars="0" w:hanging="426" w:firstLineChars="0"/>
        <w:rPr>
          <w:color w:val="auto"/>
          <w:highlight w:val="none"/>
        </w:rPr>
      </w:pPr>
      <w:r>
        <w:rPr>
          <w:color w:val="auto"/>
          <w:highlight w:val="none"/>
        </w:rPr>
        <w:t>确定冲击、压力和趋势</w:t>
      </w:r>
      <w:r>
        <w:rPr>
          <w:rFonts w:hint="eastAsia"/>
          <w:color w:val="auto"/>
          <w:highlight w:val="none"/>
        </w:rPr>
        <w:t>对城市系统带来的</w:t>
      </w:r>
      <w:r>
        <w:rPr>
          <w:color w:val="auto"/>
          <w:highlight w:val="none"/>
        </w:rPr>
        <w:t>机遇</w:t>
      </w:r>
      <w:r>
        <w:rPr>
          <w:rFonts w:hint="eastAsia"/>
          <w:color w:val="auto"/>
          <w:highlight w:val="none"/>
        </w:rPr>
        <w:t>和风险</w:t>
      </w:r>
      <w:r>
        <w:rPr>
          <w:color w:val="auto"/>
          <w:highlight w:val="none"/>
        </w:rPr>
        <w:t>。</w:t>
      </w:r>
    </w:p>
    <w:p w14:paraId="2620FF7B">
      <w:pPr>
        <w:pStyle w:val="68"/>
        <w:spacing w:before="156" w:after="156"/>
        <w:rPr>
          <w:bCs/>
          <w:color w:val="auto"/>
          <w:highlight w:val="none"/>
        </w:rPr>
      </w:pPr>
      <w:bookmarkStart w:id="137" w:name="_Toc12432"/>
      <w:bookmarkEnd w:id="137"/>
      <w:bookmarkStart w:id="138" w:name="_Toc22391"/>
      <w:r>
        <w:rPr>
          <w:color w:val="auto"/>
          <w:highlight w:val="none"/>
        </w:rPr>
        <w:t>系统能力</w:t>
      </w:r>
      <w:bookmarkEnd w:id="138"/>
    </w:p>
    <w:p w14:paraId="6798E88A">
      <w:pPr>
        <w:pStyle w:val="59"/>
        <w:ind w:firstLine="420"/>
        <w:rPr>
          <w:color w:val="auto"/>
          <w:highlight w:val="none"/>
        </w:rPr>
      </w:pPr>
      <w:r>
        <w:rPr>
          <w:rFonts w:hint="eastAsia"/>
          <w:color w:val="auto"/>
          <w:highlight w:val="none"/>
        </w:rPr>
        <w:t>战略团队</w:t>
      </w:r>
      <w:r>
        <w:rPr>
          <w:color w:val="auto"/>
          <w:highlight w:val="none"/>
        </w:rPr>
        <w:t>在指导委员会的支持下，</w:t>
      </w:r>
      <w:r>
        <w:rPr>
          <w:rFonts w:hint="eastAsia"/>
          <w:color w:val="auto"/>
          <w:highlight w:val="none"/>
        </w:rPr>
        <w:t>宜将</w:t>
      </w:r>
      <w:r>
        <w:rPr>
          <w:color w:val="auto"/>
          <w:highlight w:val="none"/>
        </w:rPr>
        <w:t>城市系统中现有用于缓解、</w:t>
      </w:r>
      <w:r>
        <w:rPr>
          <w:rFonts w:hint="eastAsia"/>
          <w:color w:val="auto"/>
          <w:highlight w:val="none"/>
        </w:rPr>
        <w:t>应对</w:t>
      </w:r>
      <w:r>
        <w:rPr>
          <w:color w:val="auto"/>
          <w:highlight w:val="none"/>
        </w:rPr>
        <w:t>冲击与压力，并降低整体系统风险的措施纳入城市韧性评估范畴。系统能力</w:t>
      </w:r>
      <w:r>
        <w:rPr>
          <w:rFonts w:hint="eastAsia"/>
          <w:color w:val="auto"/>
          <w:highlight w:val="none"/>
        </w:rPr>
        <w:t>包括但不限于</w:t>
      </w:r>
      <w:r>
        <w:rPr>
          <w:color w:val="auto"/>
          <w:highlight w:val="none"/>
        </w:rPr>
        <w:t>：提升系统强度的稳健性措施、</w:t>
      </w:r>
      <w:r>
        <w:rPr>
          <w:rFonts w:hint="eastAsia"/>
          <w:color w:val="auto"/>
          <w:highlight w:val="none"/>
        </w:rPr>
        <w:t>保障</w:t>
      </w:r>
      <w:r>
        <w:rPr>
          <w:color w:val="auto"/>
          <w:highlight w:val="none"/>
        </w:rPr>
        <w:t>关键系统</w:t>
      </w:r>
      <w:r>
        <w:rPr>
          <w:rFonts w:hint="eastAsia"/>
          <w:color w:val="auto"/>
          <w:highlight w:val="none"/>
        </w:rPr>
        <w:t>运行</w:t>
      </w:r>
      <w:r>
        <w:rPr>
          <w:color w:val="auto"/>
          <w:highlight w:val="none"/>
        </w:rPr>
        <w:t>的冗余备份机制、减轻灾害影响的</w:t>
      </w:r>
      <w:r>
        <w:rPr>
          <w:rFonts w:hint="eastAsia"/>
          <w:color w:val="auto"/>
          <w:highlight w:val="none"/>
        </w:rPr>
        <w:t>应急</w:t>
      </w:r>
      <w:r>
        <w:rPr>
          <w:color w:val="auto"/>
          <w:highlight w:val="none"/>
        </w:rPr>
        <w:t>响应与恢复预案，以及</w:t>
      </w:r>
      <w:r>
        <w:rPr>
          <w:rFonts w:hint="eastAsia"/>
          <w:color w:val="auto"/>
          <w:highlight w:val="none"/>
        </w:rPr>
        <w:t>应对</w:t>
      </w:r>
      <w:r>
        <w:rPr>
          <w:color w:val="auto"/>
          <w:highlight w:val="none"/>
        </w:rPr>
        <w:t>环境变化的灵活性调整能力。</w:t>
      </w:r>
    </w:p>
    <w:p w14:paraId="4BD6CB11">
      <w:pPr>
        <w:pStyle w:val="68"/>
        <w:spacing w:before="156" w:after="156"/>
        <w:rPr>
          <w:bCs/>
          <w:color w:val="auto"/>
          <w:highlight w:val="none"/>
        </w:rPr>
      </w:pPr>
      <w:r>
        <w:rPr>
          <w:rFonts w:hint="eastAsia"/>
          <w:color w:val="auto"/>
          <w:highlight w:val="none"/>
        </w:rPr>
        <w:t>差距</w:t>
      </w:r>
      <w:r>
        <w:rPr>
          <w:color w:val="auto"/>
          <w:highlight w:val="none"/>
        </w:rPr>
        <w:t>分析</w:t>
      </w:r>
    </w:p>
    <w:p w14:paraId="03E0F9C9">
      <w:pPr>
        <w:pStyle w:val="167"/>
        <w:bidi w:val="0"/>
        <w:rPr>
          <w:color w:val="auto"/>
          <w:highlight w:val="none"/>
        </w:rPr>
      </w:pPr>
      <w:r>
        <w:rPr>
          <w:color w:val="auto"/>
          <w:highlight w:val="none"/>
        </w:rPr>
        <w:t>城市韧性评估</w:t>
      </w:r>
      <w:r>
        <w:rPr>
          <w:rFonts w:hint="eastAsia"/>
          <w:color w:val="auto"/>
          <w:highlight w:val="none"/>
        </w:rPr>
        <w:t>宜结合城市社会目标开展</w:t>
      </w:r>
      <w:r>
        <w:rPr>
          <w:color w:val="auto"/>
          <w:highlight w:val="none"/>
        </w:rPr>
        <w:t>，</w:t>
      </w:r>
      <w:r>
        <w:rPr>
          <w:rFonts w:hint="eastAsia"/>
          <w:color w:val="auto"/>
          <w:highlight w:val="none"/>
        </w:rPr>
        <w:t>确定</w:t>
      </w:r>
      <w:r>
        <w:rPr>
          <w:color w:val="auto"/>
          <w:highlight w:val="none"/>
        </w:rPr>
        <w:t>各关键组成部分的风险价值。将</w:t>
      </w:r>
      <w:r>
        <w:rPr>
          <w:rFonts w:hint="eastAsia"/>
          <w:color w:val="auto"/>
          <w:highlight w:val="none"/>
        </w:rPr>
        <w:t>据此建立</w:t>
      </w:r>
      <w:r>
        <w:rPr>
          <w:color w:val="auto"/>
          <w:highlight w:val="none"/>
        </w:rPr>
        <w:t>当前城市韧性水平基准</w:t>
      </w:r>
      <w:r>
        <w:rPr>
          <w:rFonts w:hint="eastAsia"/>
          <w:color w:val="auto"/>
          <w:highlight w:val="none"/>
        </w:rPr>
        <w:t>线，作为</w:t>
      </w:r>
      <w:r>
        <w:rPr>
          <w:color w:val="auto"/>
          <w:highlight w:val="none"/>
        </w:rPr>
        <w:t>城市韧性</w:t>
      </w:r>
      <w:r>
        <w:rPr>
          <w:rFonts w:hint="eastAsia"/>
          <w:color w:val="auto"/>
          <w:highlight w:val="none"/>
        </w:rPr>
        <w:t>建设举措</w:t>
      </w:r>
      <w:r>
        <w:rPr>
          <w:color w:val="auto"/>
          <w:highlight w:val="none"/>
        </w:rPr>
        <w:t>优先级排序</w:t>
      </w:r>
      <w:r>
        <w:rPr>
          <w:rFonts w:hint="eastAsia"/>
          <w:color w:val="auto"/>
          <w:highlight w:val="none"/>
        </w:rPr>
        <w:t>、</w:t>
      </w:r>
      <w:r>
        <w:rPr>
          <w:color w:val="auto"/>
          <w:highlight w:val="none"/>
        </w:rPr>
        <w:t>衡量进展</w:t>
      </w:r>
      <w:r>
        <w:rPr>
          <w:rFonts w:hint="eastAsia"/>
          <w:color w:val="auto"/>
          <w:highlight w:val="none"/>
        </w:rPr>
        <w:t>和</w:t>
      </w:r>
      <w:r>
        <w:rPr>
          <w:color w:val="auto"/>
          <w:highlight w:val="none"/>
        </w:rPr>
        <w:t>构建未来情景设定</w:t>
      </w:r>
      <w:r>
        <w:rPr>
          <w:rFonts w:hint="eastAsia"/>
          <w:color w:val="auto"/>
          <w:highlight w:val="none"/>
        </w:rPr>
        <w:t>的</w:t>
      </w:r>
      <w:r>
        <w:rPr>
          <w:color w:val="auto"/>
          <w:highlight w:val="none"/>
        </w:rPr>
        <w:t>参照</w:t>
      </w:r>
      <w:r>
        <w:rPr>
          <w:rFonts w:hint="eastAsia"/>
          <w:color w:val="auto"/>
          <w:highlight w:val="none"/>
        </w:rPr>
        <w:t>依据</w:t>
      </w:r>
      <w:r>
        <w:rPr>
          <w:color w:val="auto"/>
          <w:highlight w:val="none"/>
        </w:rPr>
        <w:t>。</w:t>
      </w:r>
    </w:p>
    <w:p w14:paraId="2D277D53">
      <w:pPr>
        <w:pStyle w:val="167"/>
        <w:bidi w:val="0"/>
        <w:rPr>
          <w:color w:val="auto"/>
          <w:highlight w:val="none"/>
        </w:rPr>
      </w:pPr>
      <w:r>
        <w:rPr>
          <w:rFonts w:hint="eastAsia"/>
          <w:color w:val="auto"/>
          <w:highlight w:val="none"/>
        </w:rPr>
        <w:t>战略团队宜按下列要求执行</w:t>
      </w:r>
      <w:r>
        <w:rPr>
          <w:color w:val="auto"/>
          <w:highlight w:val="none"/>
        </w:rPr>
        <w:t>：</w:t>
      </w:r>
    </w:p>
    <w:p w14:paraId="53995E90">
      <w:pPr>
        <w:pStyle w:val="177"/>
        <w:numPr>
          <w:ilvl w:val="0"/>
          <w:numId w:val="65"/>
        </w:numPr>
        <w:bidi w:val="0"/>
        <w:ind w:left="851" w:leftChars="0" w:hanging="426" w:firstLineChars="0"/>
        <w:rPr>
          <w:color w:val="auto"/>
          <w:highlight w:val="none"/>
        </w:rPr>
      </w:pPr>
      <w:r>
        <w:rPr>
          <w:rFonts w:hint="eastAsia"/>
          <w:color w:val="auto"/>
          <w:highlight w:val="none"/>
        </w:rPr>
        <w:t>对比分析</w:t>
      </w:r>
      <w:r>
        <w:rPr>
          <w:color w:val="auto"/>
          <w:highlight w:val="none"/>
        </w:rPr>
        <w:t>系统风险与系统能力</w:t>
      </w:r>
      <w:r>
        <w:rPr>
          <w:rFonts w:hint="eastAsia"/>
          <w:color w:val="auto"/>
          <w:highlight w:val="none"/>
        </w:rPr>
        <w:t>，判定</w:t>
      </w:r>
      <w:r>
        <w:rPr>
          <w:color w:val="auto"/>
          <w:highlight w:val="none"/>
        </w:rPr>
        <w:t>城市韧性</w:t>
      </w:r>
      <w:r>
        <w:rPr>
          <w:rFonts w:hint="eastAsia"/>
          <w:color w:val="auto"/>
          <w:highlight w:val="none"/>
        </w:rPr>
        <w:t>差距</w:t>
      </w:r>
      <w:r>
        <w:rPr>
          <w:color w:val="auto"/>
          <w:highlight w:val="none"/>
        </w:rPr>
        <w:t>，</w:t>
      </w:r>
      <w:r>
        <w:rPr>
          <w:rFonts w:hint="eastAsia"/>
          <w:color w:val="auto"/>
          <w:highlight w:val="none"/>
        </w:rPr>
        <w:t>以此明确</w:t>
      </w:r>
      <w:r>
        <w:rPr>
          <w:color w:val="auto"/>
          <w:highlight w:val="none"/>
        </w:rPr>
        <w:t>城市韧性</w:t>
      </w:r>
      <w:r>
        <w:rPr>
          <w:rFonts w:hint="eastAsia"/>
          <w:color w:val="auto"/>
          <w:highlight w:val="none"/>
        </w:rPr>
        <w:t>提升</w:t>
      </w:r>
      <w:r>
        <w:rPr>
          <w:color w:val="auto"/>
          <w:highlight w:val="none"/>
        </w:rPr>
        <w:t>的领域</w:t>
      </w:r>
      <w:r>
        <w:rPr>
          <w:rFonts w:hint="eastAsia"/>
          <w:color w:val="auto"/>
          <w:highlight w:val="none"/>
        </w:rPr>
        <w:t>，并识别</w:t>
      </w:r>
      <w:r>
        <w:rPr>
          <w:color w:val="auto"/>
          <w:highlight w:val="none"/>
        </w:rPr>
        <w:t>关键系统剩余风险；</w:t>
      </w:r>
    </w:p>
    <w:p w14:paraId="7065B7D9">
      <w:pPr>
        <w:pStyle w:val="177"/>
        <w:numPr>
          <w:ilvl w:val="0"/>
          <w:numId w:val="65"/>
        </w:numPr>
        <w:bidi w:val="0"/>
        <w:ind w:left="851" w:leftChars="0" w:hanging="426" w:firstLineChars="0"/>
        <w:rPr>
          <w:color w:val="auto"/>
          <w:highlight w:val="none"/>
        </w:rPr>
      </w:pPr>
      <w:r>
        <w:rPr>
          <w:color w:val="auto"/>
          <w:highlight w:val="none"/>
        </w:rPr>
        <w:t>基于指标</w:t>
      </w:r>
      <w:r>
        <w:rPr>
          <w:rFonts w:hint="eastAsia"/>
          <w:color w:val="auto"/>
          <w:highlight w:val="none"/>
        </w:rPr>
        <w:t>体系</w:t>
      </w:r>
      <w:r>
        <w:rPr>
          <w:color w:val="auto"/>
          <w:highlight w:val="none"/>
        </w:rPr>
        <w:t>识别</w:t>
      </w:r>
      <w:r>
        <w:rPr>
          <w:rFonts w:hint="eastAsia"/>
          <w:color w:val="auto"/>
          <w:highlight w:val="none"/>
        </w:rPr>
        <w:t>相关</w:t>
      </w:r>
      <w:r>
        <w:rPr>
          <w:color w:val="auto"/>
          <w:highlight w:val="none"/>
        </w:rPr>
        <w:t>领域。</w:t>
      </w:r>
    </w:p>
    <w:p w14:paraId="26FCEC73">
      <w:pPr>
        <w:pStyle w:val="182"/>
        <w:rPr>
          <w:color w:val="auto"/>
          <w:highlight w:val="none"/>
        </w:rPr>
      </w:pPr>
      <w:r>
        <w:rPr>
          <w:color w:val="auto"/>
          <w:highlight w:val="none"/>
        </w:rPr>
        <w:t>现有多种工具可用于数据收集与分析，以构建城市韧性画像</w:t>
      </w:r>
      <w:r>
        <w:rPr>
          <w:rFonts w:hint="eastAsia"/>
          <w:color w:val="auto"/>
          <w:highlight w:val="none"/>
        </w:rPr>
        <w:t>，</w:t>
      </w:r>
      <w:r>
        <w:rPr>
          <w:color w:val="auto"/>
          <w:highlight w:val="none"/>
        </w:rPr>
        <w:t>包括明确其具体优势与劣势，并确立规划及衡量未来进展的基准线。</w:t>
      </w:r>
    </w:p>
    <w:p w14:paraId="4552A04D">
      <w:pPr>
        <w:pStyle w:val="108"/>
        <w:spacing w:before="156" w:after="156"/>
        <w:rPr>
          <w:color w:val="auto"/>
          <w:highlight w:val="none"/>
        </w:rPr>
      </w:pPr>
      <w:bookmarkStart w:id="139" w:name="_Toc26028"/>
      <w:bookmarkEnd w:id="139"/>
      <w:bookmarkStart w:id="140" w:name="_Toc17987"/>
      <w:bookmarkStart w:id="141" w:name="_Toc206170534"/>
      <w:bookmarkStart w:id="142" w:name="_Toc31230"/>
      <w:bookmarkStart w:id="143" w:name="_Toc20978"/>
      <w:r>
        <w:rPr>
          <w:color w:val="auto"/>
          <w:highlight w:val="none"/>
        </w:rPr>
        <w:t>情景</w:t>
      </w:r>
      <w:r>
        <w:rPr>
          <w:rFonts w:hint="eastAsia"/>
          <w:color w:val="auto"/>
          <w:highlight w:val="none"/>
        </w:rPr>
        <w:t>构建</w:t>
      </w:r>
      <w:r>
        <w:rPr>
          <w:color w:val="auto"/>
          <w:highlight w:val="none"/>
        </w:rPr>
        <w:t>与城市韧性测试</w:t>
      </w:r>
      <w:bookmarkEnd w:id="140"/>
      <w:bookmarkEnd w:id="141"/>
      <w:bookmarkEnd w:id="142"/>
      <w:bookmarkEnd w:id="143"/>
    </w:p>
    <w:p w14:paraId="4BBEEFF5">
      <w:pPr>
        <w:pStyle w:val="168"/>
        <w:bidi w:val="0"/>
        <w:rPr>
          <w:color w:val="auto"/>
          <w:highlight w:val="none"/>
        </w:rPr>
      </w:pPr>
      <w:r>
        <w:rPr>
          <w:rFonts w:hint="eastAsia"/>
          <w:color w:val="auto"/>
          <w:highlight w:val="none"/>
        </w:rPr>
        <w:t>责任机构宜采用预先设定的</w:t>
      </w:r>
      <w:r>
        <w:rPr>
          <w:color w:val="auto"/>
          <w:highlight w:val="none"/>
        </w:rPr>
        <w:t>情景</w:t>
      </w:r>
      <w:r>
        <w:rPr>
          <w:rFonts w:hint="eastAsia"/>
          <w:color w:val="auto"/>
          <w:highlight w:val="none"/>
        </w:rPr>
        <w:t>开展</w:t>
      </w:r>
      <w:r>
        <w:rPr>
          <w:color w:val="auto"/>
          <w:highlight w:val="none"/>
        </w:rPr>
        <w:t>模拟</w:t>
      </w:r>
      <w:r>
        <w:rPr>
          <w:rFonts w:hint="eastAsia"/>
          <w:color w:val="auto"/>
          <w:highlight w:val="none"/>
        </w:rPr>
        <w:t>推演和</w:t>
      </w:r>
      <w:r>
        <w:rPr>
          <w:color w:val="auto"/>
          <w:highlight w:val="none"/>
        </w:rPr>
        <w:t>韧性演练，</w:t>
      </w:r>
      <w:r>
        <w:rPr>
          <w:rFonts w:hint="eastAsia"/>
          <w:color w:val="auto"/>
          <w:highlight w:val="none"/>
        </w:rPr>
        <w:t>对社区应对城市运行中断事件的准备状态与响应能力进行评估</w:t>
      </w:r>
      <w:r>
        <w:rPr>
          <w:color w:val="auto"/>
          <w:highlight w:val="none"/>
        </w:rPr>
        <w:t>，并测试地震、恐怖袭击、洪水等</w:t>
      </w:r>
      <w:r>
        <w:rPr>
          <w:rFonts w:hint="eastAsia"/>
          <w:color w:val="auto"/>
          <w:highlight w:val="none"/>
        </w:rPr>
        <w:t>突发</w:t>
      </w:r>
      <w:r>
        <w:rPr>
          <w:color w:val="auto"/>
          <w:highlight w:val="none"/>
        </w:rPr>
        <w:t>事件</w:t>
      </w:r>
      <w:r>
        <w:rPr>
          <w:rFonts w:hint="eastAsia"/>
          <w:color w:val="auto"/>
          <w:highlight w:val="none"/>
        </w:rPr>
        <w:t>造成的</w:t>
      </w:r>
      <w:r>
        <w:rPr>
          <w:color w:val="auto"/>
          <w:highlight w:val="none"/>
        </w:rPr>
        <w:t>影响。</w:t>
      </w:r>
    </w:p>
    <w:p w14:paraId="2CDB5A78">
      <w:pPr>
        <w:pStyle w:val="168"/>
        <w:bidi w:val="0"/>
        <w:rPr>
          <w:color w:val="auto"/>
          <w:highlight w:val="none"/>
        </w:rPr>
      </w:pPr>
      <w:r>
        <w:rPr>
          <w:color w:val="auto"/>
          <w:highlight w:val="none"/>
        </w:rPr>
        <w:t>城市韧性</w:t>
      </w:r>
      <w:r>
        <w:rPr>
          <w:rFonts w:hint="eastAsia"/>
          <w:color w:val="auto"/>
          <w:highlight w:val="none"/>
        </w:rPr>
        <w:t>负责人宜</w:t>
      </w:r>
      <w:r>
        <w:rPr>
          <w:color w:val="auto"/>
          <w:highlight w:val="none"/>
        </w:rPr>
        <w:t>在</w:t>
      </w:r>
      <w:r>
        <w:rPr>
          <w:rFonts w:hint="eastAsia"/>
          <w:color w:val="auto"/>
          <w:highlight w:val="none"/>
        </w:rPr>
        <w:t>战略团队</w:t>
      </w:r>
      <w:r>
        <w:rPr>
          <w:color w:val="auto"/>
          <w:highlight w:val="none"/>
        </w:rPr>
        <w:t>的支持下</w:t>
      </w:r>
      <w:r>
        <w:rPr>
          <w:rFonts w:hint="eastAsia"/>
          <w:color w:val="auto"/>
          <w:highlight w:val="none"/>
        </w:rPr>
        <w:t>，</w:t>
      </w:r>
      <w:r>
        <w:rPr>
          <w:color w:val="auto"/>
          <w:highlight w:val="none"/>
        </w:rPr>
        <w:t>构建情景</w:t>
      </w:r>
      <w:r>
        <w:rPr>
          <w:rFonts w:hint="eastAsia"/>
          <w:color w:val="auto"/>
          <w:highlight w:val="none"/>
        </w:rPr>
        <w:t>，以对</w:t>
      </w:r>
      <w:r>
        <w:rPr>
          <w:color w:val="auto"/>
          <w:highlight w:val="none"/>
        </w:rPr>
        <w:t>当前假设、</w:t>
      </w:r>
      <w:r>
        <w:rPr>
          <w:rFonts w:hint="eastAsia"/>
          <w:color w:val="auto"/>
          <w:highlight w:val="none"/>
        </w:rPr>
        <w:t>基准线</w:t>
      </w:r>
      <w:r>
        <w:rPr>
          <w:color w:val="auto"/>
          <w:highlight w:val="none"/>
        </w:rPr>
        <w:t>模型及未来趋势开展压力测试，并确</w:t>
      </w:r>
      <w:r>
        <w:rPr>
          <w:rFonts w:hint="eastAsia"/>
          <w:color w:val="auto"/>
          <w:highlight w:val="none"/>
        </w:rPr>
        <w:t>定</w:t>
      </w:r>
      <w:r>
        <w:rPr>
          <w:color w:val="auto"/>
          <w:highlight w:val="none"/>
        </w:rPr>
        <w:t>相应的城市韧性战略。</w:t>
      </w:r>
    </w:p>
    <w:p w14:paraId="76F37BF1">
      <w:pPr>
        <w:pStyle w:val="108"/>
        <w:spacing w:before="156" w:after="156"/>
        <w:rPr>
          <w:bCs/>
          <w:color w:val="auto"/>
          <w:highlight w:val="none"/>
        </w:rPr>
      </w:pPr>
      <w:bookmarkStart w:id="144" w:name="_Toc7019"/>
      <w:bookmarkStart w:id="145" w:name="_Toc15506"/>
      <w:r>
        <w:rPr>
          <w:color w:val="auto"/>
          <w:highlight w:val="none"/>
        </w:rPr>
        <w:t>城市韧性需求</w:t>
      </w:r>
      <w:r>
        <w:rPr>
          <w:rFonts w:hint="eastAsia"/>
          <w:color w:val="auto"/>
          <w:highlight w:val="none"/>
        </w:rPr>
        <w:t>的</w:t>
      </w:r>
      <w:r>
        <w:rPr>
          <w:color w:val="auto"/>
          <w:highlight w:val="none"/>
        </w:rPr>
        <w:t>识别</w:t>
      </w:r>
      <w:r>
        <w:rPr>
          <w:rFonts w:hint="eastAsia"/>
          <w:color w:val="auto"/>
          <w:highlight w:val="none"/>
        </w:rPr>
        <w:t>与</w:t>
      </w:r>
      <w:r>
        <w:rPr>
          <w:color w:val="auto"/>
          <w:highlight w:val="none"/>
        </w:rPr>
        <w:t>优先</w:t>
      </w:r>
      <w:r>
        <w:rPr>
          <w:rFonts w:hint="eastAsia"/>
          <w:color w:val="auto"/>
          <w:highlight w:val="none"/>
        </w:rPr>
        <w:t>级</w:t>
      </w:r>
      <w:r>
        <w:rPr>
          <w:color w:val="auto"/>
          <w:highlight w:val="none"/>
        </w:rPr>
        <w:t>排序</w:t>
      </w:r>
      <w:bookmarkEnd w:id="144"/>
      <w:bookmarkEnd w:id="145"/>
    </w:p>
    <w:p w14:paraId="01A61079">
      <w:pPr>
        <w:pStyle w:val="168"/>
        <w:bidi w:val="0"/>
        <w:rPr>
          <w:color w:val="auto"/>
          <w:highlight w:val="none"/>
        </w:rPr>
      </w:pPr>
      <w:r>
        <w:rPr>
          <w:color w:val="auto"/>
          <w:highlight w:val="none"/>
        </w:rPr>
        <w:t>城市韧性需求是城市韧性评估的核心</w:t>
      </w:r>
      <w:r>
        <w:rPr>
          <w:rFonts w:hint="eastAsia"/>
          <w:color w:val="auto"/>
          <w:highlight w:val="none"/>
        </w:rPr>
        <w:t>应用输出</w:t>
      </w:r>
      <w:r>
        <w:rPr>
          <w:color w:val="auto"/>
          <w:highlight w:val="none"/>
        </w:rPr>
        <w:t>，为制定城市韧性</w:t>
      </w:r>
      <w:r>
        <w:rPr>
          <w:rFonts w:hint="eastAsia"/>
          <w:color w:val="auto"/>
          <w:highlight w:val="none"/>
        </w:rPr>
        <w:t>举措</w:t>
      </w:r>
      <w:r>
        <w:rPr>
          <w:color w:val="auto"/>
          <w:highlight w:val="none"/>
        </w:rPr>
        <w:t>提供宏观分类依据。</w:t>
      </w:r>
      <w:r>
        <w:rPr>
          <w:rFonts w:hint="eastAsia"/>
          <w:color w:val="auto"/>
          <w:highlight w:val="none"/>
        </w:rPr>
        <w:t>城市韧性</w:t>
      </w:r>
      <w:r>
        <w:rPr>
          <w:color w:val="auto"/>
          <w:highlight w:val="none"/>
        </w:rPr>
        <w:t>需求</w:t>
      </w:r>
      <w:r>
        <w:rPr>
          <w:rFonts w:hint="eastAsia"/>
          <w:color w:val="auto"/>
          <w:highlight w:val="none"/>
        </w:rPr>
        <w:t>体现在</w:t>
      </w:r>
      <w:r>
        <w:rPr>
          <w:color w:val="auto"/>
          <w:highlight w:val="none"/>
        </w:rPr>
        <w:t>城市系统风险</w:t>
      </w:r>
      <w:r>
        <w:rPr>
          <w:rFonts w:hint="eastAsia"/>
          <w:color w:val="auto"/>
          <w:highlight w:val="none"/>
        </w:rPr>
        <w:t>叠加区域</w:t>
      </w:r>
      <w:r>
        <w:rPr>
          <w:color w:val="auto"/>
          <w:highlight w:val="none"/>
        </w:rPr>
        <w:t>，是</w:t>
      </w:r>
      <w:r>
        <w:rPr>
          <w:rFonts w:hint="eastAsia"/>
          <w:color w:val="auto"/>
          <w:highlight w:val="none"/>
        </w:rPr>
        <w:t>推动城市社会目标落地见效</w:t>
      </w:r>
      <w:r>
        <w:rPr>
          <w:color w:val="auto"/>
          <w:highlight w:val="none"/>
        </w:rPr>
        <w:t>的关键节点。</w:t>
      </w:r>
    </w:p>
    <w:p w14:paraId="740BC052">
      <w:pPr>
        <w:pStyle w:val="168"/>
        <w:bidi w:val="0"/>
        <w:rPr>
          <w:color w:val="auto"/>
          <w:highlight w:val="none"/>
        </w:rPr>
      </w:pPr>
      <w:r>
        <w:rPr>
          <w:rFonts w:hint="eastAsia"/>
          <w:color w:val="auto"/>
          <w:highlight w:val="none"/>
        </w:rPr>
        <w:t>战略团队宜完成下列工作</w:t>
      </w:r>
      <w:r>
        <w:rPr>
          <w:color w:val="auto"/>
          <w:highlight w:val="none"/>
        </w:rPr>
        <w:t>：</w:t>
      </w:r>
    </w:p>
    <w:p w14:paraId="32C3522C">
      <w:pPr>
        <w:pStyle w:val="177"/>
        <w:numPr>
          <w:ilvl w:val="0"/>
          <w:numId w:val="66"/>
        </w:numPr>
        <w:bidi w:val="0"/>
        <w:ind w:left="851" w:leftChars="0" w:hanging="426" w:firstLineChars="0"/>
        <w:rPr>
          <w:color w:val="auto"/>
          <w:highlight w:val="none"/>
        </w:rPr>
      </w:pPr>
      <w:r>
        <w:rPr>
          <w:color w:val="auto"/>
          <w:highlight w:val="none"/>
        </w:rPr>
        <w:t>基于系统韧性评估结果，识别城市韧性需求</w:t>
      </w:r>
      <w:r>
        <w:rPr>
          <w:rFonts w:hint="eastAsia"/>
          <w:color w:val="auto"/>
          <w:highlight w:val="none"/>
        </w:rPr>
        <w:t>，</w:t>
      </w:r>
      <w:r>
        <w:rPr>
          <w:color w:val="auto"/>
          <w:highlight w:val="none"/>
        </w:rPr>
        <w:t>并</w:t>
      </w:r>
      <w:r>
        <w:rPr>
          <w:rFonts w:hint="eastAsia"/>
          <w:color w:val="auto"/>
          <w:highlight w:val="none"/>
        </w:rPr>
        <w:t>从社会、经济、基础设施、生态环境和治理等宏观维度进行分类</w:t>
      </w:r>
      <w:r>
        <w:rPr>
          <w:color w:val="auto"/>
          <w:highlight w:val="none"/>
        </w:rPr>
        <w:t>；</w:t>
      </w:r>
    </w:p>
    <w:p w14:paraId="179F201F">
      <w:pPr>
        <w:pStyle w:val="177"/>
        <w:numPr>
          <w:ilvl w:val="0"/>
          <w:numId w:val="66"/>
        </w:numPr>
        <w:bidi w:val="0"/>
        <w:ind w:left="851" w:leftChars="0" w:hanging="426" w:firstLineChars="0"/>
        <w:rPr>
          <w:color w:val="auto"/>
          <w:highlight w:val="none"/>
        </w:rPr>
      </w:pPr>
      <w:r>
        <w:rPr>
          <w:color w:val="auto"/>
          <w:highlight w:val="none"/>
        </w:rPr>
        <w:t>通过分析与评估，核实城市韧性需求并确定其优先级排序；</w:t>
      </w:r>
    </w:p>
    <w:p w14:paraId="461318EF">
      <w:pPr>
        <w:pStyle w:val="177"/>
        <w:numPr>
          <w:ilvl w:val="0"/>
          <w:numId w:val="66"/>
        </w:numPr>
        <w:bidi w:val="0"/>
        <w:ind w:left="851" w:leftChars="0" w:hanging="426" w:firstLineChars="0"/>
        <w:rPr>
          <w:color w:val="auto"/>
          <w:highlight w:val="none"/>
        </w:rPr>
      </w:pPr>
      <w:r>
        <w:rPr>
          <w:rFonts w:hint="eastAsia"/>
          <w:color w:val="auto"/>
          <w:highlight w:val="none"/>
        </w:rPr>
        <w:t>必要时</w:t>
      </w:r>
      <w:r>
        <w:rPr>
          <w:color w:val="auto"/>
          <w:highlight w:val="none"/>
        </w:rPr>
        <w:t>，联合当地社区、指导委员会及咨询委员会</w:t>
      </w:r>
      <w:r>
        <w:rPr>
          <w:rFonts w:hint="eastAsia"/>
          <w:color w:val="auto"/>
          <w:highlight w:val="none"/>
        </w:rPr>
        <w:t>组织</w:t>
      </w:r>
      <w:r>
        <w:rPr>
          <w:color w:val="auto"/>
          <w:highlight w:val="none"/>
        </w:rPr>
        <w:t>利益相关方</w:t>
      </w:r>
      <w:r>
        <w:rPr>
          <w:rFonts w:hint="eastAsia"/>
          <w:color w:val="auto"/>
          <w:highlight w:val="none"/>
        </w:rPr>
        <w:t>研讨</w:t>
      </w:r>
      <w:r>
        <w:rPr>
          <w:color w:val="auto"/>
          <w:highlight w:val="none"/>
        </w:rPr>
        <w:t>，就城市韧性战略优先解决</w:t>
      </w:r>
      <w:r>
        <w:rPr>
          <w:rFonts w:hint="eastAsia"/>
          <w:color w:val="auto"/>
          <w:highlight w:val="none"/>
        </w:rPr>
        <w:t>的</w:t>
      </w:r>
      <w:r>
        <w:rPr>
          <w:color w:val="auto"/>
          <w:highlight w:val="none"/>
        </w:rPr>
        <w:t>需求</w:t>
      </w:r>
      <w:r>
        <w:rPr>
          <w:rFonts w:hint="eastAsia"/>
          <w:color w:val="auto"/>
          <w:highlight w:val="none"/>
        </w:rPr>
        <w:t>达成</w:t>
      </w:r>
      <w:r>
        <w:rPr>
          <w:color w:val="auto"/>
          <w:highlight w:val="none"/>
        </w:rPr>
        <w:t>共识。</w:t>
      </w:r>
    </w:p>
    <w:p w14:paraId="4DD8941D">
      <w:pPr>
        <w:pStyle w:val="59"/>
        <w:ind w:firstLine="420"/>
        <w:rPr>
          <w:color w:val="auto"/>
          <w:highlight w:val="none"/>
        </w:rPr>
      </w:pPr>
      <w:r>
        <w:rPr>
          <w:color w:val="auto"/>
          <w:highlight w:val="none"/>
        </w:rPr>
        <w:t>有关社区参与策略见6.3。</w:t>
      </w:r>
    </w:p>
    <w:bookmarkEnd w:id="86"/>
    <w:bookmarkEnd w:id="87"/>
    <w:p w14:paraId="2B368F81">
      <w:pPr>
        <w:pStyle w:val="107"/>
        <w:spacing w:before="312" w:after="312"/>
        <w:rPr>
          <w:bCs/>
          <w:color w:val="auto"/>
          <w:highlight w:val="none"/>
        </w:rPr>
      </w:pPr>
      <w:bookmarkStart w:id="146" w:name="_Toc15646"/>
      <w:bookmarkStart w:id="147" w:name="_Toc206170543"/>
      <w:bookmarkStart w:id="148" w:name="_Toc14667"/>
      <w:r>
        <w:rPr>
          <w:color w:val="auto"/>
          <w:highlight w:val="none"/>
        </w:rPr>
        <w:t>战略制定</w:t>
      </w:r>
      <w:bookmarkEnd w:id="146"/>
    </w:p>
    <w:p w14:paraId="3C1BF44D">
      <w:pPr>
        <w:pStyle w:val="108"/>
        <w:spacing w:before="156" w:after="156"/>
        <w:rPr>
          <w:bCs/>
          <w:color w:val="auto"/>
          <w:highlight w:val="none"/>
        </w:rPr>
      </w:pPr>
      <w:bookmarkStart w:id="149" w:name="_Toc25391"/>
      <w:bookmarkEnd w:id="149"/>
      <w:bookmarkStart w:id="150" w:name="_Toc13814"/>
      <w:bookmarkStart w:id="151" w:name="_Toc29630"/>
      <w:bookmarkStart w:id="152" w:name="_Toc30367"/>
      <w:bookmarkStart w:id="153" w:name="_Toc206170537"/>
      <w:r>
        <w:rPr>
          <w:rFonts w:hint="eastAsia"/>
          <w:color w:val="auto"/>
          <w:highlight w:val="none"/>
          <w:lang w:val="en-US" w:eastAsia="zh-CN"/>
        </w:rPr>
        <w:t>概述</w:t>
      </w:r>
      <w:bookmarkEnd w:id="150"/>
      <w:bookmarkEnd w:id="151"/>
      <w:bookmarkEnd w:id="152"/>
      <w:bookmarkEnd w:id="153"/>
    </w:p>
    <w:p w14:paraId="78E7F8CF">
      <w:pPr>
        <w:pStyle w:val="59"/>
        <w:ind w:firstLine="420"/>
        <w:rPr>
          <w:color w:val="auto"/>
          <w:highlight w:val="none"/>
        </w:rPr>
      </w:pPr>
      <w:r>
        <w:rPr>
          <w:rFonts w:hint="eastAsia"/>
          <w:color w:val="auto"/>
          <w:highlight w:val="none"/>
        </w:rPr>
        <w:t>领导小组办公室宜</w:t>
      </w:r>
      <w:r>
        <w:rPr>
          <w:color w:val="auto"/>
          <w:highlight w:val="none"/>
        </w:rPr>
        <w:t>针对</w:t>
      </w:r>
      <w:r>
        <w:rPr>
          <w:rFonts w:hint="eastAsia"/>
          <w:color w:val="auto"/>
          <w:highlight w:val="none"/>
        </w:rPr>
        <w:t>城市已识别</w:t>
      </w:r>
      <w:r>
        <w:rPr>
          <w:color w:val="auto"/>
          <w:highlight w:val="none"/>
        </w:rPr>
        <w:t>风险采</w:t>
      </w:r>
      <w:r>
        <w:rPr>
          <w:rFonts w:hint="eastAsia"/>
          <w:color w:val="auto"/>
          <w:highlight w:val="none"/>
        </w:rPr>
        <w:t>用</w:t>
      </w:r>
      <w:r>
        <w:rPr>
          <w:color w:val="auto"/>
          <w:highlight w:val="none"/>
        </w:rPr>
        <w:t>适当的处理方法（见8.2）</w:t>
      </w:r>
      <w:r>
        <w:rPr>
          <w:rFonts w:hint="eastAsia"/>
          <w:color w:val="auto"/>
          <w:highlight w:val="none"/>
        </w:rPr>
        <w:t>，并制定综合性</w:t>
      </w:r>
      <w:r>
        <w:rPr>
          <w:color w:val="auto"/>
          <w:highlight w:val="none"/>
        </w:rPr>
        <w:t>城市韧性战略</w:t>
      </w:r>
      <w:r>
        <w:rPr>
          <w:rFonts w:hint="eastAsia"/>
          <w:color w:val="auto"/>
          <w:highlight w:val="none"/>
        </w:rPr>
        <w:t>，列出一系列</w:t>
      </w:r>
      <w:r>
        <w:rPr>
          <w:color w:val="auto"/>
          <w:highlight w:val="none"/>
        </w:rPr>
        <w:t>风险</w:t>
      </w:r>
      <w:r>
        <w:rPr>
          <w:rFonts w:hint="eastAsia"/>
          <w:color w:val="auto"/>
          <w:highlight w:val="none"/>
        </w:rPr>
        <w:t>治理</w:t>
      </w:r>
      <w:r>
        <w:rPr>
          <w:color w:val="auto"/>
          <w:highlight w:val="none"/>
        </w:rPr>
        <w:t>及韧性能力建设</w:t>
      </w:r>
      <w:r>
        <w:rPr>
          <w:rFonts w:hint="eastAsia"/>
          <w:color w:val="auto"/>
          <w:highlight w:val="none"/>
        </w:rPr>
        <w:t>措施</w:t>
      </w:r>
      <w:r>
        <w:rPr>
          <w:color w:val="auto"/>
          <w:highlight w:val="none"/>
        </w:rPr>
        <w:t>（见8.3.1），根据</w:t>
      </w:r>
      <w:r>
        <w:rPr>
          <w:rFonts w:hint="eastAsia"/>
          <w:color w:val="auto"/>
          <w:highlight w:val="none"/>
        </w:rPr>
        <w:t>各项措施</w:t>
      </w:r>
      <w:r>
        <w:rPr>
          <w:color w:val="auto"/>
          <w:highlight w:val="none"/>
        </w:rPr>
        <w:t>对</w:t>
      </w:r>
      <w:r>
        <w:rPr>
          <w:rFonts w:hint="eastAsia"/>
          <w:color w:val="auto"/>
          <w:highlight w:val="none"/>
        </w:rPr>
        <w:t>城市社会发展目标的支撑性以及其他标准</w:t>
      </w:r>
      <w:r>
        <w:rPr>
          <w:color w:val="auto"/>
          <w:highlight w:val="none"/>
        </w:rPr>
        <w:t>确定优先</w:t>
      </w:r>
      <w:r>
        <w:rPr>
          <w:rFonts w:hint="eastAsia"/>
          <w:color w:val="auto"/>
          <w:highlight w:val="none"/>
        </w:rPr>
        <w:t>序</w:t>
      </w:r>
      <w:r>
        <w:rPr>
          <w:color w:val="auto"/>
          <w:highlight w:val="none"/>
        </w:rPr>
        <w:t>（见8.4）。</w:t>
      </w:r>
    </w:p>
    <w:p w14:paraId="777AA266">
      <w:pPr>
        <w:pStyle w:val="108"/>
        <w:spacing w:before="156" w:after="156"/>
        <w:rPr>
          <w:bCs/>
          <w:color w:val="auto"/>
          <w:highlight w:val="none"/>
        </w:rPr>
      </w:pPr>
      <w:bookmarkStart w:id="154" w:name="_Toc15617"/>
      <w:bookmarkEnd w:id="154"/>
      <w:bookmarkStart w:id="155" w:name="_Toc206170538"/>
      <w:bookmarkStart w:id="156" w:name="_Toc25018"/>
      <w:bookmarkStart w:id="157" w:name="_Toc6922"/>
      <w:bookmarkStart w:id="158" w:name="_Toc16127"/>
      <w:r>
        <w:rPr>
          <w:color w:val="auto"/>
          <w:highlight w:val="none"/>
        </w:rPr>
        <w:t>风险偏好与处理</w:t>
      </w:r>
      <w:bookmarkEnd w:id="155"/>
      <w:bookmarkEnd w:id="156"/>
      <w:bookmarkEnd w:id="157"/>
      <w:bookmarkEnd w:id="158"/>
    </w:p>
    <w:p w14:paraId="4637B75B">
      <w:pPr>
        <w:pStyle w:val="59"/>
        <w:ind w:firstLine="420"/>
        <w:rPr>
          <w:color w:val="auto"/>
          <w:highlight w:val="none"/>
        </w:rPr>
      </w:pPr>
      <w:r>
        <w:rPr>
          <w:rFonts w:hint="eastAsia"/>
          <w:color w:val="auto"/>
          <w:highlight w:val="none"/>
        </w:rPr>
        <w:t>城市韧性建设领导小组以及指导委员会宜</w:t>
      </w:r>
      <w:r>
        <w:rPr>
          <w:color w:val="auto"/>
          <w:highlight w:val="none"/>
        </w:rPr>
        <w:t>结合</w:t>
      </w:r>
      <w:r>
        <w:rPr>
          <w:rFonts w:hint="eastAsia"/>
          <w:color w:val="auto"/>
          <w:highlight w:val="none"/>
        </w:rPr>
        <w:t>咨询委员会</w:t>
      </w:r>
      <w:r>
        <w:rPr>
          <w:color w:val="auto"/>
          <w:highlight w:val="none"/>
        </w:rPr>
        <w:t>的意见（如适用），</w:t>
      </w:r>
      <w:r>
        <w:rPr>
          <w:rFonts w:hint="eastAsia"/>
          <w:color w:val="auto"/>
          <w:highlight w:val="none"/>
        </w:rPr>
        <w:t>围绕</w:t>
      </w:r>
      <w:r>
        <w:rPr>
          <w:color w:val="auto"/>
          <w:highlight w:val="none"/>
        </w:rPr>
        <w:t>实现城市可</w:t>
      </w:r>
      <w:r>
        <w:rPr>
          <w:rFonts w:hint="eastAsia"/>
          <w:color w:val="auto"/>
          <w:highlight w:val="none"/>
        </w:rPr>
        <w:t>接受</w:t>
      </w:r>
      <w:r>
        <w:rPr>
          <w:color w:val="auto"/>
          <w:highlight w:val="none"/>
        </w:rPr>
        <w:t>的</w:t>
      </w:r>
      <w:r>
        <w:rPr>
          <w:rFonts w:hint="eastAsia"/>
          <w:color w:val="auto"/>
          <w:highlight w:val="none"/>
        </w:rPr>
        <w:t>风险偏好向领导小组办公室</w:t>
      </w:r>
      <w:r>
        <w:rPr>
          <w:color w:val="auto"/>
          <w:highlight w:val="none"/>
        </w:rPr>
        <w:t>提供指导。</w:t>
      </w:r>
      <w:r>
        <w:rPr>
          <w:rFonts w:hint="eastAsia"/>
          <w:color w:val="auto"/>
          <w:highlight w:val="none"/>
        </w:rPr>
        <w:t>办公室宜基于</w:t>
      </w:r>
      <w:r>
        <w:rPr>
          <w:color w:val="auto"/>
          <w:highlight w:val="none"/>
        </w:rPr>
        <w:t>7.5中所述的</w:t>
      </w:r>
      <w:r>
        <w:rPr>
          <w:rFonts w:hint="eastAsia"/>
          <w:color w:val="auto"/>
          <w:highlight w:val="none"/>
        </w:rPr>
        <w:t>基于风险的城市韧性评估</w:t>
      </w:r>
      <w:r>
        <w:rPr>
          <w:color w:val="auto"/>
          <w:highlight w:val="none"/>
        </w:rPr>
        <w:t>结果，针对已识别风险和城市韧性</w:t>
      </w:r>
      <w:r>
        <w:rPr>
          <w:rFonts w:hint="eastAsia"/>
          <w:color w:val="auto"/>
          <w:highlight w:val="none"/>
        </w:rPr>
        <w:t>短板</w:t>
      </w:r>
      <w:r>
        <w:rPr>
          <w:color w:val="auto"/>
          <w:highlight w:val="none"/>
        </w:rPr>
        <w:t>，提出适当的处理</w:t>
      </w:r>
      <w:r>
        <w:rPr>
          <w:rFonts w:hint="eastAsia"/>
          <w:color w:val="auto"/>
          <w:highlight w:val="none"/>
        </w:rPr>
        <w:t>措施，经领导小组及指导委员会同意后纳入城市韧性战略，</w:t>
      </w:r>
      <w:r>
        <w:rPr>
          <w:color w:val="auto"/>
          <w:highlight w:val="none"/>
        </w:rPr>
        <w:t>具体可包括：</w:t>
      </w:r>
    </w:p>
    <w:p w14:paraId="2F033221">
      <w:pPr>
        <w:pStyle w:val="177"/>
        <w:numPr>
          <w:ilvl w:val="0"/>
          <w:numId w:val="67"/>
        </w:numPr>
        <w:bidi w:val="0"/>
        <w:ind w:left="851" w:leftChars="0" w:hanging="426" w:firstLineChars="0"/>
        <w:rPr>
          <w:color w:val="auto"/>
          <w:highlight w:val="none"/>
        </w:rPr>
      </w:pPr>
      <w:r>
        <w:rPr>
          <w:color w:val="auto"/>
          <w:highlight w:val="none"/>
        </w:rPr>
        <w:t>通过</w:t>
      </w:r>
      <w:r>
        <w:rPr>
          <w:rFonts w:hint="eastAsia"/>
          <w:color w:val="auto"/>
          <w:highlight w:val="none"/>
        </w:rPr>
        <w:t>防灾减灾措施规避</w:t>
      </w:r>
      <w:r>
        <w:rPr>
          <w:color w:val="auto"/>
          <w:highlight w:val="none"/>
        </w:rPr>
        <w:t>风险；</w:t>
      </w:r>
    </w:p>
    <w:p w14:paraId="65FCD9F9">
      <w:pPr>
        <w:pStyle w:val="177"/>
        <w:numPr>
          <w:ilvl w:val="0"/>
          <w:numId w:val="67"/>
        </w:numPr>
        <w:bidi w:val="0"/>
        <w:ind w:left="851" w:leftChars="0" w:hanging="426" w:firstLineChars="0"/>
        <w:rPr>
          <w:color w:val="auto"/>
          <w:highlight w:val="none"/>
        </w:rPr>
      </w:pPr>
      <w:r>
        <w:rPr>
          <w:color w:val="auto"/>
          <w:highlight w:val="none"/>
        </w:rPr>
        <w:t>接受</w:t>
      </w:r>
      <w:r>
        <w:rPr>
          <w:rFonts w:hint="eastAsia"/>
          <w:color w:val="auto"/>
          <w:highlight w:val="none"/>
        </w:rPr>
        <w:t>一定程度的</w:t>
      </w:r>
      <w:r>
        <w:rPr>
          <w:color w:val="auto"/>
          <w:highlight w:val="none"/>
        </w:rPr>
        <w:t>风险；</w:t>
      </w:r>
      <w:r>
        <w:rPr>
          <w:rFonts w:hint="eastAsia"/>
          <w:color w:val="auto"/>
          <w:highlight w:val="none"/>
        </w:rPr>
        <w:t xml:space="preserve"> </w:t>
      </w:r>
    </w:p>
    <w:p w14:paraId="3A98B263">
      <w:pPr>
        <w:pStyle w:val="177"/>
        <w:numPr>
          <w:ilvl w:val="0"/>
          <w:numId w:val="67"/>
        </w:numPr>
        <w:bidi w:val="0"/>
        <w:ind w:left="851" w:leftChars="0" w:hanging="426" w:firstLineChars="0"/>
        <w:rPr>
          <w:color w:val="auto"/>
          <w:highlight w:val="none"/>
        </w:rPr>
      </w:pPr>
      <w:r>
        <w:rPr>
          <w:color w:val="auto"/>
          <w:highlight w:val="none"/>
        </w:rPr>
        <w:t>通过</w:t>
      </w:r>
      <w:r>
        <w:rPr>
          <w:rFonts w:hint="eastAsia"/>
          <w:color w:val="auto"/>
          <w:highlight w:val="none"/>
        </w:rPr>
        <w:t>适当的城市韧性建设举措</w:t>
      </w:r>
      <w:r>
        <w:rPr>
          <w:color w:val="auto"/>
          <w:highlight w:val="none"/>
        </w:rPr>
        <w:t>降低</w:t>
      </w:r>
      <w:r>
        <w:rPr>
          <w:rFonts w:hint="eastAsia"/>
          <w:color w:val="auto"/>
          <w:highlight w:val="none"/>
        </w:rPr>
        <w:t>风险</w:t>
      </w:r>
      <w:r>
        <w:rPr>
          <w:color w:val="auto"/>
          <w:highlight w:val="none"/>
        </w:rPr>
        <w:t>；</w:t>
      </w:r>
    </w:p>
    <w:p w14:paraId="039F37B2">
      <w:pPr>
        <w:pStyle w:val="177"/>
        <w:numPr>
          <w:ilvl w:val="0"/>
          <w:numId w:val="67"/>
        </w:numPr>
        <w:bidi w:val="0"/>
        <w:ind w:left="851" w:leftChars="0" w:hanging="426" w:firstLineChars="0"/>
        <w:rPr>
          <w:color w:val="auto"/>
          <w:highlight w:val="none"/>
        </w:rPr>
      </w:pPr>
      <w:r>
        <w:rPr>
          <w:rFonts w:hint="eastAsia"/>
          <w:color w:val="auto"/>
          <w:highlight w:val="none"/>
        </w:rPr>
        <w:t>采用</w:t>
      </w:r>
      <w:r>
        <w:rPr>
          <w:color w:val="auto"/>
          <w:highlight w:val="none"/>
        </w:rPr>
        <w:t>风险分担或</w:t>
      </w:r>
      <w:r>
        <w:rPr>
          <w:rFonts w:hint="eastAsia"/>
          <w:color w:val="auto"/>
          <w:highlight w:val="none"/>
        </w:rPr>
        <w:t>风险</w:t>
      </w:r>
      <w:r>
        <w:rPr>
          <w:color w:val="auto"/>
          <w:highlight w:val="none"/>
        </w:rPr>
        <w:t>转移</w:t>
      </w:r>
      <w:r>
        <w:rPr>
          <w:rFonts w:hint="eastAsia"/>
          <w:color w:val="auto"/>
          <w:highlight w:val="none"/>
        </w:rPr>
        <w:t>等措施</w:t>
      </w:r>
      <w:r>
        <w:rPr>
          <w:color w:val="auto"/>
          <w:highlight w:val="none"/>
        </w:rPr>
        <w:t>，如保险</w:t>
      </w:r>
      <w:r>
        <w:rPr>
          <w:rFonts w:hint="eastAsia"/>
          <w:color w:val="auto"/>
          <w:highlight w:val="none"/>
        </w:rPr>
        <w:t>等</w:t>
      </w:r>
      <w:r>
        <w:rPr>
          <w:color w:val="auto"/>
          <w:highlight w:val="none"/>
        </w:rPr>
        <w:t>。</w:t>
      </w:r>
    </w:p>
    <w:p w14:paraId="6ACFB190">
      <w:pPr>
        <w:pStyle w:val="108"/>
        <w:spacing w:before="156" w:after="156"/>
        <w:rPr>
          <w:bCs/>
          <w:color w:val="auto"/>
          <w:highlight w:val="none"/>
        </w:rPr>
      </w:pPr>
      <w:bookmarkStart w:id="159" w:name="_Toc8263"/>
      <w:bookmarkEnd w:id="159"/>
      <w:bookmarkStart w:id="160" w:name="_Toc206170539"/>
      <w:bookmarkStart w:id="161" w:name="_Toc16219"/>
      <w:bookmarkStart w:id="162" w:name="_Toc15445"/>
      <w:bookmarkStart w:id="163" w:name="_Toc2060"/>
      <w:r>
        <w:rPr>
          <w:color w:val="auto"/>
          <w:highlight w:val="none"/>
        </w:rPr>
        <w:t>城市韧性</w:t>
      </w:r>
      <w:r>
        <w:rPr>
          <w:rFonts w:hint="eastAsia"/>
          <w:color w:val="auto"/>
          <w:highlight w:val="none"/>
        </w:rPr>
        <w:t>措施</w:t>
      </w:r>
      <w:r>
        <w:rPr>
          <w:color w:val="auto"/>
          <w:highlight w:val="none"/>
        </w:rPr>
        <w:t>制定</w:t>
      </w:r>
      <w:bookmarkEnd w:id="160"/>
      <w:bookmarkEnd w:id="161"/>
      <w:bookmarkEnd w:id="162"/>
      <w:bookmarkEnd w:id="163"/>
    </w:p>
    <w:p w14:paraId="1D208205">
      <w:pPr>
        <w:pStyle w:val="68"/>
        <w:spacing w:before="156" w:after="156"/>
        <w:rPr>
          <w:bCs/>
          <w:color w:val="auto"/>
          <w:highlight w:val="none"/>
        </w:rPr>
      </w:pPr>
      <w:bookmarkStart w:id="164" w:name="_Toc7857"/>
      <w:bookmarkEnd w:id="164"/>
      <w:r>
        <w:rPr>
          <w:rFonts w:hint="eastAsia"/>
          <w:bCs/>
          <w:color w:val="auto"/>
          <w:highlight w:val="none"/>
          <w:lang w:val="en-US" w:eastAsia="zh-CN"/>
        </w:rPr>
        <w:t>概述</w:t>
      </w:r>
    </w:p>
    <w:p w14:paraId="74E42F16">
      <w:pPr>
        <w:pStyle w:val="167"/>
        <w:bidi w:val="0"/>
        <w:rPr>
          <w:color w:val="auto"/>
          <w:highlight w:val="none"/>
        </w:rPr>
      </w:pPr>
      <w:r>
        <w:rPr>
          <w:rFonts w:hint="eastAsia"/>
          <w:color w:val="auto"/>
          <w:highlight w:val="none"/>
        </w:rPr>
        <w:t>领导小组办公室宜</w:t>
      </w:r>
      <w:r>
        <w:rPr>
          <w:color w:val="auto"/>
          <w:highlight w:val="none"/>
        </w:rPr>
        <w:t>制定</w:t>
      </w:r>
      <w:r>
        <w:rPr>
          <w:rFonts w:hint="eastAsia"/>
          <w:color w:val="auto"/>
          <w:highlight w:val="none"/>
        </w:rPr>
        <w:t>一系列</w:t>
      </w:r>
      <w:r>
        <w:rPr>
          <w:color w:val="auto"/>
          <w:highlight w:val="none"/>
        </w:rPr>
        <w:t>城市韧性</w:t>
      </w:r>
      <w:r>
        <w:rPr>
          <w:rFonts w:hint="eastAsia"/>
          <w:color w:val="auto"/>
          <w:highlight w:val="none"/>
        </w:rPr>
        <w:t>举措</w:t>
      </w:r>
      <w:r>
        <w:rPr>
          <w:color w:val="auto"/>
          <w:highlight w:val="none"/>
        </w:rPr>
        <w:t>，</w:t>
      </w:r>
      <w:r>
        <w:rPr>
          <w:rFonts w:hint="eastAsia"/>
          <w:color w:val="auto"/>
          <w:highlight w:val="none"/>
        </w:rPr>
        <w:t>相关内容宜充分考虑</w:t>
      </w:r>
      <w:r>
        <w:rPr>
          <w:color w:val="auto"/>
          <w:highlight w:val="none"/>
        </w:rPr>
        <w:t>：</w:t>
      </w:r>
    </w:p>
    <w:p w14:paraId="247B0E6B">
      <w:pPr>
        <w:pStyle w:val="177"/>
        <w:numPr>
          <w:ilvl w:val="0"/>
          <w:numId w:val="68"/>
        </w:numPr>
        <w:bidi w:val="0"/>
        <w:ind w:left="851" w:leftChars="0" w:hanging="426" w:firstLineChars="0"/>
        <w:rPr>
          <w:color w:val="auto"/>
          <w:highlight w:val="none"/>
        </w:rPr>
      </w:pPr>
      <w:r>
        <w:rPr>
          <w:rFonts w:hint="eastAsia"/>
          <w:color w:val="auto"/>
          <w:highlight w:val="none"/>
        </w:rPr>
        <w:t>以相关依据为基础，考虑</w:t>
      </w:r>
      <w:r>
        <w:rPr>
          <w:color w:val="auto"/>
          <w:highlight w:val="none"/>
        </w:rPr>
        <w:t>第7</w:t>
      </w:r>
      <w:r>
        <w:rPr>
          <w:rFonts w:hint="eastAsia"/>
          <w:color w:val="auto"/>
          <w:highlight w:val="none"/>
        </w:rPr>
        <w:t>章</w:t>
      </w:r>
      <w:r>
        <w:rPr>
          <w:color w:val="auto"/>
          <w:highlight w:val="none"/>
        </w:rPr>
        <w:t>城市韧性需求的优先级以及城市</w:t>
      </w:r>
      <w:r>
        <w:rPr>
          <w:rFonts w:hint="eastAsia"/>
          <w:color w:val="auto"/>
          <w:highlight w:val="none"/>
        </w:rPr>
        <w:t>可接受</w:t>
      </w:r>
      <w:r>
        <w:rPr>
          <w:color w:val="auto"/>
          <w:highlight w:val="none"/>
        </w:rPr>
        <w:t>的风险偏好（见8.2）；</w:t>
      </w:r>
    </w:p>
    <w:p w14:paraId="538C5906">
      <w:pPr>
        <w:pStyle w:val="177"/>
        <w:numPr>
          <w:ilvl w:val="0"/>
          <w:numId w:val="68"/>
        </w:numPr>
        <w:bidi w:val="0"/>
        <w:ind w:left="851" w:leftChars="0" w:hanging="426" w:firstLineChars="0"/>
        <w:rPr>
          <w:color w:val="auto"/>
          <w:highlight w:val="none"/>
        </w:rPr>
      </w:pPr>
      <w:r>
        <w:rPr>
          <w:rFonts w:hint="eastAsia"/>
          <w:color w:val="auto"/>
          <w:highlight w:val="none"/>
        </w:rPr>
        <w:t>加强抵御冲击和压力能力，并把握未来变化带来的新机遇</w:t>
      </w:r>
      <w:r>
        <w:rPr>
          <w:color w:val="auto"/>
          <w:highlight w:val="none"/>
        </w:rPr>
        <w:t>；</w:t>
      </w:r>
    </w:p>
    <w:p w14:paraId="17A3A523">
      <w:pPr>
        <w:pStyle w:val="177"/>
        <w:numPr>
          <w:ilvl w:val="0"/>
          <w:numId w:val="68"/>
        </w:numPr>
        <w:bidi w:val="0"/>
        <w:ind w:left="851" w:leftChars="0" w:hanging="426" w:firstLineChars="0"/>
        <w:rPr>
          <w:color w:val="auto"/>
          <w:highlight w:val="none"/>
        </w:rPr>
      </w:pPr>
      <w:r>
        <w:rPr>
          <w:rFonts w:hint="eastAsia"/>
          <w:color w:val="auto"/>
          <w:highlight w:val="none"/>
        </w:rPr>
        <w:t>立足</w:t>
      </w:r>
      <w:r>
        <w:rPr>
          <w:color w:val="auto"/>
          <w:highlight w:val="none"/>
        </w:rPr>
        <w:t>城市自身实际情况，聚焦</w:t>
      </w:r>
      <w:r>
        <w:rPr>
          <w:rFonts w:hint="eastAsia"/>
          <w:color w:val="auto"/>
          <w:highlight w:val="none"/>
        </w:rPr>
        <w:t>安全要</w:t>
      </w:r>
      <w:r>
        <w:rPr>
          <w:color w:val="auto"/>
          <w:highlight w:val="none"/>
        </w:rPr>
        <w:t>求</w:t>
      </w:r>
      <w:r>
        <w:rPr>
          <w:rFonts w:hint="eastAsia"/>
          <w:color w:val="auto"/>
          <w:highlight w:val="none"/>
        </w:rPr>
        <w:t>高</w:t>
      </w:r>
      <w:r>
        <w:rPr>
          <w:color w:val="auto"/>
          <w:highlight w:val="none"/>
        </w:rPr>
        <w:t>与</w:t>
      </w:r>
      <w:r>
        <w:rPr>
          <w:rFonts w:hint="eastAsia"/>
          <w:color w:val="auto"/>
          <w:highlight w:val="none"/>
        </w:rPr>
        <w:t>综合效益高的</w:t>
      </w:r>
      <w:r>
        <w:rPr>
          <w:color w:val="auto"/>
          <w:highlight w:val="none"/>
        </w:rPr>
        <w:t>领域，推动城市韧性</w:t>
      </w:r>
      <w:r>
        <w:rPr>
          <w:rFonts w:hint="eastAsia"/>
          <w:color w:val="auto"/>
          <w:highlight w:val="none"/>
        </w:rPr>
        <w:t>系统</w:t>
      </w:r>
      <w:r>
        <w:rPr>
          <w:color w:val="auto"/>
          <w:highlight w:val="none"/>
        </w:rPr>
        <w:t>性提升；</w:t>
      </w:r>
    </w:p>
    <w:p w14:paraId="0C077176">
      <w:pPr>
        <w:pStyle w:val="177"/>
        <w:numPr>
          <w:ilvl w:val="0"/>
          <w:numId w:val="68"/>
        </w:numPr>
        <w:bidi w:val="0"/>
        <w:ind w:left="851" w:leftChars="0" w:hanging="426" w:firstLineChars="0"/>
        <w:rPr>
          <w:color w:val="auto"/>
          <w:highlight w:val="none"/>
        </w:rPr>
      </w:pPr>
      <w:r>
        <w:rPr>
          <w:color w:val="auto"/>
          <w:highlight w:val="none"/>
        </w:rPr>
        <w:t>统筹城市</w:t>
      </w:r>
      <w:r>
        <w:rPr>
          <w:rFonts w:hint="eastAsia"/>
          <w:color w:val="auto"/>
          <w:highlight w:val="none"/>
        </w:rPr>
        <w:t>全域各项工作</w:t>
      </w:r>
      <w:r>
        <w:rPr>
          <w:color w:val="auto"/>
          <w:highlight w:val="none"/>
        </w:rPr>
        <w:t>，</w:t>
      </w:r>
      <w:r>
        <w:rPr>
          <w:rFonts w:hint="eastAsia"/>
          <w:color w:val="auto"/>
          <w:highlight w:val="none"/>
        </w:rPr>
        <w:t>推动</w:t>
      </w:r>
      <w:r>
        <w:rPr>
          <w:color w:val="auto"/>
          <w:highlight w:val="none"/>
        </w:rPr>
        <w:t>跨部门、跨领域</w:t>
      </w:r>
      <w:r>
        <w:rPr>
          <w:rFonts w:hint="eastAsia"/>
          <w:color w:val="auto"/>
          <w:highlight w:val="none"/>
        </w:rPr>
        <w:t>协同</w:t>
      </w:r>
      <w:r>
        <w:rPr>
          <w:color w:val="auto"/>
          <w:highlight w:val="none"/>
        </w:rPr>
        <w:t>；</w:t>
      </w:r>
    </w:p>
    <w:p w14:paraId="5BC8250D">
      <w:pPr>
        <w:pStyle w:val="177"/>
        <w:numPr>
          <w:ilvl w:val="0"/>
          <w:numId w:val="68"/>
        </w:numPr>
        <w:bidi w:val="0"/>
        <w:ind w:left="851" w:leftChars="0" w:hanging="426" w:firstLineChars="0"/>
        <w:rPr>
          <w:color w:val="auto"/>
          <w:highlight w:val="none"/>
        </w:rPr>
      </w:pPr>
      <w:r>
        <w:rPr>
          <w:color w:val="auto"/>
          <w:highlight w:val="none"/>
        </w:rPr>
        <w:t>兼顾</w:t>
      </w:r>
      <w:r>
        <w:rPr>
          <w:rFonts w:hint="eastAsia"/>
          <w:color w:val="auto"/>
          <w:highlight w:val="none"/>
        </w:rPr>
        <w:t>近期</w:t>
      </w:r>
      <w:r>
        <w:rPr>
          <w:color w:val="auto"/>
          <w:highlight w:val="none"/>
        </w:rPr>
        <w:t>、中</w:t>
      </w:r>
      <w:r>
        <w:rPr>
          <w:rFonts w:hint="eastAsia"/>
          <w:color w:val="auto"/>
          <w:highlight w:val="none"/>
        </w:rPr>
        <w:t>期和远</w:t>
      </w:r>
      <w:r>
        <w:rPr>
          <w:color w:val="auto"/>
          <w:highlight w:val="none"/>
        </w:rPr>
        <w:t>期</w:t>
      </w:r>
      <w:r>
        <w:rPr>
          <w:rFonts w:hint="eastAsia"/>
          <w:color w:val="auto"/>
          <w:highlight w:val="none"/>
        </w:rPr>
        <w:t>发展需求</w:t>
      </w:r>
      <w:r>
        <w:rPr>
          <w:color w:val="auto"/>
          <w:highlight w:val="none"/>
        </w:rPr>
        <w:t>；</w:t>
      </w:r>
    </w:p>
    <w:p w14:paraId="49D4B6F3">
      <w:pPr>
        <w:pStyle w:val="177"/>
        <w:numPr>
          <w:ilvl w:val="0"/>
          <w:numId w:val="68"/>
        </w:numPr>
        <w:bidi w:val="0"/>
        <w:ind w:left="851" w:leftChars="0" w:hanging="426" w:firstLineChars="0"/>
        <w:rPr>
          <w:color w:val="auto"/>
          <w:highlight w:val="none"/>
        </w:rPr>
      </w:pPr>
      <w:r>
        <w:rPr>
          <w:rFonts w:hint="eastAsia"/>
          <w:color w:val="auto"/>
          <w:highlight w:val="none"/>
        </w:rPr>
        <w:t>落实</w:t>
      </w:r>
      <w:r>
        <w:rPr>
          <w:color w:val="auto"/>
          <w:highlight w:val="none"/>
        </w:rPr>
        <w:t>既定</w:t>
      </w:r>
      <w:r>
        <w:rPr>
          <w:rFonts w:hint="eastAsia"/>
          <w:color w:val="auto"/>
          <w:highlight w:val="none"/>
        </w:rPr>
        <w:t>目标</w:t>
      </w:r>
      <w:r>
        <w:rPr>
          <w:color w:val="auto"/>
          <w:highlight w:val="none"/>
        </w:rPr>
        <w:t>，</w:t>
      </w:r>
      <w:r>
        <w:rPr>
          <w:rFonts w:hint="eastAsia"/>
          <w:color w:val="auto"/>
          <w:highlight w:val="none"/>
        </w:rPr>
        <w:t>并明确</w:t>
      </w:r>
      <w:r>
        <w:rPr>
          <w:color w:val="auto"/>
          <w:highlight w:val="none"/>
        </w:rPr>
        <w:t>时</w:t>
      </w:r>
      <w:r>
        <w:rPr>
          <w:rFonts w:hint="eastAsia"/>
          <w:color w:val="auto"/>
          <w:highlight w:val="none"/>
        </w:rPr>
        <w:t>限</w:t>
      </w:r>
      <w:r>
        <w:rPr>
          <w:color w:val="auto"/>
          <w:highlight w:val="none"/>
        </w:rPr>
        <w:t>与效</w:t>
      </w:r>
      <w:r>
        <w:rPr>
          <w:rFonts w:hint="eastAsia"/>
          <w:color w:val="auto"/>
          <w:highlight w:val="none"/>
        </w:rPr>
        <w:t>果</w:t>
      </w:r>
      <w:r>
        <w:rPr>
          <w:color w:val="auto"/>
          <w:highlight w:val="none"/>
        </w:rPr>
        <w:t>（如对</w:t>
      </w:r>
      <w:r>
        <w:rPr>
          <w:rFonts w:hint="eastAsia"/>
          <w:color w:val="auto"/>
          <w:highlight w:val="none"/>
        </w:rPr>
        <w:t>城市社会目标</w:t>
      </w:r>
      <w:r>
        <w:rPr>
          <w:color w:val="auto"/>
          <w:highlight w:val="none"/>
        </w:rPr>
        <w:t>的贡献）；</w:t>
      </w:r>
    </w:p>
    <w:p w14:paraId="24FCDA36">
      <w:pPr>
        <w:pStyle w:val="177"/>
        <w:numPr>
          <w:ilvl w:val="0"/>
          <w:numId w:val="68"/>
        </w:numPr>
        <w:bidi w:val="0"/>
        <w:ind w:left="851" w:leftChars="0" w:hanging="426" w:firstLineChars="0"/>
        <w:rPr>
          <w:color w:val="auto"/>
          <w:highlight w:val="none"/>
        </w:rPr>
      </w:pPr>
      <w:r>
        <w:rPr>
          <w:rFonts w:hint="eastAsia"/>
          <w:color w:val="auto"/>
          <w:highlight w:val="none"/>
        </w:rPr>
        <w:t>针对</w:t>
      </w:r>
      <w:r>
        <w:rPr>
          <w:color w:val="auto"/>
          <w:highlight w:val="none"/>
        </w:rPr>
        <w:t>每项行动、计划或重大项目</w:t>
      </w:r>
      <w:r>
        <w:rPr>
          <w:rFonts w:hint="eastAsia"/>
          <w:color w:val="auto"/>
          <w:highlight w:val="none"/>
        </w:rPr>
        <w:t>开展</w:t>
      </w:r>
      <w:r>
        <w:rPr>
          <w:color w:val="auto"/>
          <w:highlight w:val="none"/>
        </w:rPr>
        <w:t>全</w:t>
      </w:r>
      <w:r>
        <w:rPr>
          <w:rFonts w:hint="eastAsia"/>
          <w:color w:val="auto"/>
          <w:highlight w:val="none"/>
        </w:rPr>
        <w:t>过程经济效益分析</w:t>
      </w:r>
      <w:r>
        <w:rPr>
          <w:color w:val="auto"/>
          <w:highlight w:val="none"/>
        </w:rPr>
        <w:t>，</w:t>
      </w:r>
      <w:r>
        <w:rPr>
          <w:rFonts w:hint="eastAsia"/>
          <w:color w:val="auto"/>
          <w:highlight w:val="none"/>
        </w:rPr>
        <w:t>并将其作为项目</w:t>
      </w:r>
      <w:r>
        <w:rPr>
          <w:color w:val="auto"/>
          <w:highlight w:val="none"/>
        </w:rPr>
        <w:t>实施依据；</w:t>
      </w:r>
    </w:p>
    <w:p w14:paraId="443C2B79">
      <w:pPr>
        <w:pStyle w:val="177"/>
        <w:numPr>
          <w:ilvl w:val="0"/>
          <w:numId w:val="68"/>
        </w:numPr>
        <w:bidi w:val="0"/>
        <w:ind w:left="851" w:leftChars="0" w:hanging="426" w:firstLineChars="0"/>
        <w:rPr>
          <w:color w:val="auto"/>
          <w:highlight w:val="none"/>
        </w:rPr>
      </w:pPr>
      <w:bookmarkStart w:id="165" w:name="27"/>
      <w:bookmarkEnd w:id="165"/>
      <w:r>
        <w:rPr>
          <w:rFonts w:hint="eastAsia"/>
          <w:color w:val="auto"/>
          <w:highlight w:val="none"/>
        </w:rPr>
        <w:t>明确</w:t>
      </w:r>
      <w:r>
        <w:rPr>
          <w:color w:val="auto"/>
          <w:highlight w:val="none"/>
        </w:rPr>
        <w:t>行动实施计划、</w:t>
      </w:r>
      <w:r>
        <w:rPr>
          <w:rFonts w:hint="eastAsia"/>
          <w:color w:val="auto"/>
          <w:highlight w:val="none"/>
        </w:rPr>
        <w:t>责任主体与</w:t>
      </w:r>
      <w:r>
        <w:rPr>
          <w:color w:val="auto"/>
          <w:highlight w:val="none"/>
        </w:rPr>
        <w:t>时间</w:t>
      </w:r>
      <w:r>
        <w:rPr>
          <w:rFonts w:hint="eastAsia"/>
          <w:color w:val="auto"/>
          <w:highlight w:val="none"/>
        </w:rPr>
        <w:t>安排</w:t>
      </w:r>
      <w:r>
        <w:rPr>
          <w:color w:val="auto"/>
          <w:highlight w:val="none"/>
        </w:rPr>
        <w:t>，</w:t>
      </w:r>
      <w:r>
        <w:rPr>
          <w:rFonts w:hint="eastAsia"/>
          <w:color w:val="auto"/>
          <w:highlight w:val="none"/>
        </w:rPr>
        <w:t>并配套评估</w:t>
      </w:r>
      <w:r>
        <w:rPr>
          <w:color w:val="auto"/>
          <w:highlight w:val="none"/>
        </w:rPr>
        <w:t>与</w:t>
      </w:r>
      <w:r>
        <w:rPr>
          <w:rFonts w:hint="eastAsia"/>
          <w:color w:val="auto"/>
          <w:highlight w:val="none"/>
        </w:rPr>
        <w:t>监督</w:t>
      </w:r>
      <w:r>
        <w:rPr>
          <w:color w:val="auto"/>
          <w:highlight w:val="none"/>
        </w:rPr>
        <w:t>机制；</w:t>
      </w:r>
    </w:p>
    <w:p w14:paraId="68F481FC">
      <w:pPr>
        <w:pStyle w:val="177"/>
        <w:numPr>
          <w:ilvl w:val="0"/>
          <w:numId w:val="68"/>
        </w:numPr>
        <w:bidi w:val="0"/>
        <w:ind w:left="851" w:leftChars="0" w:hanging="426" w:firstLineChars="0"/>
        <w:rPr>
          <w:color w:val="auto"/>
          <w:highlight w:val="none"/>
        </w:rPr>
      </w:pPr>
      <w:r>
        <w:rPr>
          <w:rFonts w:hint="eastAsia"/>
          <w:color w:val="auto"/>
          <w:highlight w:val="none"/>
        </w:rPr>
        <w:t>增强各项措施对</w:t>
      </w:r>
      <w:r>
        <w:rPr>
          <w:color w:val="auto"/>
          <w:highlight w:val="none"/>
        </w:rPr>
        <w:t>未来变化</w:t>
      </w:r>
      <w:r>
        <w:rPr>
          <w:rFonts w:hint="eastAsia"/>
          <w:color w:val="auto"/>
          <w:highlight w:val="none"/>
        </w:rPr>
        <w:t>的适应性</w:t>
      </w:r>
      <w:r>
        <w:rPr>
          <w:color w:val="auto"/>
          <w:highlight w:val="none"/>
        </w:rPr>
        <w:t>，</w:t>
      </w:r>
      <w:r>
        <w:rPr>
          <w:rFonts w:hint="eastAsia"/>
          <w:color w:val="auto"/>
          <w:highlight w:val="none"/>
        </w:rPr>
        <w:t>避免滞后</w:t>
      </w:r>
      <w:r>
        <w:rPr>
          <w:color w:val="auto"/>
          <w:highlight w:val="none"/>
        </w:rPr>
        <w:t>失效；</w:t>
      </w:r>
    </w:p>
    <w:p w14:paraId="4BCDCE1C">
      <w:pPr>
        <w:pStyle w:val="177"/>
        <w:numPr>
          <w:ilvl w:val="0"/>
          <w:numId w:val="68"/>
        </w:numPr>
        <w:bidi w:val="0"/>
        <w:ind w:left="851" w:leftChars="0" w:hanging="426" w:firstLineChars="0"/>
        <w:rPr>
          <w:color w:val="auto"/>
          <w:highlight w:val="none"/>
        </w:rPr>
      </w:pPr>
      <w:r>
        <w:rPr>
          <w:color w:val="auto"/>
          <w:highlight w:val="none"/>
        </w:rPr>
        <w:t>兼顾被动响应与事后恢复，</w:t>
      </w:r>
      <w:r>
        <w:rPr>
          <w:rFonts w:hint="eastAsia"/>
          <w:color w:val="auto"/>
          <w:highlight w:val="none"/>
        </w:rPr>
        <w:t>宜</w:t>
      </w:r>
      <w:r>
        <w:rPr>
          <w:color w:val="auto"/>
          <w:highlight w:val="none"/>
        </w:rPr>
        <w:t>重点做好事前风险防范。。</w:t>
      </w:r>
    </w:p>
    <w:p w14:paraId="27BAC635">
      <w:pPr>
        <w:pStyle w:val="167"/>
        <w:bidi w:val="0"/>
        <w:rPr>
          <w:color w:val="auto"/>
          <w:highlight w:val="none"/>
        </w:rPr>
      </w:pPr>
      <w:r>
        <w:rPr>
          <w:rFonts w:hint="eastAsia"/>
          <w:color w:val="auto"/>
          <w:highlight w:val="none"/>
        </w:rPr>
        <w:t>领导小组组长宜</w:t>
      </w:r>
      <w:r>
        <w:rPr>
          <w:color w:val="auto"/>
          <w:highlight w:val="none"/>
        </w:rPr>
        <w:t>结合表1所列原则，统筹</w:t>
      </w:r>
      <w:r>
        <w:rPr>
          <w:rFonts w:hint="eastAsia"/>
          <w:color w:val="auto"/>
          <w:highlight w:val="none"/>
        </w:rPr>
        <w:t>考虑</w:t>
      </w:r>
      <w:r>
        <w:rPr>
          <w:color w:val="auto"/>
          <w:highlight w:val="none"/>
        </w:rPr>
        <w:t>城市韧性</w:t>
      </w:r>
      <w:r>
        <w:rPr>
          <w:rFonts w:hint="eastAsia"/>
          <w:color w:val="auto"/>
          <w:highlight w:val="none"/>
        </w:rPr>
        <w:t>创新做法</w:t>
      </w:r>
      <w:r>
        <w:rPr>
          <w:color w:val="auto"/>
          <w:highlight w:val="none"/>
        </w:rPr>
        <w:t>与</w:t>
      </w:r>
      <w:r>
        <w:rPr>
          <w:rFonts w:hint="eastAsia"/>
          <w:color w:val="auto"/>
          <w:highlight w:val="none"/>
        </w:rPr>
        <w:t>本地成熟经验做法推动工作</w:t>
      </w:r>
      <w:r>
        <w:rPr>
          <w:color w:val="auto"/>
          <w:highlight w:val="none"/>
        </w:rPr>
        <w:t>。表3列举了</w:t>
      </w:r>
      <w:r>
        <w:rPr>
          <w:rFonts w:hint="eastAsia"/>
          <w:color w:val="auto"/>
          <w:highlight w:val="none"/>
        </w:rPr>
        <w:t>符合</w:t>
      </w:r>
      <w:r>
        <w:rPr>
          <w:color w:val="auto"/>
          <w:highlight w:val="none"/>
        </w:rPr>
        <w:t>上述原则的韧性城市建设</w:t>
      </w:r>
      <w:r>
        <w:rPr>
          <w:rFonts w:hint="eastAsia"/>
          <w:color w:val="auto"/>
          <w:highlight w:val="none"/>
        </w:rPr>
        <w:t>措施</w:t>
      </w:r>
      <w:r>
        <w:rPr>
          <w:color w:val="auto"/>
          <w:highlight w:val="none"/>
        </w:rPr>
        <w:t>示例。</w:t>
      </w:r>
    </w:p>
    <w:p w14:paraId="10D59BE7">
      <w:pPr>
        <w:widowControl/>
        <w:rPr>
          <w:color w:val="auto"/>
          <w:highlight w:val="none"/>
        </w:rPr>
      </w:pPr>
      <w:r>
        <w:rPr>
          <w:rFonts w:hint="eastAsia"/>
          <w:color w:val="auto"/>
          <w:highlight w:val="none"/>
        </w:rPr>
        <w:br w:type="page"/>
      </w:r>
    </w:p>
    <w:p w14:paraId="7A183261">
      <w:pPr>
        <w:pStyle w:val="115"/>
        <w:spacing w:before="156" w:after="156"/>
        <w:rPr>
          <w:bCs/>
          <w:color w:val="auto"/>
          <w:highlight w:val="none"/>
        </w:rPr>
      </w:pPr>
      <w:r>
        <w:rPr>
          <w:color w:val="auto"/>
          <w:highlight w:val="none"/>
        </w:rPr>
        <w:t>韧性城市建设</w:t>
      </w:r>
      <w:r>
        <w:rPr>
          <w:rFonts w:hint="eastAsia"/>
          <w:color w:val="auto"/>
          <w:highlight w:val="none"/>
        </w:rPr>
        <w:t>措施</w:t>
      </w:r>
      <w:r>
        <w:rPr>
          <w:color w:val="auto"/>
          <w:highlight w:val="none"/>
        </w:rPr>
        <w:t>示例</w:t>
      </w:r>
    </w:p>
    <w:tbl>
      <w:tblPr>
        <w:tblStyle w:val="27"/>
        <w:tblW w:w="5000" w:type="pct"/>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28" w:type="dxa"/>
          <w:left w:w="57" w:type="dxa"/>
          <w:bottom w:w="28" w:type="dxa"/>
          <w:right w:w="57" w:type="dxa"/>
        </w:tblCellMar>
      </w:tblPr>
      <w:tblGrid>
        <w:gridCol w:w="1553"/>
        <w:gridCol w:w="7781"/>
      </w:tblGrid>
      <w:tr w14:paraId="459F0DC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28" w:type="dxa"/>
            <w:left w:w="57" w:type="dxa"/>
            <w:bottom w:w="28" w:type="dxa"/>
            <w:right w:w="57" w:type="dxa"/>
          </w:tblCellMar>
        </w:tblPrEx>
        <w:trPr>
          <w:trHeight w:val="375" w:hRule="atLeast"/>
          <w:jc w:val="center"/>
        </w:trPr>
        <w:tc>
          <w:tcPr>
            <w:tcW w:w="832" w:type="pct"/>
            <w:vAlign w:val="center"/>
          </w:tcPr>
          <w:p w14:paraId="3FFFF4B4">
            <w:pPr>
              <w:pStyle w:val="59"/>
              <w:ind w:firstLine="0" w:firstLineChars="0"/>
              <w:jc w:val="center"/>
              <w:rPr>
                <w:rFonts w:hint="eastAsia" w:hAnsi="宋体" w:cs="宋体"/>
                <w:color w:val="auto"/>
                <w:sz w:val="18"/>
                <w:szCs w:val="18"/>
                <w:highlight w:val="none"/>
              </w:rPr>
            </w:pPr>
            <w:r>
              <w:rPr>
                <w:rFonts w:hint="eastAsia" w:hAnsi="宋体" w:cs="宋体"/>
                <w:b/>
                <w:color w:val="auto"/>
                <w:sz w:val="18"/>
                <w:szCs w:val="18"/>
                <w:highlight w:val="none"/>
              </w:rPr>
              <w:t>原则</w:t>
            </w:r>
          </w:p>
        </w:tc>
        <w:tc>
          <w:tcPr>
            <w:tcW w:w="4168" w:type="pct"/>
            <w:vAlign w:val="center"/>
          </w:tcPr>
          <w:p w14:paraId="45960602">
            <w:pPr>
              <w:pStyle w:val="59"/>
              <w:ind w:firstLine="0" w:firstLineChars="0"/>
              <w:jc w:val="center"/>
              <w:rPr>
                <w:rFonts w:hint="eastAsia" w:hAnsi="宋体" w:cs="宋体"/>
                <w:b/>
                <w:bCs/>
                <w:color w:val="auto"/>
                <w:sz w:val="18"/>
                <w:szCs w:val="18"/>
                <w:highlight w:val="none"/>
              </w:rPr>
            </w:pPr>
            <w:r>
              <w:rPr>
                <w:rFonts w:hint="eastAsia" w:hAnsi="宋体" w:cs="宋体"/>
                <w:b/>
                <w:color w:val="auto"/>
                <w:sz w:val="18"/>
                <w:szCs w:val="18"/>
                <w:highlight w:val="none"/>
              </w:rPr>
              <w:t>韧性城市建设措施示例</w:t>
            </w:r>
          </w:p>
        </w:tc>
      </w:tr>
      <w:tr w14:paraId="58701BE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28" w:type="dxa"/>
            <w:left w:w="57" w:type="dxa"/>
            <w:bottom w:w="28" w:type="dxa"/>
            <w:right w:w="57" w:type="dxa"/>
          </w:tblCellMar>
        </w:tblPrEx>
        <w:trPr>
          <w:jc w:val="center"/>
        </w:trPr>
        <w:tc>
          <w:tcPr>
            <w:tcW w:w="832" w:type="pct"/>
          </w:tcPr>
          <w:p w14:paraId="33472D53">
            <w:pPr>
              <w:pStyle w:val="59"/>
              <w:ind w:firstLine="0" w:firstLineChars="0"/>
              <w:rPr>
                <w:rFonts w:hint="eastAsia" w:hAnsi="宋体" w:cs="宋体"/>
                <w:color w:val="auto"/>
                <w:sz w:val="18"/>
                <w:szCs w:val="18"/>
                <w:highlight w:val="none"/>
              </w:rPr>
            </w:pPr>
            <w:r>
              <w:rPr>
                <w:rFonts w:hint="eastAsia" w:hAnsi="宋体" w:cs="宋体"/>
                <w:color w:val="auto"/>
                <w:sz w:val="18"/>
                <w:szCs w:val="18"/>
                <w:highlight w:val="none"/>
              </w:rPr>
              <w:t>系统整合</w:t>
            </w:r>
          </w:p>
        </w:tc>
        <w:tc>
          <w:tcPr>
            <w:tcW w:w="4168" w:type="pct"/>
          </w:tcPr>
          <w:p w14:paraId="2F8B6253">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明确</w:t>
            </w:r>
            <w:r>
              <w:rPr>
                <w:rFonts w:hAnsi="宋体" w:cs="宋体"/>
                <w:color w:val="auto"/>
                <w:sz w:val="18"/>
                <w:szCs w:val="18"/>
                <w:highlight w:val="none"/>
              </w:rPr>
              <w:t>领导小组组长</w:t>
            </w:r>
          </w:p>
          <w:p w14:paraId="19F9A7E5">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建立跨部门的韧性城市协调委员会或工作平台</w:t>
            </w:r>
          </w:p>
          <w:p w14:paraId="79DE3754">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搭建跨区域风险共担、机遇共享的协同治理机制</w:t>
            </w:r>
          </w:p>
          <w:p w14:paraId="752BBCAE">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建立风险共担的金融保障机制（如巨灾保险）</w:t>
            </w:r>
          </w:p>
          <w:p w14:paraId="5C163E4C">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建立一体化信息管理系统</w:t>
            </w:r>
          </w:p>
        </w:tc>
      </w:tr>
      <w:tr w14:paraId="6D192F5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28" w:type="dxa"/>
            <w:left w:w="57" w:type="dxa"/>
            <w:bottom w:w="28" w:type="dxa"/>
            <w:right w:w="57" w:type="dxa"/>
          </w:tblCellMar>
        </w:tblPrEx>
        <w:trPr>
          <w:jc w:val="center"/>
        </w:trPr>
        <w:tc>
          <w:tcPr>
            <w:tcW w:w="832" w:type="pct"/>
          </w:tcPr>
          <w:p w14:paraId="66DCAF60">
            <w:pPr>
              <w:pStyle w:val="59"/>
              <w:ind w:firstLine="0" w:firstLineChars="0"/>
              <w:rPr>
                <w:rFonts w:hint="eastAsia" w:hAnsi="宋体" w:cs="宋体"/>
                <w:color w:val="auto"/>
                <w:sz w:val="18"/>
                <w:szCs w:val="18"/>
                <w:highlight w:val="none"/>
              </w:rPr>
            </w:pPr>
            <w:r>
              <w:rPr>
                <w:rFonts w:hint="eastAsia" w:hAnsi="宋体" w:cs="宋体"/>
                <w:color w:val="auto"/>
                <w:sz w:val="18"/>
                <w:szCs w:val="18"/>
                <w:highlight w:val="none"/>
              </w:rPr>
              <w:t>多元协同</w:t>
            </w:r>
          </w:p>
        </w:tc>
        <w:tc>
          <w:tcPr>
            <w:tcW w:w="4168" w:type="pct"/>
          </w:tcPr>
          <w:p w14:paraId="1BE55DFB">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提升社区凝聚力</w:t>
            </w:r>
          </w:p>
          <w:p w14:paraId="3B802835">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开展社区教育和培训活动</w:t>
            </w:r>
          </w:p>
          <w:p w14:paraId="20D33128">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建立信息发布平台，方便市民了解城市动态、查询相关信息</w:t>
            </w:r>
          </w:p>
          <w:p w14:paraId="035F71B4">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完善公共预警与信息发布系统，实现预警、告知以及公众赋能</w:t>
            </w:r>
          </w:p>
          <w:p w14:paraId="3A16542A">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将各类社区公共空间纳入范畴</w:t>
            </w:r>
          </w:p>
          <w:p w14:paraId="4059BD56">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评估韧性措施受益群体，确保效益分配公平公正</w:t>
            </w:r>
          </w:p>
          <w:p w14:paraId="67532697">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针对弱势群体精准制定韧性措施</w:t>
            </w:r>
          </w:p>
          <w:p w14:paraId="36BF9AED">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提升韧性措施的综合价值，涵盖社会、环境、技术及经济等方面</w:t>
            </w:r>
          </w:p>
          <w:p w14:paraId="41E3C9F9">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推动城市相关方共同参与韧性城市建设</w:t>
            </w:r>
          </w:p>
        </w:tc>
      </w:tr>
      <w:tr w14:paraId="0F7B5C4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28" w:type="dxa"/>
            <w:left w:w="57" w:type="dxa"/>
            <w:bottom w:w="28" w:type="dxa"/>
            <w:right w:w="57" w:type="dxa"/>
          </w:tblCellMar>
        </w:tblPrEx>
        <w:trPr>
          <w:jc w:val="center"/>
        </w:trPr>
        <w:tc>
          <w:tcPr>
            <w:tcW w:w="832" w:type="pct"/>
          </w:tcPr>
          <w:p w14:paraId="2F7A3B36">
            <w:pPr>
              <w:pStyle w:val="59"/>
              <w:ind w:firstLine="0" w:firstLineChars="0"/>
              <w:rPr>
                <w:rFonts w:hint="eastAsia" w:hAnsi="宋体" w:cs="宋体"/>
                <w:color w:val="auto"/>
                <w:sz w:val="18"/>
                <w:szCs w:val="18"/>
                <w:highlight w:val="none"/>
              </w:rPr>
            </w:pPr>
            <w:r>
              <w:rPr>
                <w:rFonts w:hint="eastAsia" w:hAnsi="宋体" w:cs="宋体"/>
                <w:color w:val="auto"/>
                <w:sz w:val="18"/>
                <w:szCs w:val="18"/>
                <w:highlight w:val="none"/>
              </w:rPr>
              <w:t>灵活适应</w:t>
            </w:r>
          </w:p>
        </w:tc>
        <w:tc>
          <w:tcPr>
            <w:tcW w:w="4168" w:type="pct"/>
          </w:tcPr>
          <w:p w14:paraId="465F8765">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重点加强城市规避风险和危机转化的能力</w:t>
            </w:r>
          </w:p>
          <w:p w14:paraId="510D95C9">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在城市系统中预留弹性，以应对人口、技术、气候及空间模式等未来不确定性变化</w:t>
            </w:r>
          </w:p>
          <w:p w14:paraId="759C8D7D">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开展韧性城市跨领域培训，拓宽从业人员的能力</w:t>
            </w:r>
          </w:p>
          <w:p w14:paraId="1A15DD27">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在决策与规划中采用适应性路径方法</w:t>
            </w:r>
          </w:p>
          <w:p w14:paraId="7A1B5338">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借助技术手段推动相关措施的广泛应用，并为动态调整提供支撑</w:t>
            </w:r>
          </w:p>
        </w:tc>
      </w:tr>
      <w:tr w14:paraId="2397381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28" w:type="dxa"/>
            <w:left w:w="57" w:type="dxa"/>
            <w:bottom w:w="28" w:type="dxa"/>
            <w:right w:w="57" w:type="dxa"/>
          </w:tblCellMar>
        </w:tblPrEx>
        <w:trPr>
          <w:jc w:val="center"/>
        </w:trPr>
        <w:tc>
          <w:tcPr>
            <w:tcW w:w="832" w:type="pct"/>
          </w:tcPr>
          <w:p w14:paraId="24387383">
            <w:pPr>
              <w:pStyle w:val="59"/>
              <w:ind w:firstLine="0" w:firstLineChars="0"/>
              <w:rPr>
                <w:rFonts w:hint="eastAsia" w:hAnsi="宋体" w:cs="宋体"/>
                <w:color w:val="auto"/>
                <w:sz w:val="18"/>
                <w:szCs w:val="18"/>
                <w:highlight w:val="none"/>
              </w:rPr>
            </w:pPr>
            <w:r>
              <w:rPr>
                <w:rFonts w:hint="eastAsia" w:hAnsi="宋体" w:cs="宋体"/>
                <w:color w:val="auto"/>
                <w:sz w:val="18"/>
                <w:szCs w:val="18"/>
                <w:highlight w:val="none"/>
              </w:rPr>
              <w:t>风险研判</w:t>
            </w:r>
          </w:p>
        </w:tc>
        <w:tc>
          <w:tcPr>
            <w:tcW w:w="4168" w:type="pct"/>
          </w:tcPr>
          <w:p w14:paraId="519F7613">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制定相关政策，系统梳理相关工作、总结经验并推动创新</w:t>
            </w:r>
          </w:p>
          <w:p w14:paraId="13267DA5">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搭建决策咨询平台，推动政策制定者与经验丰富的专业主体对接</w:t>
            </w:r>
          </w:p>
          <w:p w14:paraId="0C3B92F0">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建立监测体系，动态识别发展变化与潜在机遇</w:t>
            </w:r>
          </w:p>
          <w:p w14:paraId="598F390E">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开展趋势研判与情景规划（如跟踪分析技术变革与创新带来的跨领域影响）</w:t>
            </w:r>
          </w:p>
          <w:p w14:paraId="4B0F1490">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建立监测预警系统，对洪水、地震、滑坡、森林火灾等突发事件进行风险预警，为提前部署防灾与应急措施创造条件</w:t>
            </w:r>
          </w:p>
          <w:p w14:paraId="205389A0">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针对交通系统等生命线系统的运行中断风险，搭建实时数据采集系统并进行动态监测</w:t>
            </w:r>
          </w:p>
          <w:p w14:paraId="17996699">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布设基础设施感知设备，实时掌握设施运行状态</w:t>
            </w:r>
          </w:p>
          <w:p w14:paraId="379CA406">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建立跨部门总结交流机制</w:t>
            </w:r>
          </w:p>
        </w:tc>
      </w:tr>
      <w:tr w14:paraId="3F74514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28" w:type="dxa"/>
            <w:left w:w="57" w:type="dxa"/>
            <w:bottom w:w="28" w:type="dxa"/>
            <w:right w:w="57" w:type="dxa"/>
          </w:tblCellMar>
        </w:tblPrEx>
        <w:trPr>
          <w:jc w:val="center"/>
        </w:trPr>
        <w:tc>
          <w:tcPr>
            <w:tcW w:w="832" w:type="pct"/>
            <w:vMerge w:val="restart"/>
          </w:tcPr>
          <w:p w14:paraId="75F10E2F">
            <w:pPr>
              <w:pStyle w:val="59"/>
              <w:ind w:firstLine="0" w:firstLineChars="0"/>
              <w:rPr>
                <w:rFonts w:hint="eastAsia" w:hAnsi="宋体" w:cs="宋体"/>
                <w:color w:val="auto"/>
                <w:sz w:val="18"/>
                <w:szCs w:val="18"/>
                <w:highlight w:val="none"/>
              </w:rPr>
            </w:pPr>
            <w:r>
              <w:rPr>
                <w:rFonts w:hint="eastAsia" w:hAnsi="宋体" w:cs="宋体"/>
                <w:color w:val="auto"/>
                <w:sz w:val="18"/>
                <w:szCs w:val="18"/>
                <w:highlight w:val="none"/>
              </w:rPr>
              <w:t>事前预防</w:t>
            </w:r>
          </w:p>
        </w:tc>
        <w:tc>
          <w:tcPr>
            <w:tcW w:w="4168" w:type="pct"/>
          </w:tcPr>
          <w:p w14:paraId="43CF8F1C">
            <w:pPr>
              <w:pStyle w:val="135"/>
              <w:numPr>
                <w:ilvl w:val="0"/>
                <w:numId w:val="0"/>
              </w:numPr>
              <w:tabs>
                <w:tab w:val="left" w:pos="1560"/>
              </w:tabs>
              <w:ind w:left="851"/>
              <w:rPr>
                <w:rFonts w:hint="eastAsia" w:hAnsi="宋体" w:cs="宋体"/>
                <w:b/>
                <w:bCs/>
                <w:color w:val="auto"/>
                <w:sz w:val="18"/>
                <w:szCs w:val="18"/>
                <w:highlight w:val="none"/>
              </w:rPr>
            </w:pPr>
            <w:r>
              <w:rPr>
                <w:rFonts w:hint="eastAsia" w:hAnsi="宋体" w:cs="宋体"/>
                <w:b/>
                <w:bCs/>
                <w:color w:val="auto"/>
                <w:sz w:val="18"/>
                <w:szCs w:val="18"/>
                <w:highlight w:val="none"/>
              </w:rPr>
              <w:t>防范</w:t>
            </w:r>
          </w:p>
          <w:p w14:paraId="68DF2CAE">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完善政策法规，加强危险化学品的储存、运输等环节管控，管控高污染、高危险性能源使用</w:t>
            </w:r>
          </w:p>
          <w:p w14:paraId="2E4A4935">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制定规划措施，将基于自然的解决方案作为高风险区域防护手段</w:t>
            </w:r>
          </w:p>
          <w:p w14:paraId="2F2BD73A">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通过国土空间规划引导，避免在洪水易发区进行开发建设，鼓励将现有建筑更新为高韧性建筑</w:t>
            </w:r>
          </w:p>
          <w:p w14:paraId="2A49D0C8">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制定地方政策，协同管控跨部门风险，例如对铁路干线周边的土地开发进行限制，限制危化品在城市建成区及敏感建筑周边存储</w:t>
            </w:r>
          </w:p>
        </w:tc>
      </w:tr>
      <w:tr w14:paraId="49F8E5A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28" w:type="dxa"/>
            <w:left w:w="57" w:type="dxa"/>
            <w:bottom w:w="28" w:type="dxa"/>
            <w:right w:w="57" w:type="dxa"/>
          </w:tblCellMar>
        </w:tblPrEx>
        <w:trPr>
          <w:jc w:val="center"/>
        </w:trPr>
        <w:tc>
          <w:tcPr>
            <w:tcW w:w="0" w:type="auto"/>
            <w:vMerge w:val="continue"/>
            <w:vAlign w:val="center"/>
          </w:tcPr>
          <w:p w14:paraId="2E968C0A">
            <w:pPr>
              <w:pStyle w:val="59"/>
              <w:ind w:firstLine="360"/>
              <w:rPr>
                <w:rFonts w:hint="eastAsia" w:hAnsi="宋体" w:cs="宋体"/>
                <w:color w:val="auto"/>
                <w:sz w:val="18"/>
                <w:szCs w:val="18"/>
                <w:highlight w:val="none"/>
              </w:rPr>
            </w:pPr>
          </w:p>
        </w:tc>
        <w:tc>
          <w:tcPr>
            <w:tcW w:w="4168" w:type="pct"/>
          </w:tcPr>
          <w:p w14:paraId="4E7B116A">
            <w:pPr>
              <w:pStyle w:val="135"/>
              <w:numPr>
                <w:ilvl w:val="0"/>
                <w:numId w:val="0"/>
              </w:numPr>
              <w:tabs>
                <w:tab w:val="left" w:pos="1560"/>
              </w:tabs>
              <w:ind w:left="851"/>
              <w:rPr>
                <w:rFonts w:hint="eastAsia" w:hAnsi="宋体" w:cs="宋体"/>
                <w:b/>
                <w:bCs/>
                <w:color w:val="auto"/>
                <w:sz w:val="18"/>
                <w:szCs w:val="18"/>
                <w:highlight w:val="none"/>
              </w:rPr>
            </w:pPr>
            <w:r>
              <w:rPr>
                <w:rFonts w:hint="eastAsia" w:hAnsi="宋体" w:cs="宋体"/>
                <w:b/>
                <w:bCs/>
                <w:color w:val="auto"/>
                <w:sz w:val="18"/>
                <w:szCs w:val="18"/>
                <w:highlight w:val="none"/>
              </w:rPr>
              <w:t>防护</w:t>
            </w:r>
          </w:p>
          <w:p w14:paraId="4098BAFE">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实施防护工程措施，例如修筑永久性工程抵御灾害威胁，保护易受灾区域（如防洪工程体系）</w:t>
            </w:r>
          </w:p>
          <w:p w14:paraId="52AA5D68">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建设城市系统性洪涝调蓄工程，确保中心城区免受洪水影响</w:t>
            </w:r>
          </w:p>
          <w:p w14:paraId="744D7E99">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运用消防工程，预防并减缓火灾蔓延，保障人员及建筑物安全</w:t>
            </w:r>
          </w:p>
          <w:p w14:paraId="7911F4D1">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避让风险源，将高风险因素与城市区域隔离</w:t>
            </w:r>
          </w:p>
          <w:p w14:paraId="78A54266">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针对特定灾害进行针对性防护，例如强化建筑结构以抵御极端大风、洪水、爆炸、森林火灾或沙尘暴等灾害冲击</w:t>
            </w:r>
          </w:p>
        </w:tc>
      </w:tr>
      <w:tr w14:paraId="6A9506D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28" w:type="dxa"/>
            <w:left w:w="57" w:type="dxa"/>
            <w:bottom w:w="28" w:type="dxa"/>
            <w:right w:w="57" w:type="dxa"/>
          </w:tblCellMar>
        </w:tblPrEx>
        <w:trPr>
          <w:jc w:val="center"/>
        </w:trPr>
        <w:tc>
          <w:tcPr>
            <w:tcW w:w="0" w:type="auto"/>
            <w:vMerge w:val="continue"/>
            <w:vAlign w:val="center"/>
          </w:tcPr>
          <w:p w14:paraId="244554EB">
            <w:pPr>
              <w:pStyle w:val="59"/>
              <w:ind w:firstLine="360"/>
              <w:rPr>
                <w:rFonts w:hint="eastAsia" w:hAnsi="宋体" w:cs="宋体"/>
                <w:color w:val="auto"/>
                <w:sz w:val="18"/>
                <w:szCs w:val="18"/>
                <w:highlight w:val="none"/>
              </w:rPr>
            </w:pPr>
          </w:p>
        </w:tc>
        <w:tc>
          <w:tcPr>
            <w:tcW w:w="4168" w:type="pct"/>
          </w:tcPr>
          <w:p w14:paraId="72BA0A88">
            <w:pPr>
              <w:pStyle w:val="135"/>
              <w:numPr>
                <w:ilvl w:val="0"/>
                <w:numId w:val="0"/>
              </w:numPr>
              <w:tabs>
                <w:tab w:val="left" w:pos="1560"/>
              </w:tabs>
              <w:ind w:left="851"/>
              <w:rPr>
                <w:rFonts w:hint="eastAsia" w:hAnsi="宋体" w:cs="宋体"/>
                <w:b/>
                <w:bCs/>
                <w:color w:val="auto"/>
                <w:sz w:val="18"/>
                <w:szCs w:val="18"/>
                <w:highlight w:val="none"/>
              </w:rPr>
            </w:pPr>
            <w:r>
              <w:rPr>
                <w:rFonts w:hint="eastAsia" w:hAnsi="宋体" w:cs="宋体"/>
                <w:b/>
                <w:bCs/>
                <w:color w:val="auto"/>
                <w:sz w:val="18"/>
                <w:szCs w:val="18"/>
                <w:highlight w:val="none"/>
              </w:rPr>
              <w:t>冗余</w:t>
            </w:r>
          </w:p>
          <w:p w14:paraId="3E465B1A">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在城市运行系统中增加备用系统（如环状管网），实现供应中断时能够快速切换，维持服务能力</w:t>
            </w:r>
          </w:p>
          <w:p w14:paraId="05207910">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通过设施设备备份（如发电机）或系统冗余（如多中心数据备份），为电力、数据、供水等生命线系统提供冗余保障</w:t>
            </w:r>
          </w:p>
          <w:p w14:paraId="105EEA70">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建立可在应急状态下快速调用的财政储备金或授信额度</w:t>
            </w:r>
          </w:p>
        </w:tc>
      </w:tr>
      <w:tr w14:paraId="059F49D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28" w:type="dxa"/>
            <w:left w:w="57" w:type="dxa"/>
            <w:bottom w:w="28" w:type="dxa"/>
            <w:right w:w="57" w:type="dxa"/>
          </w:tblCellMar>
        </w:tblPrEx>
        <w:trPr>
          <w:jc w:val="center"/>
        </w:trPr>
        <w:tc>
          <w:tcPr>
            <w:tcW w:w="0" w:type="auto"/>
            <w:vMerge w:val="continue"/>
            <w:vAlign w:val="center"/>
          </w:tcPr>
          <w:p w14:paraId="04C6AC2C">
            <w:pPr>
              <w:pStyle w:val="59"/>
              <w:ind w:firstLine="360"/>
              <w:rPr>
                <w:rFonts w:hint="eastAsia" w:hAnsi="宋体" w:cs="宋体"/>
                <w:color w:val="auto"/>
                <w:sz w:val="18"/>
                <w:szCs w:val="18"/>
                <w:highlight w:val="none"/>
              </w:rPr>
            </w:pPr>
          </w:p>
        </w:tc>
        <w:tc>
          <w:tcPr>
            <w:tcW w:w="4168" w:type="pct"/>
          </w:tcPr>
          <w:p w14:paraId="59DE8AA1">
            <w:pPr>
              <w:pStyle w:val="135"/>
              <w:numPr>
                <w:ilvl w:val="0"/>
                <w:numId w:val="0"/>
              </w:numPr>
              <w:tabs>
                <w:tab w:val="left" w:pos="1560"/>
              </w:tabs>
              <w:ind w:left="851"/>
              <w:rPr>
                <w:rFonts w:hint="eastAsia" w:hAnsi="宋体" w:cs="宋体"/>
                <w:b/>
                <w:bCs/>
                <w:color w:val="auto"/>
                <w:sz w:val="18"/>
                <w:szCs w:val="18"/>
                <w:highlight w:val="none"/>
              </w:rPr>
            </w:pPr>
            <w:r>
              <w:rPr>
                <w:rFonts w:hAnsi="宋体" w:cs="宋体"/>
                <w:b/>
                <w:bCs/>
                <w:color w:val="auto"/>
                <w:sz w:val="18"/>
                <w:szCs w:val="18"/>
                <w:highlight w:val="none"/>
              </w:rPr>
              <w:t>失效保护</w:t>
            </w:r>
          </w:p>
          <w:p w14:paraId="77CAE291">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制定措施确保系统发生故障时，影响程度可控，不会发生蔓延扩散引发次生灾害或影响（例如，识别结构的失效模式，确保单个构件损坏不会导致过度破坏或连续坍塌）</w:t>
            </w:r>
          </w:p>
        </w:tc>
      </w:tr>
      <w:tr w14:paraId="0D39A98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28" w:type="dxa"/>
            <w:left w:w="57" w:type="dxa"/>
            <w:bottom w:w="28" w:type="dxa"/>
            <w:right w:w="57" w:type="dxa"/>
          </w:tblCellMar>
        </w:tblPrEx>
        <w:trPr>
          <w:jc w:val="center"/>
        </w:trPr>
        <w:tc>
          <w:tcPr>
            <w:tcW w:w="0" w:type="auto"/>
            <w:vMerge w:val="continue"/>
            <w:vAlign w:val="center"/>
          </w:tcPr>
          <w:p w14:paraId="4E589C08">
            <w:pPr>
              <w:pStyle w:val="59"/>
              <w:ind w:firstLine="360"/>
              <w:rPr>
                <w:rFonts w:hint="eastAsia" w:hAnsi="宋体" w:cs="宋体"/>
                <w:color w:val="auto"/>
                <w:sz w:val="18"/>
                <w:szCs w:val="18"/>
                <w:highlight w:val="none"/>
              </w:rPr>
            </w:pPr>
          </w:p>
        </w:tc>
        <w:tc>
          <w:tcPr>
            <w:tcW w:w="4168" w:type="pct"/>
          </w:tcPr>
          <w:p w14:paraId="068F0B70">
            <w:pPr>
              <w:pStyle w:val="135"/>
              <w:numPr>
                <w:ilvl w:val="0"/>
                <w:numId w:val="0"/>
              </w:numPr>
              <w:tabs>
                <w:tab w:val="left" w:pos="1560"/>
              </w:tabs>
              <w:ind w:left="851"/>
              <w:rPr>
                <w:rFonts w:hint="eastAsia" w:hAnsi="宋体" w:cs="宋体"/>
                <w:b/>
                <w:bCs/>
                <w:color w:val="auto"/>
                <w:sz w:val="18"/>
                <w:szCs w:val="18"/>
                <w:highlight w:val="none"/>
              </w:rPr>
            </w:pPr>
            <w:r>
              <w:rPr>
                <w:rFonts w:hint="eastAsia" w:hAnsi="宋体" w:cs="宋体"/>
                <w:b/>
                <w:bCs/>
                <w:color w:val="auto"/>
                <w:sz w:val="18"/>
                <w:szCs w:val="18"/>
                <w:highlight w:val="none"/>
              </w:rPr>
              <w:t>响应</w:t>
            </w:r>
          </w:p>
          <w:p w14:paraId="74684402">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编制分级协同的疏散预案，涵盖楼层、建筑、社区等不同尺度。根据突发事件规模，明确人员集结、调度、转运及应急避难场所安排等专项部署</w:t>
            </w:r>
          </w:p>
          <w:p w14:paraId="5D380610">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构建多部门协同响应能力，及时向公众发布信息，降低事件影响并防止级联事件发生</w:t>
            </w:r>
          </w:p>
          <w:p w14:paraId="5CCD9317">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配置应急服务与专业救援力量，降低灾害事故的直接影响，加速恢复进程</w:t>
            </w:r>
          </w:p>
        </w:tc>
      </w:tr>
      <w:tr w14:paraId="46B30F3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28" w:type="dxa"/>
            <w:left w:w="57" w:type="dxa"/>
            <w:bottom w:w="28" w:type="dxa"/>
            <w:right w:w="57" w:type="dxa"/>
          </w:tblCellMar>
        </w:tblPrEx>
        <w:trPr>
          <w:jc w:val="center"/>
        </w:trPr>
        <w:tc>
          <w:tcPr>
            <w:tcW w:w="832" w:type="pct"/>
          </w:tcPr>
          <w:p w14:paraId="007A0BCD">
            <w:pPr>
              <w:pStyle w:val="59"/>
              <w:ind w:firstLine="0" w:firstLineChars="0"/>
              <w:rPr>
                <w:rFonts w:hint="eastAsia" w:hAnsi="宋体" w:cs="宋体"/>
                <w:color w:val="auto"/>
                <w:sz w:val="18"/>
                <w:szCs w:val="18"/>
                <w:highlight w:val="none"/>
              </w:rPr>
            </w:pPr>
            <w:r>
              <w:rPr>
                <w:rFonts w:hint="eastAsia" w:hAnsi="宋体" w:cs="宋体"/>
                <w:color w:val="auto"/>
                <w:sz w:val="18"/>
                <w:szCs w:val="18"/>
                <w:highlight w:val="none"/>
              </w:rPr>
              <w:t>创新转型</w:t>
            </w:r>
          </w:p>
        </w:tc>
        <w:tc>
          <w:tcPr>
            <w:tcW w:w="4168" w:type="pct"/>
          </w:tcPr>
          <w:p w14:paraId="5D60716D">
            <w:pPr>
              <w:pStyle w:val="135"/>
              <w:rPr>
                <w:rFonts w:hint="eastAsia" w:hAnsi="宋体" w:cs="宋体"/>
                <w:color w:val="auto"/>
                <w:sz w:val="18"/>
                <w:szCs w:val="18"/>
                <w:highlight w:val="none"/>
              </w:rPr>
            </w:pPr>
            <w:r>
              <w:rPr>
                <w:rFonts w:hint="eastAsia" w:hAnsi="宋体" w:cs="宋体"/>
                <w:color w:val="auto"/>
                <w:sz w:val="18"/>
                <w:szCs w:val="18"/>
                <w:highlight w:val="none"/>
              </w:rPr>
              <w:t>制定应急预案和恢复策略，确保关键功能持续运转，在中断后快速恢复</w:t>
            </w:r>
          </w:p>
          <w:p w14:paraId="518750A8">
            <w:pPr>
              <w:pStyle w:val="135"/>
              <w:rPr>
                <w:rFonts w:hint="eastAsia" w:hAnsi="宋体" w:cs="宋体"/>
                <w:color w:val="auto"/>
                <w:sz w:val="18"/>
                <w:szCs w:val="18"/>
                <w:highlight w:val="none"/>
              </w:rPr>
            </w:pPr>
            <w:r>
              <w:rPr>
                <w:rFonts w:hint="eastAsia" w:hAnsi="宋体" w:cs="宋体"/>
                <w:color w:val="auto"/>
                <w:sz w:val="18"/>
                <w:szCs w:val="18"/>
                <w:highlight w:val="none"/>
              </w:rPr>
              <w:t>制定完整的韧性城市规划，除应急预案外还宜包括公众咨询、方案制定、实施、资源配置、评估测试、应急演练、复盘总结、经验学习及动态优化等环节</w:t>
            </w:r>
          </w:p>
          <w:p w14:paraId="7BABDD90">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将技术工具及规划蓝图嵌入恢复策略，确保多方主体参与并协同推动恢复工作，实现效益最大化，将灾害影响转化为城市发展的契机</w:t>
            </w:r>
          </w:p>
          <w:p w14:paraId="05C533D8">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储备关键系统组件，支撑快速抢修与功能恢复</w:t>
            </w:r>
          </w:p>
          <w:p w14:paraId="38CA8799">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制定配套政策，应对传统产业衰退带来的就业冲击，包括优化教育政策、完善基础设施配套等举措以吸引投资、增加就业岗位</w:t>
            </w:r>
          </w:p>
          <w:p w14:paraId="178E5644">
            <w:pPr>
              <w:pStyle w:val="135"/>
              <w:tabs>
                <w:tab w:val="left" w:pos="1560"/>
              </w:tabs>
              <w:ind w:left="850" w:hanging="425"/>
              <w:rPr>
                <w:rFonts w:hint="eastAsia" w:hAnsi="宋体" w:cs="宋体"/>
                <w:color w:val="auto"/>
                <w:sz w:val="18"/>
                <w:szCs w:val="18"/>
                <w:highlight w:val="none"/>
              </w:rPr>
            </w:pPr>
            <w:r>
              <w:rPr>
                <w:rFonts w:hint="eastAsia" w:hAnsi="宋体" w:cs="宋体"/>
                <w:color w:val="auto"/>
                <w:sz w:val="18"/>
                <w:szCs w:val="18"/>
                <w:highlight w:val="none"/>
              </w:rPr>
              <w:t>开展社区主导的韧性项目，增强社区（含弱势群体）的参与度与自治力</w:t>
            </w:r>
          </w:p>
        </w:tc>
      </w:tr>
    </w:tbl>
    <w:p w14:paraId="024C366F">
      <w:pPr>
        <w:pStyle w:val="183"/>
        <w:numPr>
          <w:ilvl w:val="0"/>
          <w:numId w:val="69"/>
        </w:numPr>
        <w:rPr>
          <w:color w:val="auto"/>
          <w:highlight w:val="none"/>
        </w:rPr>
      </w:pPr>
      <w:bookmarkStart w:id="166" w:name="29"/>
      <w:bookmarkEnd w:id="166"/>
      <w:bookmarkStart w:id="167" w:name="_Toc31598"/>
      <w:r>
        <w:rPr>
          <w:rFonts w:hint="eastAsia"/>
          <w:color w:val="auto"/>
          <w:highlight w:val="none"/>
        </w:rPr>
        <w:t>GB/T 41670为组织提供指南，指导其识别最易受自然及人为灾害影响的个体，并就如何联动、沟通、提供支持给出规范，同时包含持续强化对弱势群体支持的相关内容。</w:t>
      </w:r>
    </w:p>
    <w:p w14:paraId="4B192AAE">
      <w:pPr>
        <w:pStyle w:val="183"/>
        <w:numPr>
          <w:ilvl w:val="0"/>
          <w:numId w:val="69"/>
        </w:numPr>
        <w:rPr>
          <w:color w:val="auto"/>
          <w:highlight w:val="none"/>
        </w:rPr>
      </w:pPr>
      <w:r>
        <w:rPr>
          <w:rFonts w:hint="eastAsia"/>
          <w:color w:val="auto"/>
          <w:highlight w:val="none"/>
        </w:rPr>
        <w:t>GB/T 30146规定了业务连续性管理体系（BCMS）的实施与维护架构及要求，该系统开发适合组织在中断后愿意或不愿意接受的影响程度和类型。</w:t>
      </w:r>
    </w:p>
    <w:p w14:paraId="6A87E47C">
      <w:pPr>
        <w:pStyle w:val="183"/>
        <w:numPr>
          <w:ilvl w:val="0"/>
          <w:numId w:val="69"/>
        </w:numPr>
        <w:rPr>
          <w:color w:val="auto"/>
          <w:highlight w:val="none"/>
        </w:rPr>
      </w:pPr>
      <w:r>
        <w:rPr>
          <w:rFonts w:hint="eastAsia"/>
          <w:color w:val="auto"/>
          <w:highlight w:val="none"/>
        </w:rPr>
        <w:t>GB/T 40151为组织提供了开展应急管理能力评估的相关指南。</w:t>
      </w:r>
    </w:p>
    <w:p w14:paraId="7EF13F9A">
      <w:pPr>
        <w:pStyle w:val="183"/>
        <w:numPr>
          <w:ilvl w:val="0"/>
          <w:numId w:val="69"/>
        </w:numPr>
        <w:rPr>
          <w:color w:val="auto"/>
          <w:highlight w:val="none"/>
        </w:rPr>
      </w:pPr>
      <w:r>
        <w:rPr>
          <w:rFonts w:hint="eastAsia"/>
          <w:color w:val="auto"/>
          <w:highlight w:val="none"/>
        </w:rPr>
        <w:t>GB/T 45614有助于组织对危机管理能力进行规划设计与持续提升，同时明确各类组织需遵循的原则及实践要求。</w:t>
      </w:r>
    </w:p>
    <w:p w14:paraId="1A83002C">
      <w:pPr>
        <w:pStyle w:val="183"/>
        <w:numPr>
          <w:ilvl w:val="0"/>
          <w:numId w:val="69"/>
        </w:numPr>
        <w:rPr>
          <w:color w:val="auto"/>
          <w:highlight w:val="none"/>
        </w:rPr>
      </w:pPr>
      <w:r>
        <w:rPr>
          <w:rFonts w:hint="eastAsia"/>
          <w:color w:val="auto"/>
          <w:highlight w:val="none"/>
        </w:rPr>
        <w:t>ISO 22393构建了重大突发事件、灾害及危机影响的治理、协调与评估框架，并通过规划流程恢复行动、从战略上制定转型重塑举措来应对上述影响。</w:t>
      </w:r>
    </w:p>
    <w:p w14:paraId="5A285F44">
      <w:pPr>
        <w:pStyle w:val="183"/>
        <w:numPr>
          <w:ilvl w:val="0"/>
          <w:numId w:val="69"/>
        </w:numPr>
        <w:rPr>
          <w:color w:val="auto"/>
          <w:highlight w:val="none"/>
        </w:rPr>
      </w:pPr>
      <w:r>
        <w:rPr>
          <w:rFonts w:hint="eastAsia"/>
          <w:color w:val="auto"/>
          <w:highlight w:val="none"/>
        </w:rPr>
        <w:t>GB/T 37228提供了事件管理的相关指南。</w:t>
      </w:r>
    </w:p>
    <w:p w14:paraId="397159AA">
      <w:pPr>
        <w:pStyle w:val="68"/>
        <w:spacing w:before="156" w:after="156"/>
        <w:rPr>
          <w:bCs/>
          <w:color w:val="auto"/>
          <w:highlight w:val="none"/>
        </w:rPr>
      </w:pPr>
      <w:r>
        <w:rPr>
          <w:color w:val="auto"/>
          <w:highlight w:val="none"/>
        </w:rPr>
        <w:t>适应</w:t>
      </w:r>
      <w:r>
        <w:rPr>
          <w:rFonts w:hint="eastAsia"/>
          <w:color w:val="auto"/>
          <w:highlight w:val="none"/>
        </w:rPr>
        <w:t>性</w:t>
      </w:r>
      <w:r>
        <w:rPr>
          <w:color w:val="auto"/>
          <w:highlight w:val="none"/>
        </w:rPr>
        <w:t>路径</w:t>
      </w:r>
      <w:bookmarkEnd w:id="167"/>
    </w:p>
    <w:p w14:paraId="540EB548">
      <w:pPr>
        <w:pStyle w:val="59"/>
        <w:ind w:firstLine="420"/>
        <w:rPr>
          <w:color w:val="auto"/>
          <w:highlight w:val="none"/>
        </w:rPr>
      </w:pPr>
      <w:r>
        <w:rPr>
          <w:rFonts w:hint="eastAsia"/>
          <w:color w:val="auto"/>
          <w:highlight w:val="none"/>
        </w:rPr>
        <w:t>领导小组办公室宜</w:t>
      </w:r>
      <w:r>
        <w:rPr>
          <w:color w:val="auto"/>
          <w:highlight w:val="none"/>
        </w:rPr>
        <w:t>运用适应</w:t>
      </w:r>
      <w:r>
        <w:rPr>
          <w:rFonts w:hint="eastAsia"/>
          <w:color w:val="auto"/>
          <w:highlight w:val="none"/>
        </w:rPr>
        <w:t>性</w:t>
      </w:r>
      <w:r>
        <w:rPr>
          <w:color w:val="auto"/>
          <w:highlight w:val="none"/>
        </w:rPr>
        <w:t>路径</w:t>
      </w:r>
      <w:r>
        <w:rPr>
          <w:rFonts w:hint="eastAsia"/>
          <w:color w:val="auto"/>
          <w:highlight w:val="none"/>
        </w:rPr>
        <w:t>方法以</w:t>
      </w:r>
      <w:r>
        <w:rPr>
          <w:color w:val="auto"/>
          <w:highlight w:val="none"/>
        </w:rPr>
        <w:t>应对长期风险管理决策中的不确定性（如经济兴衰、人口流动、气候变化影响</w:t>
      </w:r>
      <w:r>
        <w:rPr>
          <w:rFonts w:hint="eastAsia"/>
          <w:color w:val="auto"/>
          <w:highlight w:val="none"/>
        </w:rPr>
        <w:t>等问题</w:t>
      </w:r>
      <w:r>
        <w:rPr>
          <w:color w:val="auto"/>
          <w:highlight w:val="none"/>
        </w:rPr>
        <w:t>的不确定性）。</w:t>
      </w:r>
      <w:r>
        <w:rPr>
          <w:rFonts w:hint="eastAsia"/>
          <w:color w:val="auto"/>
          <w:highlight w:val="none"/>
        </w:rPr>
        <w:t>该方法宜推演</w:t>
      </w:r>
      <w:r>
        <w:rPr>
          <w:color w:val="auto"/>
          <w:highlight w:val="none"/>
        </w:rPr>
        <w:t>多种可能</w:t>
      </w:r>
      <w:r>
        <w:rPr>
          <w:rFonts w:hint="eastAsia"/>
          <w:color w:val="auto"/>
          <w:highlight w:val="none"/>
        </w:rPr>
        <w:t>发生</w:t>
      </w:r>
      <w:r>
        <w:rPr>
          <w:color w:val="auto"/>
          <w:highlight w:val="none"/>
        </w:rPr>
        <w:t>的情景，并</w:t>
      </w:r>
      <w:r>
        <w:rPr>
          <w:rFonts w:hint="eastAsia"/>
          <w:color w:val="auto"/>
          <w:highlight w:val="none"/>
        </w:rPr>
        <w:t>分析</w:t>
      </w:r>
      <w:r>
        <w:rPr>
          <w:color w:val="auto"/>
          <w:highlight w:val="none"/>
        </w:rPr>
        <w:t>各类</w:t>
      </w:r>
      <w:r>
        <w:rPr>
          <w:rFonts w:hint="eastAsia"/>
          <w:color w:val="auto"/>
          <w:highlight w:val="none"/>
        </w:rPr>
        <w:t>韧性措施</w:t>
      </w:r>
      <w:r>
        <w:rPr>
          <w:color w:val="auto"/>
          <w:highlight w:val="none"/>
        </w:rPr>
        <w:t>的稳健性与灵活性。</w:t>
      </w:r>
    </w:p>
    <w:p w14:paraId="4FDC1F78">
      <w:pPr>
        <w:pStyle w:val="108"/>
        <w:spacing w:before="156" w:after="156"/>
        <w:rPr>
          <w:bCs/>
          <w:color w:val="auto"/>
          <w:highlight w:val="none"/>
        </w:rPr>
      </w:pPr>
      <w:bookmarkStart w:id="168" w:name="30"/>
      <w:bookmarkEnd w:id="168"/>
      <w:bookmarkStart w:id="169" w:name="_Toc22680"/>
      <w:bookmarkEnd w:id="169"/>
      <w:bookmarkStart w:id="170" w:name="_Toc23248"/>
      <w:bookmarkStart w:id="171" w:name="_Toc206170540"/>
      <w:bookmarkStart w:id="172" w:name="_Toc11063"/>
      <w:bookmarkStart w:id="173" w:name="_Toc1000"/>
      <w:r>
        <w:rPr>
          <w:rFonts w:hint="eastAsia"/>
          <w:color w:val="auto"/>
          <w:highlight w:val="none"/>
        </w:rPr>
        <w:t>韧性措施</w:t>
      </w:r>
      <w:r>
        <w:rPr>
          <w:color w:val="auto"/>
          <w:highlight w:val="none"/>
        </w:rPr>
        <w:t>的优先级排序</w:t>
      </w:r>
      <w:bookmarkEnd w:id="170"/>
      <w:bookmarkEnd w:id="171"/>
      <w:bookmarkEnd w:id="172"/>
      <w:bookmarkEnd w:id="173"/>
    </w:p>
    <w:p w14:paraId="7D6C760E">
      <w:pPr>
        <w:pStyle w:val="68"/>
        <w:spacing w:before="156" w:after="156"/>
        <w:rPr>
          <w:bCs/>
          <w:color w:val="auto"/>
          <w:highlight w:val="none"/>
        </w:rPr>
      </w:pPr>
      <w:bookmarkStart w:id="174" w:name="_Toc8205"/>
      <w:bookmarkEnd w:id="174"/>
      <w:bookmarkStart w:id="175" w:name="_Toc12182"/>
      <w:r>
        <w:rPr>
          <w:color w:val="auto"/>
          <w:highlight w:val="none"/>
        </w:rPr>
        <w:t>效益分析</w:t>
      </w:r>
      <w:bookmarkEnd w:id="175"/>
    </w:p>
    <w:p w14:paraId="43D42E34">
      <w:pPr>
        <w:pStyle w:val="59"/>
        <w:ind w:firstLine="420"/>
        <w:rPr>
          <w:color w:val="auto"/>
          <w:highlight w:val="none"/>
        </w:rPr>
      </w:pPr>
      <w:r>
        <w:rPr>
          <w:rFonts w:hint="eastAsia"/>
          <w:color w:val="auto"/>
          <w:highlight w:val="none"/>
        </w:rPr>
        <w:t>韧性措施宜追求</w:t>
      </w:r>
      <w:r>
        <w:rPr>
          <w:color w:val="auto"/>
          <w:highlight w:val="none"/>
        </w:rPr>
        <w:t>多重效益</w:t>
      </w:r>
      <w:r>
        <w:rPr>
          <w:rFonts w:hint="eastAsia"/>
          <w:color w:val="auto"/>
          <w:highlight w:val="none"/>
        </w:rPr>
        <w:t>，挖掘</w:t>
      </w:r>
      <w:r>
        <w:rPr>
          <w:color w:val="auto"/>
          <w:highlight w:val="none"/>
        </w:rPr>
        <w:t>连锁效益（即一个系统产生的效益对其他系统形成的积极影响）。</w:t>
      </w:r>
      <w:r>
        <w:rPr>
          <w:rFonts w:hint="eastAsia"/>
          <w:color w:val="auto"/>
          <w:highlight w:val="none"/>
        </w:rPr>
        <w:t>通过</w:t>
      </w:r>
      <w:r>
        <w:rPr>
          <w:color w:val="auto"/>
          <w:highlight w:val="none"/>
        </w:rPr>
        <w:t>效益映射</w:t>
      </w:r>
      <w:r>
        <w:rPr>
          <w:rFonts w:hint="eastAsia"/>
          <w:color w:val="auto"/>
          <w:highlight w:val="none"/>
        </w:rPr>
        <w:t>分析，</w:t>
      </w:r>
      <w:r>
        <w:rPr>
          <w:color w:val="auto"/>
          <w:highlight w:val="none"/>
        </w:rPr>
        <w:t>明确效益的</w:t>
      </w:r>
      <w:r>
        <w:rPr>
          <w:rFonts w:hint="eastAsia"/>
          <w:color w:val="auto"/>
          <w:highlight w:val="none"/>
        </w:rPr>
        <w:t>作用范围</w:t>
      </w:r>
      <w:r>
        <w:rPr>
          <w:color w:val="auto"/>
          <w:highlight w:val="none"/>
        </w:rPr>
        <w:t>、</w:t>
      </w:r>
      <w:r>
        <w:rPr>
          <w:rFonts w:hint="eastAsia"/>
          <w:color w:val="auto"/>
          <w:highlight w:val="none"/>
        </w:rPr>
        <w:t>实现方式</w:t>
      </w:r>
      <w:r>
        <w:rPr>
          <w:color w:val="auto"/>
          <w:highlight w:val="none"/>
        </w:rPr>
        <w:t>、系统</w:t>
      </w:r>
      <w:r>
        <w:rPr>
          <w:rFonts w:hint="eastAsia"/>
          <w:color w:val="auto"/>
          <w:highlight w:val="none"/>
        </w:rPr>
        <w:t>受益机制</w:t>
      </w:r>
      <w:r>
        <w:rPr>
          <w:color w:val="auto"/>
          <w:highlight w:val="none"/>
        </w:rPr>
        <w:t>，以及判定</w:t>
      </w:r>
      <w:r>
        <w:rPr>
          <w:rFonts w:hint="eastAsia"/>
          <w:color w:val="auto"/>
          <w:highlight w:val="none"/>
        </w:rPr>
        <w:t>具体</w:t>
      </w:r>
      <w:r>
        <w:rPr>
          <w:color w:val="auto"/>
          <w:highlight w:val="none"/>
        </w:rPr>
        <w:t>受益</w:t>
      </w:r>
      <w:r>
        <w:rPr>
          <w:rFonts w:hint="eastAsia"/>
          <w:color w:val="auto"/>
          <w:highlight w:val="none"/>
        </w:rPr>
        <w:t>群体/部门</w:t>
      </w:r>
      <w:r>
        <w:rPr>
          <w:color w:val="auto"/>
          <w:highlight w:val="none"/>
        </w:rPr>
        <w:t>。若</w:t>
      </w:r>
      <w:r>
        <w:rPr>
          <w:rFonts w:hint="eastAsia"/>
          <w:color w:val="auto"/>
          <w:highlight w:val="none"/>
        </w:rPr>
        <w:t>结果显示</w:t>
      </w:r>
      <w:r>
        <w:rPr>
          <w:color w:val="auto"/>
          <w:highlight w:val="none"/>
        </w:rPr>
        <w:t>效益分配存在</w:t>
      </w:r>
      <w:r>
        <w:rPr>
          <w:rFonts w:hint="eastAsia"/>
          <w:color w:val="auto"/>
          <w:highlight w:val="none"/>
        </w:rPr>
        <w:t>严重偏向或</w:t>
      </w:r>
      <w:r>
        <w:rPr>
          <w:color w:val="auto"/>
          <w:highlight w:val="none"/>
        </w:rPr>
        <w:t>倾斜，则</w:t>
      </w:r>
      <w:r>
        <w:rPr>
          <w:rFonts w:hint="eastAsia"/>
          <w:color w:val="auto"/>
          <w:highlight w:val="none"/>
        </w:rPr>
        <w:t>需对照</w:t>
      </w:r>
      <w:r>
        <w:rPr>
          <w:color w:val="auto"/>
          <w:highlight w:val="none"/>
        </w:rPr>
        <w:t>本文件的原则</w:t>
      </w:r>
      <w:r>
        <w:rPr>
          <w:rFonts w:hint="eastAsia"/>
          <w:color w:val="auto"/>
          <w:highlight w:val="none"/>
        </w:rPr>
        <w:t>重新制定策略</w:t>
      </w:r>
      <w:r>
        <w:rPr>
          <w:color w:val="auto"/>
          <w:highlight w:val="none"/>
        </w:rPr>
        <w:t>。在特殊情形下，为应对</w:t>
      </w:r>
      <w:r>
        <w:rPr>
          <w:rFonts w:hint="eastAsia"/>
          <w:color w:val="auto"/>
          <w:highlight w:val="none"/>
        </w:rPr>
        <w:t>部分群体的高</w:t>
      </w:r>
      <w:r>
        <w:rPr>
          <w:color w:val="auto"/>
          <w:highlight w:val="none"/>
        </w:rPr>
        <w:t>脆弱性</w:t>
      </w:r>
      <w:r>
        <w:rPr>
          <w:rFonts w:hint="eastAsia"/>
          <w:color w:val="auto"/>
          <w:highlight w:val="none"/>
        </w:rPr>
        <w:t>与高</w:t>
      </w:r>
      <w:r>
        <w:rPr>
          <w:color w:val="auto"/>
          <w:highlight w:val="none"/>
        </w:rPr>
        <w:t>风险暴露</w:t>
      </w:r>
      <w:r>
        <w:rPr>
          <w:rFonts w:hint="eastAsia"/>
          <w:color w:val="auto"/>
          <w:highlight w:val="none"/>
        </w:rPr>
        <w:t>度</w:t>
      </w:r>
      <w:r>
        <w:rPr>
          <w:color w:val="auto"/>
          <w:highlight w:val="none"/>
        </w:rPr>
        <w:t>，</w:t>
      </w:r>
      <w:r>
        <w:rPr>
          <w:rFonts w:hint="eastAsia"/>
          <w:color w:val="auto"/>
          <w:highlight w:val="none"/>
        </w:rPr>
        <w:t>韧性措施可主动向</w:t>
      </w:r>
      <w:r>
        <w:rPr>
          <w:color w:val="auto"/>
          <w:highlight w:val="none"/>
        </w:rPr>
        <w:t>特定</w:t>
      </w:r>
      <w:r>
        <w:rPr>
          <w:rFonts w:hint="eastAsia"/>
          <w:color w:val="auto"/>
          <w:highlight w:val="none"/>
        </w:rPr>
        <w:t>群体/</w:t>
      </w:r>
      <w:r>
        <w:rPr>
          <w:color w:val="auto"/>
          <w:highlight w:val="none"/>
        </w:rPr>
        <w:t>部门倾斜</w:t>
      </w:r>
      <w:r>
        <w:rPr>
          <w:rFonts w:hint="eastAsia"/>
          <w:color w:val="auto"/>
          <w:highlight w:val="none"/>
        </w:rPr>
        <w:t>，</w:t>
      </w:r>
      <w:r>
        <w:rPr>
          <w:color w:val="auto"/>
          <w:highlight w:val="none"/>
        </w:rPr>
        <w:t>此类情况</w:t>
      </w:r>
      <w:r>
        <w:rPr>
          <w:rFonts w:hint="eastAsia"/>
          <w:color w:val="auto"/>
          <w:highlight w:val="none"/>
        </w:rPr>
        <w:t>宜</w:t>
      </w:r>
      <w:r>
        <w:rPr>
          <w:color w:val="auto"/>
          <w:highlight w:val="none"/>
        </w:rPr>
        <w:t>说明效益的合理性。</w:t>
      </w:r>
      <w:r>
        <w:rPr>
          <w:rFonts w:hint="eastAsia"/>
          <w:color w:val="auto"/>
          <w:highlight w:val="none"/>
        </w:rPr>
        <w:t>领导小组办公室宜</w:t>
      </w:r>
      <w:r>
        <w:rPr>
          <w:color w:val="auto"/>
          <w:highlight w:val="none"/>
        </w:rPr>
        <w:t>：</w:t>
      </w:r>
    </w:p>
    <w:p w14:paraId="55B5B21C">
      <w:pPr>
        <w:pStyle w:val="177"/>
        <w:numPr>
          <w:ilvl w:val="0"/>
          <w:numId w:val="70"/>
        </w:numPr>
        <w:bidi w:val="0"/>
        <w:ind w:left="851" w:leftChars="0" w:hanging="426" w:firstLineChars="0"/>
        <w:rPr>
          <w:color w:val="auto"/>
          <w:highlight w:val="none"/>
        </w:rPr>
      </w:pPr>
      <w:r>
        <w:rPr>
          <w:color w:val="auto"/>
          <w:highlight w:val="none"/>
        </w:rPr>
        <w:t>评估</w:t>
      </w:r>
      <w:r>
        <w:rPr>
          <w:rFonts w:hint="eastAsia"/>
          <w:color w:val="auto"/>
          <w:highlight w:val="none"/>
        </w:rPr>
        <w:t>韧性战略</w:t>
      </w:r>
      <w:r>
        <w:rPr>
          <w:color w:val="auto"/>
          <w:highlight w:val="none"/>
        </w:rPr>
        <w:t>在</w:t>
      </w:r>
      <w:r>
        <w:rPr>
          <w:rFonts w:hint="eastAsia"/>
          <w:color w:val="auto"/>
          <w:highlight w:val="none"/>
        </w:rPr>
        <w:t>城市层面</w:t>
      </w:r>
      <w:r>
        <w:rPr>
          <w:color w:val="auto"/>
          <w:highlight w:val="none"/>
        </w:rPr>
        <w:t>及各</w:t>
      </w:r>
      <w:r>
        <w:rPr>
          <w:rFonts w:hint="eastAsia"/>
          <w:color w:val="auto"/>
          <w:highlight w:val="none"/>
        </w:rPr>
        <w:t>个</w:t>
      </w:r>
      <w:r>
        <w:rPr>
          <w:color w:val="auto"/>
          <w:highlight w:val="none"/>
        </w:rPr>
        <w:t>项目内产生的效益；</w:t>
      </w:r>
    </w:p>
    <w:p w14:paraId="759CFE77">
      <w:pPr>
        <w:pStyle w:val="177"/>
        <w:numPr>
          <w:ilvl w:val="0"/>
          <w:numId w:val="70"/>
        </w:numPr>
        <w:bidi w:val="0"/>
        <w:ind w:left="851" w:leftChars="0" w:hanging="426" w:firstLineChars="0"/>
        <w:rPr>
          <w:color w:val="auto"/>
          <w:highlight w:val="none"/>
        </w:rPr>
      </w:pPr>
      <w:r>
        <w:rPr>
          <w:color w:val="auto"/>
          <w:highlight w:val="none"/>
        </w:rPr>
        <w:t>构建拟</w:t>
      </w:r>
      <w:r>
        <w:rPr>
          <w:rFonts w:hint="eastAsia"/>
          <w:color w:val="auto"/>
          <w:highlight w:val="none"/>
        </w:rPr>
        <w:t>实施战略</w:t>
      </w:r>
      <w:r>
        <w:rPr>
          <w:color w:val="auto"/>
          <w:highlight w:val="none"/>
        </w:rPr>
        <w:t>与预期成果/绩效标准的</w:t>
      </w:r>
      <w:r>
        <w:rPr>
          <w:rFonts w:hint="eastAsia"/>
          <w:color w:val="auto"/>
          <w:highlight w:val="none"/>
        </w:rPr>
        <w:t>对照</w:t>
      </w:r>
      <w:r>
        <w:rPr>
          <w:color w:val="auto"/>
          <w:highlight w:val="none"/>
        </w:rPr>
        <w:t>矩阵；</w:t>
      </w:r>
    </w:p>
    <w:p w14:paraId="54C10CC1">
      <w:pPr>
        <w:pStyle w:val="177"/>
        <w:numPr>
          <w:ilvl w:val="0"/>
          <w:numId w:val="70"/>
        </w:numPr>
        <w:bidi w:val="0"/>
        <w:ind w:left="851" w:leftChars="0" w:hanging="426" w:firstLineChars="0"/>
        <w:rPr>
          <w:color w:val="auto"/>
          <w:highlight w:val="none"/>
        </w:rPr>
      </w:pPr>
      <w:r>
        <w:rPr>
          <w:color w:val="auto"/>
          <w:highlight w:val="none"/>
        </w:rPr>
        <w:t>确保</w:t>
      </w:r>
      <w:r>
        <w:rPr>
          <w:rFonts w:hint="eastAsia"/>
          <w:color w:val="auto"/>
          <w:highlight w:val="none"/>
        </w:rPr>
        <w:t>各项措施的</w:t>
      </w:r>
      <w:r>
        <w:rPr>
          <w:color w:val="auto"/>
          <w:highlight w:val="none"/>
        </w:rPr>
        <w:t>成果</w:t>
      </w:r>
      <w:r>
        <w:rPr>
          <w:rFonts w:hint="eastAsia"/>
          <w:color w:val="auto"/>
          <w:highlight w:val="none"/>
        </w:rPr>
        <w:t>或</w:t>
      </w:r>
      <w:r>
        <w:rPr>
          <w:color w:val="auto"/>
          <w:highlight w:val="none"/>
        </w:rPr>
        <w:t>标准与</w:t>
      </w:r>
      <w:r>
        <w:rPr>
          <w:rFonts w:hint="eastAsia"/>
          <w:color w:val="auto"/>
          <w:highlight w:val="none"/>
        </w:rPr>
        <w:t>城市社会目标</w:t>
      </w:r>
      <w:r>
        <w:rPr>
          <w:color w:val="auto"/>
          <w:highlight w:val="none"/>
        </w:rPr>
        <w:t>保持一致；</w:t>
      </w:r>
    </w:p>
    <w:p w14:paraId="008FC0AF">
      <w:pPr>
        <w:pStyle w:val="177"/>
        <w:numPr>
          <w:ilvl w:val="0"/>
          <w:numId w:val="70"/>
        </w:numPr>
        <w:bidi w:val="0"/>
        <w:ind w:left="851" w:leftChars="0" w:hanging="426" w:firstLineChars="0"/>
        <w:rPr>
          <w:color w:val="auto"/>
          <w:highlight w:val="none"/>
        </w:rPr>
      </w:pPr>
      <w:r>
        <w:rPr>
          <w:rFonts w:hint="eastAsia"/>
          <w:color w:val="auto"/>
          <w:highlight w:val="none"/>
        </w:rPr>
        <w:t>结合</w:t>
      </w:r>
      <w:r>
        <w:rPr>
          <w:color w:val="auto"/>
          <w:highlight w:val="none"/>
        </w:rPr>
        <w:t>指导委员会</w:t>
      </w:r>
      <w:r>
        <w:rPr>
          <w:rFonts w:hint="eastAsia"/>
          <w:color w:val="auto"/>
          <w:highlight w:val="none"/>
        </w:rPr>
        <w:t>意见</w:t>
      </w:r>
      <w:r>
        <w:rPr>
          <w:color w:val="auto"/>
          <w:highlight w:val="none"/>
        </w:rPr>
        <w:t>与利益相关方协商</w:t>
      </w:r>
      <w:r>
        <w:rPr>
          <w:rFonts w:hint="eastAsia"/>
          <w:color w:val="auto"/>
          <w:highlight w:val="none"/>
        </w:rPr>
        <w:t>结果</w:t>
      </w:r>
      <w:r>
        <w:rPr>
          <w:color w:val="auto"/>
          <w:highlight w:val="none"/>
        </w:rPr>
        <w:t>，明确</w:t>
      </w:r>
      <w:r>
        <w:rPr>
          <w:rFonts w:hint="eastAsia"/>
          <w:color w:val="auto"/>
          <w:highlight w:val="none"/>
        </w:rPr>
        <w:t>各项措施</w:t>
      </w:r>
      <w:r>
        <w:rPr>
          <w:color w:val="auto"/>
          <w:highlight w:val="none"/>
        </w:rPr>
        <w:t>的</w:t>
      </w:r>
      <w:r>
        <w:rPr>
          <w:rFonts w:hint="eastAsia"/>
          <w:color w:val="auto"/>
          <w:highlight w:val="none"/>
        </w:rPr>
        <w:t>优先级</w:t>
      </w:r>
      <w:r>
        <w:rPr>
          <w:color w:val="auto"/>
          <w:highlight w:val="none"/>
        </w:rPr>
        <w:t>排序。</w:t>
      </w:r>
    </w:p>
    <w:p w14:paraId="2EBB24D5">
      <w:pPr>
        <w:pStyle w:val="182"/>
        <w:rPr>
          <w:color w:val="auto"/>
          <w:highlight w:val="none"/>
        </w:rPr>
      </w:pPr>
      <w:r>
        <w:rPr>
          <w:color w:val="auto"/>
          <w:highlight w:val="none"/>
        </w:rPr>
        <w:t>可根据各</w:t>
      </w:r>
      <w:r>
        <w:rPr>
          <w:rFonts w:hint="eastAsia"/>
          <w:color w:val="auto"/>
          <w:highlight w:val="none"/>
        </w:rPr>
        <w:t>项</w:t>
      </w:r>
      <w:r>
        <w:rPr>
          <w:color w:val="auto"/>
          <w:highlight w:val="none"/>
        </w:rPr>
        <w:t>标准，对</w:t>
      </w:r>
      <w:r>
        <w:rPr>
          <w:rFonts w:hint="eastAsia"/>
          <w:color w:val="auto"/>
          <w:highlight w:val="none"/>
        </w:rPr>
        <w:t>措施</w:t>
      </w:r>
      <w:r>
        <w:rPr>
          <w:color w:val="auto"/>
          <w:highlight w:val="none"/>
        </w:rPr>
        <w:t>进行</w:t>
      </w:r>
      <w:r>
        <w:rPr>
          <w:rFonts w:hint="eastAsia"/>
          <w:color w:val="auto"/>
          <w:highlight w:val="none"/>
        </w:rPr>
        <w:t>评分</w:t>
      </w:r>
      <w:r>
        <w:rPr>
          <w:color w:val="auto"/>
          <w:highlight w:val="none"/>
        </w:rPr>
        <w:t>、加权和汇总，</w:t>
      </w:r>
      <w:r>
        <w:rPr>
          <w:rFonts w:hint="eastAsia"/>
          <w:color w:val="auto"/>
          <w:highlight w:val="none"/>
        </w:rPr>
        <w:t>形成</w:t>
      </w:r>
      <w:r>
        <w:rPr>
          <w:color w:val="auto"/>
          <w:highlight w:val="none"/>
        </w:rPr>
        <w:t>优先级</w:t>
      </w:r>
      <w:r>
        <w:rPr>
          <w:rFonts w:hint="eastAsia"/>
          <w:color w:val="auto"/>
          <w:highlight w:val="none"/>
        </w:rPr>
        <w:t>排序</w:t>
      </w:r>
      <w:r>
        <w:rPr>
          <w:color w:val="auto"/>
          <w:highlight w:val="none"/>
        </w:rPr>
        <w:t>。可采用五</w:t>
      </w:r>
      <w:r>
        <w:rPr>
          <w:rFonts w:hint="eastAsia"/>
          <w:color w:val="auto"/>
          <w:highlight w:val="none"/>
        </w:rPr>
        <w:t>分制评分</w:t>
      </w:r>
      <w:r>
        <w:rPr>
          <w:color w:val="auto"/>
          <w:highlight w:val="none"/>
        </w:rPr>
        <w:t>，</w:t>
      </w:r>
      <w:r>
        <w:rPr>
          <w:rFonts w:hint="eastAsia"/>
          <w:color w:val="auto"/>
          <w:highlight w:val="none"/>
        </w:rPr>
        <w:t>便于筛选</w:t>
      </w:r>
      <w:r>
        <w:rPr>
          <w:color w:val="auto"/>
          <w:highlight w:val="none"/>
        </w:rPr>
        <w:t>具备多重效益的</w:t>
      </w:r>
      <w:r>
        <w:rPr>
          <w:rFonts w:hint="eastAsia"/>
          <w:color w:val="auto"/>
          <w:highlight w:val="none"/>
        </w:rPr>
        <w:t>策略</w:t>
      </w:r>
      <w:r>
        <w:rPr>
          <w:color w:val="auto"/>
          <w:highlight w:val="none"/>
        </w:rPr>
        <w:t>。</w:t>
      </w:r>
    </w:p>
    <w:p w14:paraId="74BE286D">
      <w:pPr>
        <w:pStyle w:val="68"/>
        <w:spacing w:before="156" w:after="156"/>
        <w:rPr>
          <w:bCs/>
          <w:color w:val="auto"/>
          <w:highlight w:val="none"/>
        </w:rPr>
      </w:pPr>
      <w:r>
        <w:rPr>
          <w:rFonts w:hint="eastAsia"/>
          <w:color w:val="auto"/>
          <w:highlight w:val="none"/>
        </w:rPr>
        <w:t>多</w:t>
      </w:r>
      <w:r>
        <w:rPr>
          <w:color w:val="auto"/>
          <w:highlight w:val="none"/>
        </w:rPr>
        <w:t>方参与</w:t>
      </w:r>
    </w:p>
    <w:p w14:paraId="2652DA58">
      <w:pPr>
        <w:pStyle w:val="167"/>
        <w:bidi w:val="0"/>
        <w:rPr>
          <w:color w:val="auto"/>
          <w:highlight w:val="none"/>
        </w:rPr>
      </w:pPr>
      <w:r>
        <w:rPr>
          <w:rFonts w:hint="eastAsia"/>
          <w:color w:val="auto"/>
          <w:highlight w:val="none"/>
        </w:rPr>
        <w:t>领导小组办公室宜</w:t>
      </w:r>
      <w:r>
        <w:rPr>
          <w:color w:val="auto"/>
          <w:highlight w:val="none"/>
        </w:rPr>
        <w:t>联动指导委员会及其他利益相关方</w:t>
      </w:r>
      <w:r>
        <w:rPr>
          <w:rFonts w:hint="eastAsia"/>
          <w:color w:val="auto"/>
          <w:highlight w:val="none"/>
        </w:rPr>
        <w:t>，包括各级</w:t>
      </w:r>
      <w:r>
        <w:rPr>
          <w:color w:val="auto"/>
          <w:highlight w:val="none"/>
        </w:rPr>
        <w:t>政府代表、</w:t>
      </w:r>
      <w:r>
        <w:rPr>
          <w:rFonts w:hint="eastAsia"/>
          <w:color w:val="auto"/>
          <w:highlight w:val="none"/>
        </w:rPr>
        <w:t>企业</w:t>
      </w:r>
      <w:r>
        <w:rPr>
          <w:color w:val="auto"/>
          <w:highlight w:val="none"/>
        </w:rPr>
        <w:t>、社会力量（含非政府组织、学术机构等），</w:t>
      </w:r>
      <w:r>
        <w:rPr>
          <w:rFonts w:hint="eastAsia"/>
          <w:color w:val="auto"/>
          <w:highlight w:val="none"/>
        </w:rPr>
        <w:t>就</w:t>
      </w:r>
      <w:r>
        <w:rPr>
          <w:color w:val="auto"/>
          <w:highlight w:val="none"/>
        </w:rPr>
        <w:t>拟</w:t>
      </w:r>
      <w:r>
        <w:rPr>
          <w:rFonts w:hint="eastAsia"/>
          <w:color w:val="auto"/>
          <w:highlight w:val="none"/>
        </w:rPr>
        <w:t>实施的措施进行公开</w:t>
      </w:r>
      <w:r>
        <w:rPr>
          <w:color w:val="auto"/>
          <w:highlight w:val="none"/>
        </w:rPr>
        <w:t>说明、研讨交流、深化完善</w:t>
      </w:r>
      <w:r>
        <w:rPr>
          <w:rFonts w:hint="eastAsia"/>
          <w:color w:val="auto"/>
          <w:highlight w:val="none"/>
        </w:rPr>
        <w:t>与</w:t>
      </w:r>
      <w:r>
        <w:rPr>
          <w:color w:val="auto"/>
          <w:highlight w:val="none"/>
        </w:rPr>
        <w:t>优先级排序。</w:t>
      </w:r>
    </w:p>
    <w:p w14:paraId="59BC243F">
      <w:pPr>
        <w:pStyle w:val="182"/>
        <w:rPr>
          <w:color w:val="auto"/>
          <w:highlight w:val="none"/>
        </w:rPr>
      </w:pPr>
      <w:r>
        <w:rPr>
          <w:color w:val="auto"/>
          <w:highlight w:val="none"/>
        </w:rPr>
        <w:t>社区参与策略及具体活动的相关指南，详见6.3。</w:t>
      </w:r>
    </w:p>
    <w:p w14:paraId="1555456D">
      <w:pPr>
        <w:pStyle w:val="167"/>
        <w:bidi w:val="0"/>
        <w:rPr>
          <w:color w:val="auto"/>
          <w:highlight w:val="none"/>
        </w:rPr>
      </w:pPr>
      <w:r>
        <w:rPr>
          <w:rFonts w:hint="eastAsia"/>
          <w:color w:val="auto"/>
          <w:highlight w:val="none"/>
        </w:rPr>
        <w:t>领导小组办公室宜</w:t>
      </w:r>
      <w:r>
        <w:rPr>
          <w:color w:val="auto"/>
          <w:highlight w:val="none"/>
        </w:rPr>
        <w:t>：</w:t>
      </w:r>
    </w:p>
    <w:p w14:paraId="3E1F6676">
      <w:pPr>
        <w:pStyle w:val="177"/>
        <w:numPr>
          <w:ilvl w:val="0"/>
          <w:numId w:val="71"/>
        </w:numPr>
        <w:bidi w:val="0"/>
        <w:ind w:left="851" w:leftChars="0" w:hanging="426" w:firstLineChars="0"/>
        <w:rPr>
          <w:color w:val="auto"/>
          <w:highlight w:val="none"/>
        </w:rPr>
      </w:pPr>
      <w:r>
        <w:rPr>
          <w:color w:val="auto"/>
          <w:highlight w:val="none"/>
        </w:rPr>
        <w:t>结合韧性城市建设需求，</w:t>
      </w:r>
      <w:r>
        <w:rPr>
          <w:rFonts w:hint="eastAsia"/>
          <w:color w:val="auto"/>
          <w:highlight w:val="none"/>
        </w:rPr>
        <w:t>确定各类措施</w:t>
      </w:r>
      <w:r>
        <w:rPr>
          <w:color w:val="auto"/>
          <w:highlight w:val="none"/>
        </w:rPr>
        <w:t>优先级</w:t>
      </w:r>
      <w:r>
        <w:rPr>
          <w:rFonts w:hint="eastAsia"/>
          <w:color w:val="auto"/>
          <w:highlight w:val="none"/>
        </w:rPr>
        <w:t>，阐述其</w:t>
      </w:r>
      <w:r>
        <w:rPr>
          <w:color w:val="auto"/>
          <w:highlight w:val="none"/>
        </w:rPr>
        <w:t>对</w:t>
      </w:r>
      <w:r>
        <w:rPr>
          <w:rFonts w:hint="eastAsia"/>
          <w:color w:val="auto"/>
          <w:highlight w:val="none"/>
        </w:rPr>
        <w:t>城市社会目标</w:t>
      </w:r>
      <w:r>
        <w:rPr>
          <w:color w:val="auto"/>
          <w:highlight w:val="none"/>
        </w:rPr>
        <w:t>的贡献程度，以及与</w:t>
      </w:r>
      <w:r>
        <w:rPr>
          <w:rFonts w:hint="eastAsia"/>
          <w:color w:val="auto"/>
          <w:highlight w:val="none"/>
        </w:rPr>
        <w:t>各项</w:t>
      </w:r>
      <w:r>
        <w:rPr>
          <w:color w:val="auto"/>
          <w:highlight w:val="none"/>
        </w:rPr>
        <w:t>原则的契合</w:t>
      </w:r>
      <w:r>
        <w:rPr>
          <w:rFonts w:hint="eastAsia"/>
          <w:color w:val="auto"/>
          <w:highlight w:val="none"/>
        </w:rPr>
        <w:t>度</w:t>
      </w:r>
      <w:r>
        <w:rPr>
          <w:color w:val="auto"/>
          <w:highlight w:val="none"/>
        </w:rPr>
        <w:t>；</w:t>
      </w:r>
    </w:p>
    <w:p w14:paraId="201FDB5D">
      <w:pPr>
        <w:pStyle w:val="177"/>
        <w:numPr>
          <w:ilvl w:val="0"/>
          <w:numId w:val="71"/>
        </w:numPr>
        <w:bidi w:val="0"/>
        <w:ind w:left="851" w:leftChars="0" w:hanging="426" w:firstLineChars="0"/>
        <w:rPr>
          <w:color w:val="auto"/>
          <w:highlight w:val="none"/>
        </w:rPr>
      </w:pPr>
      <w:r>
        <w:rPr>
          <w:color w:val="auto"/>
          <w:highlight w:val="none"/>
        </w:rPr>
        <w:t>明确</w:t>
      </w:r>
      <w:r>
        <w:rPr>
          <w:rFonts w:hint="eastAsia"/>
          <w:color w:val="auto"/>
          <w:highlight w:val="none"/>
        </w:rPr>
        <w:t>措施</w:t>
      </w:r>
      <w:r>
        <w:rPr>
          <w:color w:val="auto"/>
          <w:highlight w:val="none"/>
        </w:rPr>
        <w:t>实施的</w:t>
      </w:r>
      <w:r>
        <w:rPr>
          <w:rFonts w:hint="eastAsia"/>
          <w:color w:val="auto"/>
          <w:highlight w:val="none"/>
        </w:rPr>
        <w:t>时序，</w:t>
      </w:r>
      <w:r>
        <w:rPr>
          <w:color w:val="auto"/>
          <w:highlight w:val="none"/>
        </w:rPr>
        <w:t>分为</w:t>
      </w:r>
      <w:r>
        <w:rPr>
          <w:rFonts w:hint="eastAsia"/>
          <w:color w:val="auto"/>
          <w:highlight w:val="none"/>
        </w:rPr>
        <w:t>近</w:t>
      </w:r>
      <w:r>
        <w:rPr>
          <w:color w:val="auto"/>
          <w:highlight w:val="none"/>
        </w:rPr>
        <w:t>期、中期或</w:t>
      </w:r>
      <w:r>
        <w:rPr>
          <w:rFonts w:hint="eastAsia"/>
          <w:color w:val="auto"/>
          <w:highlight w:val="none"/>
        </w:rPr>
        <w:t>远</w:t>
      </w:r>
      <w:r>
        <w:rPr>
          <w:color w:val="auto"/>
          <w:highlight w:val="none"/>
        </w:rPr>
        <w:t>期；</w:t>
      </w:r>
    </w:p>
    <w:p w14:paraId="363B0533">
      <w:pPr>
        <w:pStyle w:val="177"/>
        <w:numPr>
          <w:ilvl w:val="0"/>
          <w:numId w:val="71"/>
        </w:numPr>
        <w:bidi w:val="0"/>
        <w:ind w:left="851" w:leftChars="0" w:hanging="426" w:firstLineChars="0"/>
        <w:rPr>
          <w:color w:val="auto"/>
          <w:highlight w:val="none"/>
        </w:rPr>
      </w:pPr>
      <w:r>
        <w:rPr>
          <w:color w:val="auto"/>
          <w:highlight w:val="none"/>
        </w:rPr>
        <w:t>结合城市</w:t>
      </w:r>
      <w:r>
        <w:rPr>
          <w:rFonts w:hint="eastAsia"/>
          <w:color w:val="auto"/>
          <w:highlight w:val="none"/>
        </w:rPr>
        <w:t>现状</w:t>
      </w:r>
      <w:r>
        <w:rPr>
          <w:color w:val="auto"/>
          <w:highlight w:val="none"/>
        </w:rPr>
        <w:t>、治理</w:t>
      </w:r>
      <w:r>
        <w:rPr>
          <w:rFonts w:hint="eastAsia"/>
          <w:color w:val="auto"/>
          <w:highlight w:val="none"/>
        </w:rPr>
        <w:t>能力</w:t>
      </w:r>
      <w:r>
        <w:rPr>
          <w:color w:val="auto"/>
          <w:highlight w:val="none"/>
        </w:rPr>
        <w:t>、实施</w:t>
      </w:r>
      <w:r>
        <w:rPr>
          <w:rFonts w:hint="eastAsia"/>
          <w:color w:val="auto"/>
          <w:highlight w:val="none"/>
        </w:rPr>
        <w:t>架构</w:t>
      </w:r>
      <w:r>
        <w:rPr>
          <w:color w:val="auto"/>
          <w:highlight w:val="none"/>
        </w:rPr>
        <w:t>及资金</w:t>
      </w:r>
      <w:r>
        <w:rPr>
          <w:rFonts w:hint="eastAsia"/>
          <w:color w:val="auto"/>
          <w:highlight w:val="none"/>
        </w:rPr>
        <w:t>条件，评估措施</w:t>
      </w:r>
      <w:r>
        <w:rPr>
          <w:color w:val="auto"/>
          <w:highlight w:val="none"/>
        </w:rPr>
        <w:t>的可实施性（包含可行性与落地性）；</w:t>
      </w:r>
    </w:p>
    <w:p w14:paraId="000310D2">
      <w:pPr>
        <w:pStyle w:val="177"/>
        <w:numPr>
          <w:ilvl w:val="0"/>
          <w:numId w:val="71"/>
        </w:numPr>
        <w:bidi w:val="0"/>
        <w:ind w:left="851" w:leftChars="0" w:hanging="426" w:firstLineChars="0"/>
        <w:rPr>
          <w:color w:val="auto"/>
          <w:highlight w:val="none"/>
        </w:rPr>
      </w:pPr>
      <w:r>
        <w:rPr>
          <w:color w:val="auto"/>
          <w:highlight w:val="none"/>
        </w:rPr>
        <w:t>确</w:t>
      </w:r>
      <w:r>
        <w:rPr>
          <w:rFonts w:hint="eastAsia"/>
          <w:color w:val="auto"/>
          <w:highlight w:val="none"/>
        </w:rPr>
        <w:t>保各项措施</w:t>
      </w:r>
      <w:r>
        <w:rPr>
          <w:color w:val="auto"/>
          <w:highlight w:val="none"/>
        </w:rPr>
        <w:t>与地方、</w:t>
      </w:r>
      <w:r>
        <w:rPr>
          <w:rFonts w:hint="eastAsia"/>
          <w:color w:val="auto"/>
          <w:highlight w:val="none"/>
        </w:rPr>
        <w:t>区域</w:t>
      </w:r>
      <w:r>
        <w:rPr>
          <w:color w:val="auto"/>
          <w:highlight w:val="none"/>
        </w:rPr>
        <w:t>及全球</w:t>
      </w:r>
      <w:r>
        <w:rPr>
          <w:rFonts w:hint="eastAsia"/>
          <w:color w:val="auto"/>
          <w:highlight w:val="none"/>
        </w:rPr>
        <w:t>层面其他行动计划</w:t>
      </w:r>
      <w:r>
        <w:rPr>
          <w:color w:val="auto"/>
          <w:highlight w:val="none"/>
        </w:rPr>
        <w:t>（如联合国可持续发展目标）的协同性。</w:t>
      </w:r>
    </w:p>
    <w:p w14:paraId="5423DF61">
      <w:pPr>
        <w:pStyle w:val="167"/>
        <w:bidi w:val="0"/>
        <w:rPr>
          <w:color w:val="auto"/>
          <w:highlight w:val="none"/>
        </w:rPr>
      </w:pPr>
      <w:r>
        <w:rPr>
          <w:color w:val="auto"/>
          <w:highlight w:val="none"/>
        </w:rPr>
        <w:t>咨询</w:t>
      </w:r>
      <w:r>
        <w:rPr>
          <w:rFonts w:hint="eastAsia"/>
          <w:color w:val="auto"/>
          <w:highlight w:val="none"/>
        </w:rPr>
        <w:t>委员会宜</w:t>
      </w:r>
      <w:r>
        <w:rPr>
          <w:color w:val="auto"/>
          <w:highlight w:val="none"/>
        </w:rPr>
        <w:t>对上述优先事项</w:t>
      </w:r>
      <w:r>
        <w:rPr>
          <w:rFonts w:hint="eastAsia"/>
          <w:color w:val="auto"/>
          <w:highlight w:val="none"/>
        </w:rPr>
        <w:t>研提</w:t>
      </w:r>
      <w:r>
        <w:rPr>
          <w:color w:val="auto"/>
          <w:highlight w:val="none"/>
        </w:rPr>
        <w:t>意见。城市韧性建设领导小组</w:t>
      </w:r>
      <w:r>
        <w:rPr>
          <w:rFonts w:hint="eastAsia"/>
          <w:color w:val="auto"/>
          <w:highlight w:val="none"/>
        </w:rPr>
        <w:t>宜面向</w:t>
      </w:r>
      <w:r>
        <w:rPr>
          <w:color w:val="auto"/>
          <w:highlight w:val="none"/>
        </w:rPr>
        <w:t>相关方</w:t>
      </w:r>
      <w:r>
        <w:rPr>
          <w:rFonts w:hint="eastAsia"/>
          <w:color w:val="auto"/>
          <w:highlight w:val="none"/>
        </w:rPr>
        <w:t>对建议清单在开放平台进行</w:t>
      </w:r>
      <w:r>
        <w:rPr>
          <w:color w:val="auto"/>
          <w:highlight w:val="none"/>
        </w:rPr>
        <w:t>意见</w:t>
      </w:r>
      <w:r>
        <w:rPr>
          <w:rFonts w:hint="eastAsia"/>
          <w:color w:val="auto"/>
          <w:highlight w:val="none"/>
        </w:rPr>
        <w:t>征询</w:t>
      </w:r>
      <w:r>
        <w:rPr>
          <w:color w:val="auto"/>
          <w:highlight w:val="none"/>
        </w:rPr>
        <w:t>，</w:t>
      </w:r>
      <w:r>
        <w:rPr>
          <w:rFonts w:hint="eastAsia"/>
          <w:color w:val="auto"/>
          <w:highlight w:val="none"/>
        </w:rPr>
        <w:t>以便表达关切或提供建议，并在战略制定中予以审查和考虑</w:t>
      </w:r>
      <w:r>
        <w:rPr>
          <w:color w:val="auto"/>
          <w:highlight w:val="none"/>
        </w:rPr>
        <w:t>。</w:t>
      </w:r>
    </w:p>
    <w:p w14:paraId="2A583396">
      <w:pPr>
        <w:pStyle w:val="108"/>
        <w:spacing w:before="156" w:after="156"/>
        <w:rPr>
          <w:bCs/>
          <w:color w:val="auto"/>
          <w:highlight w:val="none"/>
        </w:rPr>
      </w:pPr>
      <w:bookmarkStart w:id="176" w:name="_Toc15400"/>
      <w:bookmarkEnd w:id="176"/>
      <w:bookmarkStart w:id="177" w:name="_Toc30680"/>
      <w:bookmarkStart w:id="178" w:name="_Toc17658"/>
      <w:bookmarkStart w:id="179" w:name="_Toc206170541"/>
      <w:bookmarkStart w:id="180" w:name="_Toc28781"/>
      <w:r>
        <w:rPr>
          <w:color w:val="auto"/>
          <w:highlight w:val="none"/>
        </w:rPr>
        <w:t>保险与风险转移</w:t>
      </w:r>
      <w:bookmarkEnd w:id="177"/>
      <w:bookmarkEnd w:id="178"/>
      <w:bookmarkEnd w:id="179"/>
      <w:bookmarkEnd w:id="180"/>
    </w:p>
    <w:p w14:paraId="07C493B5">
      <w:pPr>
        <w:pStyle w:val="168"/>
        <w:bidi w:val="0"/>
        <w:rPr>
          <w:color w:val="auto"/>
          <w:highlight w:val="none"/>
        </w:rPr>
      </w:pPr>
      <w:r>
        <w:rPr>
          <w:color w:val="auto"/>
          <w:highlight w:val="none"/>
        </w:rPr>
        <w:t>保险是一种以保单为载体</w:t>
      </w:r>
      <w:r>
        <w:rPr>
          <w:rFonts w:hint="eastAsia"/>
          <w:color w:val="auto"/>
          <w:highlight w:val="none"/>
        </w:rPr>
        <w:t>的合同</w:t>
      </w:r>
      <w:r>
        <w:rPr>
          <w:color w:val="auto"/>
          <w:highlight w:val="none"/>
        </w:rPr>
        <w:t>，由保险公司为个人或实体提供财务保障或损失赔偿。</w:t>
      </w:r>
      <w:r>
        <w:rPr>
          <w:rFonts w:hint="eastAsia"/>
          <w:color w:val="auto"/>
          <w:highlight w:val="none"/>
        </w:rPr>
        <w:t>保险合同可对冲以下财务损失风险：受保人或其财产因损毁产生的财务损失，或受保人因对第三方造成损害、伤亡而需承担责任产生的财务损失。</w:t>
      </w:r>
      <w:bookmarkStart w:id="181" w:name="31"/>
      <w:bookmarkEnd w:id="181"/>
    </w:p>
    <w:p w14:paraId="174DA8DC">
      <w:pPr>
        <w:pStyle w:val="168"/>
        <w:bidi w:val="0"/>
        <w:rPr>
          <w:color w:val="auto"/>
          <w:highlight w:val="none"/>
        </w:rPr>
      </w:pPr>
      <w:r>
        <w:rPr>
          <w:color w:val="auto"/>
          <w:highlight w:val="none"/>
        </w:rPr>
        <w:t>城市韧性建设领导小组</w:t>
      </w:r>
      <w:r>
        <w:rPr>
          <w:rFonts w:hint="eastAsia"/>
          <w:color w:val="auto"/>
          <w:highlight w:val="none"/>
        </w:rPr>
        <w:t>宜</w:t>
      </w:r>
      <w:r>
        <w:rPr>
          <w:color w:val="auto"/>
          <w:highlight w:val="none"/>
        </w:rPr>
        <w:t>与保险公司</w:t>
      </w:r>
      <w:r>
        <w:rPr>
          <w:rFonts w:hint="eastAsia"/>
          <w:color w:val="auto"/>
          <w:highlight w:val="none"/>
        </w:rPr>
        <w:t>合</w:t>
      </w:r>
      <w:r>
        <w:rPr>
          <w:color w:val="auto"/>
          <w:highlight w:val="none"/>
        </w:rPr>
        <w:t>作，通过以下方式推动韧性投资：</w:t>
      </w:r>
    </w:p>
    <w:p w14:paraId="63251C88">
      <w:pPr>
        <w:pStyle w:val="177"/>
        <w:numPr>
          <w:ilvl w:val="0"/>
          <w:numId w:val="71"/>
        </w:numPr>
        <w:bidi w:val="0"/>
        <w:ind w:left="851" w:leftChars="0" w:hanging="426" w:firstLineChars="0"/>
        <w:rPr>
          <w:color w:val="auto"/>
          <w:highlight w:val="none"/>
        </w:rPr>
      </w:pPr>
      <w:r>
        <w:rPr>
          <w:color w:val="auto"/>
          <w:highlight w:val="none"/>
        </w:rPr>
        <w:t>降低保费，鼓励市民、</w:t>
      </w:r>
      <w:r>
        <w:rPr>
          <w:rFonts w:hint="eastAsia"/>
          <w:color w:val="auto"/>
          <w:highlight w:val="none"/>
        </w:rPr>
        <w:t>各类组织和机构</w:t>
      </w:r>
      <w:r>
        <w:rPr>
          <w:color w:val="auto"/>
          <w:highlight w:val="none"/>
        </w:rPr>
        <w:t>投入资金</w:t>
      </w:r>
      <w:r>
        <w:rPr>
          <w:rFonts w:hint="eastAsia"/>
          <w:color w:val="auto"/>
          <w:highlight w:val="none"/>
        </w:rPr>
        <w:t>，</w:t>
      </w:r>
      <w:r>
        <w:rPr>
          <w:color w:val="auto"/>
          <w:highlight w:val="none"/>
        </w:rPr>
        <w:t>提升城市韧性水平；</w:t>
      </w:r>
    </w:p>
    <w:p w14:paraId="430B95A3">
      <w:pPr>
        <w:pStyle w:val="177"/>
        <w:numPr>
          <w:ilvl w:val="0"/>
          <w:numId w:val="71"/>
        </w:numPr>
        <w:bidi w:val="0"/>
        <w:ind w:left="851" w:leftChars="0" w:hanging="426" w:firstLineChars="0"/>
        <w:rPr>
          <w:color w:val="auto"/>
          <w:highlight w:val="none"/>
        </w:rPr>
      </w:pPr>
      <w:r>
        <w:rPr>
          <w:color w:val="auto"/>
          <w:highlight w:val="none"/>
        </w:rPr>
        <w:t>提供资金</w:t>
      </w:r>
      <w:r>
        <w:rPr>
          <w:rFonts w:hint="eastAsia"/>
          <w:color w:val="auto"/>
          <w:highlight w:val="none"/>
        </w:rPr>
        <w:t>支撑设施更新</w:t>
      </w:r>
      <w:r>
        <w:rPr>
          <w:color w:val="auto"/>
          <w:highlight w:val="none"/>
        </w:rPr>
        <w:t>改造，</w:t>
      </w:r>
      <w:r>
        <w:rPr>
          <w:rFonts w:hint="eastAsia"/>
          <w:color w:val="auto"/>
          <w:highlight w:val="none"/>
        </w:rPr>
        <w:t>以</w:t>
      </w:r>
      <w:r>
        <w:rPr>
          <w:color w:val="auto"/>
          <w:highlight w:val="none"/>
        </w:rPr>
        <w:t>减少</w:t>
      </w:r>
      <w:r>
        <w:rPr>
          <w:rFonts w:hint="eastAsia"/>
          <w:color w:val="auto"/>
          <w:highlight w:val="none"/>
        </w:rPr>
        <w:t>出险次数，推动</w:t>
      </w:r>
      <w:r>
        <w:rPr>
          <w:color w:val="auto"/>
          <w:highlight w:val="none"/>
        </w:rPr>
        <w:t>保费</w:t>
      </w:r>
      <w:r>
        <w:rPr>
          <w:rFonts w:hint="eastAsia"/>
          <w:color w:val="auto"/>
          <w:highlight w:val="none"/>
        </w:rPr>
        <w:t>持续降低</w:t>
      </w:r>
      <w:r>
        <w:rPr>
          <w:color w:val="auto"/>
          <w:highlight w:val="none"/>
        </w:rPr>
        <w:t>；</w:t>
      </w:r>
    </w:p>
    <w:p w14:paraId="4D5A7140">
      <w:pPr>
        <w:pStyle w:val="177"/>
        <w:numPr>
          <w:ilvl w:val="0"/>
          <w:numId w:val="71"/>
        </w:numPr>
        <w:bidi w:val="0"/>
        <w:ind w:left="851" w:leftChars="0" w:hanging="426" w:firstLineChars="0"/>
        <w:rPr>
          <w:color w:val="auto"/>
          <w:highlight w:val="none"/>
        </w:rPr>
      </w:pPr>
      <w:r>
        <w:rPr>
          <w:color w:val="auto"/>
          <w:highlight w:val="none"/>
        </w:rPr>
        <w:t>推出</w:t>
      </w:r>
      <w:r>
        <w:rPr>
          <w:rFonts w:hint="eastAsia"/>
          <w:color w:val="auto"/>
          <w:highlight w:val="none"/>
        </w:rPr>
        <w:t>建筑物</w:t>
      </w:r>
      <w:r>
        <w:rPr>
          <w:color w:val="auto"/>
          <w:highlight w:val="none"/>
        </w:rPr>
        <w:t>多年期保单，</w:t>
      </w:r>
      <w:r>
        <w:rPr>
          <w:rFonts w:hint="eastAsia"/>
          <w:color w:val="auto"/>
          <w:highlight w:val="none"/>
        </w:rPr>
        <w:t>支撑其</w:t>
      </w:r>
      <w:r>
        <w:rPr>
          <w:color w:val="auto"/>
          <w:highlight w:val="none"/>
        </w:rPr>
        <w:t>对</w:t>
      </w:r>
      <w:r>
        <w:rPr>
          <w:rFonts w:hint="eastAsia"/>
          <w:color w:val="auto"/>
          <w:highlight w:val="none"/>
        </w:rPr>
        <w:t>提升</w:t>
      </w:r>
      <w:r>
        <w:rPr>
          <w:color w:val="auto"/>
          <w:highlight w:val="none"/>
        </w:rPr>
        <w:t>韧性</w:t>
      </w:r>
      <w:r>
        <w:rPr>
          <w:rFonts w:hint="eastAsia"/>
          <w:color w:val="auto"/>
          <w:highlight w:val="none"/>
        </w:rPr>
        <w:t>能力</w:t>
      </w:r>
      <w:r>
        <w:rPr>
          <w:color w:val="auto"/>
          <w:highlight w:val="none"/>
        </w:rPr>
        <w:t>的投入并降低保费；</w:t>
      </w:r>
    </w:p>
    <w:p w14:paraId="7B46BF8A">
      <w:pPr>
        <w:pStyle w:val="177"/>
        <w:numPr>
          <w:ilvl w:val="0"/>
          <w:numId w:val="71"/>
        </w:numPr>
        <w:bidi w:val="0"/>
        <w:ind w:left="851" w:leftChars="0" w:hanging="426" w:firstLineChars="0"/>
        <w:rPr>
          <w:color w:val="auto"/>
          <w:highlight w:val="none"/>
        </w:rPr>
      </w:pPr>
      <w:r>
        <w:rPr>
          <w:color w:val="auto"/>
          <w:highlight w:val="none"/>
        </w:rPr>
        <w:t>设立财产保险</w:t>
      </w:r>
      <w:r>
        <w:rPr>
          <w:rFonts w:hint="eastAsia"/>
          <w:color w:val="auto"/>
          <w:highlight w:val="none"/>
        </w:rPr>
        <w:t>互助</w:t>
      </w:r>
      <w:r>
        <w:rPr>
          <w:color w:val="auto"/>
          <w:highlight w:val="none"/>
        </w:rPr>
        <w:t>共享池，</w:t>
      </w:r>
      <w:r>
        <w:rPr>
          <w:rFonts w:hint="eastAsia"/>
          <w:color w:val="auto"/>
          <w:highlight w:val="none"/>
        </w:rPr>
        <w:t>投保</w:t>
      </w:r>
      <w:r>
        <w:rPr>
          <w:color w:val="auto"/>
          <w:highlight w:val="none"/>
        </w:rPr>
        <w:t>成员</w:t>
      </w:r>
      <w:r>
        <w:rPr>
          <w:rFonts w:hint="eastAsia"/>
          <w:color w:val="auto"/>
          <w:highlight w:val="none"/>
        </w:rPr>
        <w:t>能够从其他成员的风险</w:t>
      </w:r>
      <w:r>
        <w:rPr>
          <w:color w:val="auto"/>
          <w:highlight w:val="none"/>
        </w:rPr>
        <w:t>降低</w:t>
      </w:r>
      <w:r>
        <w:rPr>
          <w:rFonts w:hint="eastAsia"/>
          <w:color w:val="auto"/>
          <w:highlight w:val="none"/>
        </w:rPr>
        <w:t>中</w:t>
      </w:r>
      <w:r>
        <w:rPr>
          <w:color w:val="auto"/>
          <w:highlight w:val="none"/>
        </w:rPr>
        <w:t>获益，当保费低于市场常规水平时，</w:t>
      </w:r>
      <w:r>
        <w:rPr>
          <w:rFonts w:hint="eastAsia"/>
          <w:color w:val="auto"/>
          <w:highlight w:val="none"/>
        </w:rPr>
        <w:t>能够激发各方对</w:t>
      </w:r>
      <w:r>
        <w:rPr>
          <w:color w:val="auto"/>
          <w:highlight w:val="none"/>
        </w:rPr>
        <w:t>提升韧性的投入</w:t>
      </w:r>
      <w:r>
        <w:rPr>
          <w:rFonts w:hint="eastAsia"/>
          <w:color w:val="auto"/>
          <w:highlight w:val="none"/>
        </w:rPr>
        <w:t>意愿</w:t>
      </w:r>
      <w:r>
        <w:rPr>
          <w:color w:val="auto"/>
          <w:highlight w:val="none"/>
        </w:rPr>
        <w:t>。</w:t>
      </w:r>
    </w:p>
    <w:bookmarkEnd w:id="147"/>
    <w:bookmarkEnd w:id="148"/>
    <w:p w14:paraId="3BCFF3C6">
      <w:pPr>
        <w:pStyle w:val="107"/>
        <w:spacing w:before="312" w:after="312"/>
        <w:rPr>
          <w:bCs/>
          <w:color w:val="auto"/>
          <w:highlight w:val="none"/>
        </w:rPr>
      </w:pPr>
      <w:bookmarkStart w:id="182" w:name="_Toc4395"/>
      <w:bookmarkEnd w:id="182"/>
      <w:bookmarkStart w:id="183" w:name="_Toc2267"/>
      <w:bookmarkEnd w:id="183"/>
      <w:bookmarkStart w:id="184" w:name="_Toc30397"/>
      <w:bookmarkStart w:id="185" w:name="_Toc8199"/>
      <w:bookmarkStart w:id="186" w:name="_Toc31129"/>
      <w:bookmarkStart w:id="187" w:name="38"/>
      <w:r>
        <w:rPr>
          <w:color w:val="auto"/>
          <w:highlight w:val="none"/>
        </w:rPr>
        <w:t>实施</w:t>
      </w:r>
      <w:bookmarkEnd w:id="184"/>
    </w:p>
    <w:p w14:paraId="50EF8407">
      <w:pPr>
        <w:pStyle w:val="108"/>
        <w:spacing w:before="156" w:after="156"/>
        <w:rPr>
          <w:bCs/>
          <w:color w:val="auto"/>
          <w:highlight w:val="none"/>
        </w:rPr>
      </w:pPr>
      <w:bookmarkStart w:id="188" w:name="_Toc10016"/>
      <w:bookmarkEnd w:id="188"/>
      <w:r>
        <w:rPr>
          <w:rFonts w:hint="eastAsia"/>
          <w:color w:val="auto"/>
          <w:highlight w:val="none"/>
          <w:lang w:val="en-US" w:eastAsia="zh-CN"/>
        </w:rPr>
        <w:t>概述</w:t>
      </w:r>
    </w:p>
    <w:p w14:paraId="6B791F61">
      <w:pPr>
        <w:pStyle w:val="59"/>
        <w:ind w:firstLine="420"/>
        <w:rPr>
          <w:color w:val="auto"/>
          <w:highlight w:val="none"/>
        </w:rPr>
      </w:pPr>
      <w:r>
        <w:rPr>
          <w:color w:val="auto"/>
          <w:highlight w:val="none"/>
        </w:rPr>
        <w:t>通过项目、</w:t>
      </w:r>
      <w:r>
        <w:rPr>
          <w:rFonts w:hint="eastAsia"/>
          <w:color w:val="auto"/>
          <w:highlight w:val="none"/>
        </w:rPr>
        <w:t>项目集和项目</w:t>
      </w:r>
      <w:r>
        <w:rPr>
          <w:color w:val="auto"/>
          <w:highlight w:val="none"/>
        </w:rPr>
        <w:t>组合</w:t>
      </w:r>
      <w:r>
        <w:rPr>
          <w:rFonts w:hint="eastAsia"/>
          <w:color w:val="auto"/>
          <w:highlight w:val="none"/>
        </w:rPr>
        <w:t>的</w:t>
      </w:r>
      <w:r>
        <w:rPr>
          <w:color w:val="auto"/>
          <w:highlight w:val="none"/>
        </w:rPr>
        <w:t>管理，能够构建一个协同且全面的战略框架，为各类</w:t>
      </w:r>
      <w:r>
        <w:rPr>
          <w:rFonts w:hint="eastAsia"/>
          <w:color w:val="auto"/>
          <w:highlight w:val="none"/>
        </w:rPr>
        <w:t>举措</w:t>
      </w:r>
      <w:r>
        <w:rPr>
          <w:color w:val="auto"/>
          <w:highlight w:val="none"/>
        </w:rPr>
        <w:t>的评估、优先级排序、资金落实及进度规划提供依据。领导小组成员单位</w:t>
      </w:r>
      <w:r>
        <w:rPr>
          <w:rFonts w:hint="eastAsia"/>
          <w:color w:val="auto"/>
          <w:highlight w:val="none"/>
        </w:rPr>
        <w:t>宜</w:t>
      </w:r>
      <w:r>
        <w:rPr>
          <w:color w:val="auto"/>
          <w:highlight w:val="none"/>
        </w:rPr>
        <w:t>运用相关方法，综合考量时间要求、质量标准、资源优先级排序、风险、机遇等因素，在此基础上实施</w:t>
      </w:r>
      <w:r>
        <w:rPr>
          <w:rFonts w:hint="eastAsia"/>
          <w:color w:val="auto"/>
          <w:highlight w:val="none"/>
        </w:rPr>
        <w:t>举措</w:t>
      </w:r>
      <w:r>
        <w:rPr>
          <w:color w:val="auto"/>
          <w:highlight w:val="none"/>
        </w:rPr>
        <w:t>。</w:t>
      </w:r>
    </w:p>
    <w:p w14:paraId="4109A8E8">
      <w:pPr>
        <w:pStyle w:val="108"/>
        <w:spacing w:before="156" w:after="156"/>
        <w:rPr>
          <w:color w:val="auto"/>
          <w:highlight w:val="none"/>
        </w:rPr>
      </w:pPr>
      <w:bookmarkStart w:id="189" w:name="_Toc1441"/>
      <w:bookmarkEnd w:id="189"/>
      <w:bookmarkStart w:id="190" w:name="_Toc206170544"/>
      <w:bookmarkStart w:id="191" w:name="_Toc26950"/>
      <w:bookmarkStart w:id="192" w:name="_Toc28701"/>
      <w:bookmarkStart w:id="193" w:name="_Toc595"/>
      <w:r>
        <w:rPr>
          <w:rFonts w:hint="eastAsia"/>
          <w:color w:val="auto"/>
          <w:highlight w:val="none"/>
        </w:rPr>
        <w:t>项目</w:t>
      </w:r>
      <w:r>
        <w:rPr>
          <w:color w:val="auto"/>
          <w:highlight w:val="none"/>
        </w:rPr>
        <w:t>组合与项目管理架构</w:t>
      </w:r>
      <w:bookmarkEnd w:id="190"/>
      <w:bookmarkEnd w:id="191"/>
      <w:bookmarkEnd w:id="192"/>
      <w:bookmarkEnd w:id="193"/>
    </w:p>
    <w:p w14:paraId="1E6008C6">
      <w:pPr>
        <w:pStyle w:val="59"/>
        <w:ind w:firstLine="420"/>
        <w:rPr>
          <w:color w:val="auto"/>
          <w:highlight w:val="none"/>
        </w:rPr>
      </w:pPr>
      <w:r>
        <w:rPr>
          <w:color w:val="auto"/>
          <w:highlight w:val="none"/>
        </w:rPr>
        <w:t>在领导小组成员单位支持下</w:t>
      </w:r>
      <w:r>
        <w:rPr>
          <w:rFonts w:hint="eastAsia"/>
          <w:color w:val="auto"/>
          <w:highlight w:val="none"/>
        </w:rPr>
        <w:t>，</w:t>
      </w:r>
      <w:r>
        <w:rPr>
          <w:color w:val="auto"/>
          <w:highlight w:val="none"/>
        </w:rPr>
        <w:t>城市韧性建设领导小组</w:t>
      </w:r>
      <w:r>
        <w:rPr>
          <w:rFonts w:hint="eastAsia"/>
          <w:color w:val="auto"/>
          <w:highlight w:val="none"/>
        </w:rPr>
        <w:t>宜</w:t>
      </w:r>
      <w:r>
        <w:rPr>
          <w:color w:val="auto"/>
          <w:highlight w:val="none"/>
        </w:rPr>
        <w:t>开展以下工作：</w:t>
      </w:r>
    </w:p>
    <w:p w14:paraId="655FD05A">
      <w:pPr>
        <w:pStyle w:val="177"/>
        <w:numPr>
          <w:ilvl w:val="0"/>
          <w:numId w:val="72"/>
        </w:numPr>
        <w:bidi w:val="0"/>
        <w:ind w:left="851" w:leftChars="0" w:hanging="426" w:firstLineChars="0"/>
        <w:rPr>
          <w:color w:val="auto"/>
          <w:highlight w:val="none"/>
        </w:rPr>
      </w:pPr>
      <w:r>
        <w:rPr>
          <w:color w:val="auto"/>
          <w:highlight w:val="none"/>
        </w:rPr>
        <w:t>通过跨城市部门</w:t>
      </w:r>
      <w:r>
        <w:rPr>
          <w:rFonts w:hint="eastAsia"/>
          <w:color w:val="auto"/>
          <w:highlight w:val="none"/>
        </w:rPr>
        <w:t>协调的计划与项目</w:t>
      </w:r>
      <w:r>
        <w:rPr>
          <w:color w:val="auto"/>
          <w:highlight w:val="none"/>
        </w:rPr>
        <w:t>，实施城市韧性战略；</w:t>
      </w:r>
    </w:p>
    <w:p w14:paraId="0E4AC786">
      <w:pPr>
        <w:pStyle w:val="177"/>
        <w:numPr>
          <w:ilvl w:val="0"/>
          <w:numId w:val="72"/>
        </w:numPr>
        <w:bidi w:val="0"/>
        <w:ind w:left="851" w:leftChars="0" w:hanging="426" w:firstLineChars="0"/>
        <w:rPr>
          <w:color w:val="auto"/>
          <w:highlight w:val="none"/>
        </w:rPr>
      </w:pPr>
      <w:r>
        <w:rPr>
          <w:color w:val="auto"/>
          <w:highlight w:val="none"/>
        </w:rPr>
        <w:t>确认各部门理解城市韧性战略的整体架构，保障新建项目在各环节尽可能融入韧性</w:t>
      </w:r>
      <w:r>
        <w:rPr>
          <w:rFonts w:hint="eastAsia"/>
          <w:color w:val="auto"/>
          <w:highlight w:val="none"/>
        </w:rPr>
        <w:t>要素</w:t>
      </w:r>
      <w:r>
        <w:rPr>
          <w:color w:val="auto"/>
          <w:highlight w:val="none"/>
        </w:rPr>
        <w:t>；</w:t>
      </w:r>
    </w:p>
    <w:p w14:paraId="59E33728">
      <w:pPr>
        <w:pStyle w:val="177"/>
        <w:numPr>
          <w:ilvl w:val="0"/>
          <w:numId w:val="72"/>
        </w:numPr>
        <w:bidi w:val="0"/>
        <w:ind w:left="851" w:leftChars="0" w:hanging="426" w:firstLineChars="0"/>
        <w:rPr>
          <w:color w:val="auto"/>
          <w:highlight w:val="none"/>
        </w:rPr>
      </w:pPr>
      <w:r>
        <w:rPr>
          <w:color w:val="auto"/>
          <w:highlight w:val="none"/>
        </w:rPr>
        <w:t>设立</w:t>
      </w:r>
      <w:r>
        <w:rPr>
          <w:rFonts w:hint="eastAsia"/>
          <w:color w:val="auto"/>
          <w:highlight w:val="none"/>
        </w:rPr>
        <w:t>项目</w:t>
      </w:r>
      <w:r>
        <w:rPr>
          <w:color w:val="auto"/>
          <w:highlight w:val="none"/>
        </w:rPr>
        <w:t>组合管理办公室（PMO）或其他类似管理机制，统筹部门协作，监督城市韧性</w:t>
      </w:r>
      <w:r>
        <w:rPr>
          <w:rFonts w:hint="eastAsia"/>
          <w:color w:val="auto"/>
          <w:highlight w:val="none"/>
        </w:rPr>
        <w:t>计划与项目</w:t>
      </w:r>
      <w:r>
        <w:rPr>
          <w:color w:val="auto"/>
          <w:highlight w:val="none"/>
        </w:rPr>
        <w:t>的落地实施；</w:t>
      </w:r>
    </w:p>
    <w:p w14:paraId="642C8683">
      <w:pPr>
        <w:pStyle w:val="177"/>
        <w:numPr>
          <w:ilvl w:val="0"/>
          <w:numId w:val="72"/>
        </w:numPr>
        <w:bidi w:val="0"/>
        <w:ind w:left="851" w:leftChars="0" w:hanging="426" w:firstLineChars="0"/>
        <w:rPr>
          <w:color w:val="auto"/>
          <w:highlight w:val="none"/>
        </w:rPr>
      </w:pPr>
      <w:r>
        <w:rPr>
          <w:color w:val="auto"/>
          <w:highlight w:val="none"/>
        </w:rPr>
        <w:t>在交付模式中嵌入灵活性设计，以便在形势变化时能有效管理并响应风险。</w:t>
      </w:r>
    </w:p>
    <w:p w14:paraId="1B8657A7">
      <w:pPr>
        <w:pStyle w:val="182"/>
        <w:rPr>
          <w:color w:val="auto"/>
          <w:highlight w:val="none"/>
        </w:rPr>
      </w:pPr>
      <w:r>
        <w:rPr>
          <w:rFonts w:hint="eastAsia"/>
          <w:color w:val="auto"/>
          <w:highlight w:val="none"/>
        </w:rPr>
        <w:t>GB/T 3749</w:t>
      </w:r>
      <w:r>
        <w:rPr>
          <w:rFonts w:hint="eastAsia"/>
          <w:color w:val="auto"/>
          <w:highlight w:val="none"/>
          <w:lang w:val="en-US" w:eastAsia="zh-CN"/>
        </w:rPr>
        <w:t>0</w:t>
      </w:r>
      <w:r>
        <w:rPr>
          <w:color w:val="auto"/>
          <w:highlight w:val="none"/>
        </w:rPr>
        <w:t>提供了项目、</w:t>
      </w:r>
      <w:r>
        <w:rPr>
          <w:rFonts w:hint="eastAsia"/>
          <w:color w:val="auto"/>
          <w:highlight w:val="none"/>
        </w:rPr>
        <w:t>项目集</w:t>
      </w:r>
      <w:r>
        <w:rPr>
          <w:color w:val="auto"/>
          <w:highlight w:val="none"/>
        </w:rPr>
        <w:t>与</w:t>
      </w:r>
      <w:r>
        <w:rPr>
          <w:rFonts w:hint="eastAsia"/>
          <w:color w:val="auto"/>
          <w:highlight w:val="none"/>
        </w:rPr>
        <w:t>项目</w:t>
      </w:r>
      <w:r>
        <w:rPr>
          <w:color w:val="auto"/>
          <w:highlight w:val="none"/>
        </w:rPr>
        <w:t>组合管理的相关指南。</w:t>
      </w:r>
    </w:p>
    <w:p w14:paraId="631909B1">
      <w:pPr>
        <w:pStyle w:val="108"/>
        <w:spacing w:before="156" w:after="156"/>
        <w:rPr>
          <w:bCs/>
          <w:color w:val="auto"/>
          <w:highlight w:val="none"/>
        </w:rPr>
      </w:pPr>
      <w:bookmarkStart w:id="194" w:name="_Toc22283"/>
      <w:bookmarkEnd w:id="194"/>
      <w:bookmarkStart w:id="195" w:name="_Toc26413"/>
      <w:bookmarkStart w:id="196" w:name="_Toc29045"/>
      <w:bookmarkStart w:id="197" w:name="_Toc17528"/>
      <w:bookmarkStart w:id="198" w:name="_Toc206170545"/>
      <w:r>
        <w:rPr>
          <w:color w:val="auto"/>
          <w:highlight w:val="none"/>
        </w:rPr>
        <w:t>计划与项目交付</w:t>
      </w:r>
      <w:bookmarkEnd w:id="195"/>
      <w:bookmarkEnd w:id="196"/>
      <w:bookmarkEnd w:id="197"/>
      <w:bookmarkEnd w:id="198"/>
    </w:p>
    <w:p w14:paraId="36B5E5AA">
      <w:pPr>
        <w:pStyle w:val="68"/>
        <w:spacing w:before="156" w:after="156"/>
        <w:rPr>
          <w:bCs/>
          <w:color w:val="auto"/>
          <w:highlight w:val="none"/>
        </w:rPr>
      </w:pPr>
      <w:bookmarkStart w:id="199" w:name="_Toc9089"/>
      <w:bookmarkEnd w:id="199"/>
      <w:bookmarkStart w:id="200" w:name="_Toc25300"/>
      <w:r>
        <w:rPr>
          <w:color w:val="auto"/>
          <w:highlight w:val="none"/>
        </w:rPr>
        <w:t>职责归属</w:t>
      </w:r>
      <w:bookmarkEnd w:id="200"/>
    </w:p>
    <w:p w14:paraId="2AD3BECA">
      <w:pPr>
        <w:pStyle w:val="167"/>
        <w:bidi w:val="0"/>
        <w:rPr>
          <w:color w:val="auto"/>
          <w:highlight w:val="none"/>
        </w:rPr>
      </w:pPr>
      <w:r>
        <w:rPr>
          <w:rFonts w:hint="eastAsia"/>
          <w:color w:val="auto"/>
          <w:highlight w:val="none"/>
        </w:rPr>
        <w:t>宜从</w:t>
      </w:r>
      <w:r>
        <w:rPr>
          <w:color w:val="auto"/>
          <w:highlight w:val="none"/>
        </w:rPr>
        <w:t>城市韧性建设领导小组现有人员中组建领导小组成员单位，或专门成立团队，牵头推进城市韧性战略落地。</w:t>
      </w:r>
    </w:p>
    <w:p w14:paraId="7142959D">
      <w:pPr>
        <w:pStyle w:val="167"/>
        <w:bidi w:val="0"/>
        <w:rPr>
          <w:color w:val="auto"/>
          <w:highlight w:val="none"/>
        </w:rPr>
      </w:pPr>
      <w:r>
        <w:rPr>
          <w:color w:val="auto"/>
          <w:highlight w:val="none"/>
        </w:rPr>
        <w:t>城市韧性负责人应：</w:t>
      </w:r>
    </w:p>
    <w:p w14:paraId="2EA58E15">
      <w:pPr>
        <w:pStyle w:val="177"/>
        <w:numPr>
          <w:ilvl w:val="0"/>
          <w:numId w:val="73"/>
        </w:numPr>
        <w:bidi w:val="0"/>
        <w:ind w:left="851" w:leftChars="0" w:hanging="426" w:firstLineChars="0"/>
        <w:rPr>
          <w:color w:val="auto"/>
          <w:highlight w:val="none"/>
        </w:rPr>
      </w:pPr>
      <w:r>
        <w:rPr>
          <w:color w:val="auto"/>
          <w:highlight w:val="none"/>
        </w:rPr>
        <w:t>确保针对城市韧性</w:t>
      </w:r>
      <w:r>
        <w:rPr>
          <w:rFonts w:hint="eastAsia"/>
          <w:color w:val="auto"/>
          <w:highlight w:val="none"/>
        </w:rPr>
        <w:t>计划与项目均指派领导小组成员单位及联络人</w:t>
      </w:r>
      <w:r>
        <w:rPr>
          <w:color w:val="auto"/>
          <w:highlight w:val="none"/>
        </w:rPr>
        <w:t>；</w:t>
      </w:r>
    </w:p>
    <w:p w14:paraId="2B0FA518">
      <w:pPr>
        <w:pStyle w:val="177"/>
        <w:numPr>
          <w:ilvl w:val="0"/>
          <w:numId w:val="73"/>
        </w:numPr>
        <w:bidi w:val="0"/>
        <w:ind w:left="851" w:leftChars="0" w:hanging="426" w:firstLineChars="0"/>
        <w:rPr>
          <w:color w:val="auto"/>
          <w:highlight w:val="none"/>
        </w:rPr>
      </w:pPr>
      <w:r>
        <w:rPr>
          <w:color w:val="auto"/>
          <w:highlight w:val="none"/>
        </w:rPr>
        <w:t>确保城市区域既有项目中嵌入韧性</w:t>
      </w:r>
      <w:r>
        <w:rPr>
          <w:rFonts w:hint="eastAsia"/>
          <w:color w:val="auto"/>
          <w:highlight w:val="none"/>
        </w:rPr>
        <w:t>方面的考虑</w:t>
      </w:r>
      <w:r>
        <w:rPr>
          <w:color w:val="auto"/>
          <w:highlight w:val="none"/>
        </w:rPr>
        <w:t>。</w:t>
      </w:r>
    </w:p>
    <w:p w14:paraId="6C890645">
      <w:pPr>
        <w:pStyle w:val="68"/>
        <w:spacing w:before="156" w:after="156"/>
        <w:rPr>
          <w:bCs/>
          <w:color w:val="auto"/>
          <w:highlight w:val="none"/>
        </w:rPr>
      </w:pPr>
      <w:bookmarkStart w:id="201" w:name="_Toc29485"/>
      <w:bookmarkEnd w:id="201"/>
      <w:bookmarkStart w:id="202" w:name="32"/>
      <w:bookmarkEnd w:id="202"/>
      <w:bookmarkStart w:id="203" w:name="_Toc9612"/>
      <w:r>
        <w:rPr>
          <w:color w:val="auto"/>
          <w:highlight w:val="none"/>
        </w:rPr>
        <w:t>制定</w:t>
      </w:r>
      <w:bookmarkEnd w:id="203"/>
    </w:p>
    <w:p w14:paraId="15EA1909">
      <w:pPr>
        <w:pStyle w:val="59"/>
        <w:ind w:firstLine="420"/>
        <w:rPr>
          <w:color w:val="auto"/>
          <w:highlight w:val="none"/>
        </w:rPr>
      </w:pPr>
      <w:r>
        <w:rPr>
          <w:color w:val="auto"/>
          <w:highlight w:val="none"/>
        </w:rPr>
        <w:t>领导小组成员单位</w:t>
      </w:r>
      <w:r>
        <w:rPr>
          <w:rFonts w:hint="eastAsia"/>
          <w:color w:val="auto"/>
          <w:highlight w:val="none"/>
        </w:rPr>
        <w:t>宜</w:t>
      </w:r>
      <w:r>
        <w:rPr>
          <w:color w:val="auto"/>
          <w:highlight w:val="none"/>
        </w:rPr>
        <w:t>：</w:t>
      </w:r>
    </w:p>
    <w:p w14:paraId="66D515EB">
      <w:pPr>
        <w:pStyle w:val="177"/>
        <w:numPr>
          <w:ilvl w:val="0"/>
          <w:numId w:val="74"/>
        </w:numPr>
        <w:bidi w:val="0"/>
        <w:ind w:left="851" w:leftChars="0" w:hanging="426" w:firstLineChars="0"/>
        <w:rPr>
          <w:color w:val="auto"/>
          <w:highlight w:val="none"/>
        </w:rPr>
      </w:pPr>
      <w:r>
        <w:rPr>
          <w:color w:val="auto"/>
          <w:highlight w:val="none"/>
        </w:rPr>
        <w:t>以城市韧性战略中明确并优先推进的</w:t>
      </w:r>
      <w:r>
        <w:rPr>
          <w:rFonts w:hint="eastAsia"/>
          <w:color w:val="auto"/>
          <w:highlight w:val="none"/>
        </w:rPr>
        <w:t>举措</w:t>
      </w:r>
      <w:r>
        <w:rPr>
          <w:color w:val="auto"/>
          <w:highlight w:val="none"/>
        </w:rPr>
        <w:t>为依据，制定</w:t>
      </w:r>
      <w:r>
        <w:rPr>
          <w:rFonts w:hint="eastAsia"/>
          <w:color w:val="auto"/>
          <w:highlight w:val="none"/>
        </w:rPr>
        <w:t>执行</w:t>
      </w:r>
      <w:r>
        <w:rPr>
          <w:color w:val="auto"/>
          <w:highlight w:val="none"/>
        </w:rPr>
        <w:t>级交付</w:t>
      </w:r>
      <w:r>
        <w:rPr>
          <w:rFonts w:hint="eastAsia"/>
          <w:color w:val="auto"/>
          <w:highlight w:val="none"/>
        </w:rPr>
        <w:t>项目集和项目计划</w:t>
      </w:r>
      <w:r>
        <w:rPr>
          <w:color w:val="auto"/>
          <w:highlight w:val="none"/>
        </w:rPr>
        <w:t>；</w:t>
      </w:r>
    </w:p>
    <w:p w14:paraId="72712F2E">
      <w:pPr>
        <w:pStyle w:val="177"/>
        <w:numPr>
          <w:ilvl w:val="0"/>
          <w:numId w:val="74"/>
        </w:numPr>
        <w:bidi w:val="0"/>
        <w:ind w:left="851" w:leftChars="0" w:hanging="426" w:firstLineChars="0"/>
        <w:rPr>
          <w:color w:val="auto"/>
          <w:highlight w:val="none"/>
        </w:rPr>
      </w:pPr>
      <w:r>
        <w:rPr>
          <w:color w:val="auto"/>
          <w:highlight w:val="none"/>
        </w:rPr>
        <w:t>在方案和计划中涵盖项目责任</w:t>
      </w:r>
      <w:r>
        <w:rPr>
          <w:rFonts w:hint="eastAsia"/>
          <w:color w:val="auto"/>
          <w:highlight w:val="none"/>
        </w:rPr>
        <w:t>人</w:t>
      </w:r>
      <w:r>
        <w:rPr>
          <w:color w:val="auto"/>
          <w:highlight w:val="none"/>
        </w:rPr>
        <w:t>、预期成果、时间排期、资金来源、预算管控、采购流程及合作伙伴；</w:t>
      </w:r>
    </w:p>
    <w:p w14:paraId="613B5E3E">
      <w:pPr>
        <w:pStyle w:val="177"/>
        <w:numPr>
          <w:ilvl w:val="0"/>
          <w:numId w:val="74"/>
        </w:numPr>
        <w:bidi w:val="0"/>
        <w:ind w:left="851" w:leftChars="0" w:hanging="426" w:firstLineChars="0"/>
        <w:rPr>
          <w:color w:val="auto"/>
          <w:highlight w:val="none"/>
        </w:rPr>
      </w:pPr>
      <w:r>
        <w:rPr>
          <w:color w:val="auto"/>
          <w:highlight w:val="none"/>
        </w:rPr>
        <w:t>推进大规模项目前，通过小</w:t>
      </w:r>
      <w:r>
        <w:rPr>
          <w:rFonts w:hint="eastAsia"/>
          <w:color w:val="auto"/>
          <w:highlight w:val="none"/>
        </w:rPr>
        <w:t>规模</w:t>
      </w:r>
      <w:r>
        <w:rPr>
          <w:color w:val="auto"/>
          <w:highlight w:val="none"/>
        </w:rPr>
        <w:t>试点及试验的方式测试并优化方案。</w:t>
      </w:r>
    </w:p>
    <w:p w14:paraId="1A1D53DB">
      <w:pPr>
        <w:pStyle w:val="68"/>
        <w:spacing w:before="156" w:after="156"/>
        <w:rPr>
          <w:color w:val="auto"/>
          <w:highlight w:val="none"/>
        </w:rPr>
      </w:pPr>
      <w:bookmarkStart w:id="204" w:name="_Toc26516"/>
      <w:bookmarkEnd w:id="204"/>
      <w:r>
        <w:rPr>
          <w:color w:val="auto"/>
          <w:highlight w:val="none"/>
        </w:rPr>
        <w:t>进度</w:t>
      </w:r>
      <w:r>
        <w:rPr>
          <w:rFonts w:hint="eastAsia"/>
          <w:color w:val="auto"/>
          <w:highlight w:val="none"/>
        </w:rPr>
        <w:t>安排</w:t>
      </w:r>
    </w:p>
    <w:p w14:paraId="520F94B7">
      <w:pPr>
        <w:pStyle w:val="167"/>
        <w:bidi w:val="0"/>
        <w:rPr>
          <w:color w:val="auto"/>
          <w:highlight w:val="none"/>
        </w:rPr>
      </w:pPr>
      <w:r>
        <w:rPr>
          <w:rFonts w:hint="eastAsia"/>
          <w:color w:val="auto"/>
          <w:highlight w:val="none"/>
        </w:rPr>
        <w:t>城市韧性项目宜按照多年期交付时间表进行规划</w:t>
      </w:r>
      <w:r>
        <w:rPr>
          <w:color w:val="auto"/>
          <w:highlight w:val="none"/>
        </w:rPr>
        <w:t>，</w:t>
      </w:r>
      <w:r>
        <w:rPr>
          <w:rFonts w:hint="eastAsia"/>
          <w:color w:val="auto"/>
          <w:highlight w:val="none"/>
        </w:rPr>
        <w:t>以推动</w:t>
      </w:r>
      <w:r>
        <w:rPr>
          <w:color w:val="auto"/>
          <w:highlight w:val="none"/>
        </w:rPr>
        <w:t>城市的年度</w:t>
      </w:r>
      <w:r>
        <w:rPr>
          <w:rFonts w:hint="eastAsia"/>
          <w:color w:val="auto"/>
          <w:highlight w:val="none"/>
        </w:rPr>
        <w:t>投资</w:t>
      </w:r>
      <w:r>
        <w:rPr>
          <w:color w:val="auto"/>
          <w:highlight w:val="none"/>
        </w:rPr>
        <w:t>计划</w:t>
      </w:r>
      <w:r>
        <w:rPr>
          <w:rFonts w:hint="eastAsia"/>
          <w:color w:val="auto"/>
          <w:highlight w:val="none"/>
        </w:rPr>
        <w:t>完善</w:t>
      </w:r>
      <w:r>
        <w:rPr>
          <w:color w:val="auto"/>
          <w:highlight w:val="none"/>
        </w:rPr>
        <w:t>，保障资金配套与实施推进。交付时间表</w:t>
      </w:r>
      <w:r>
        <w:rPr>
          <w:rFonts w:hint="eastAsia"/>
          <w:color w:val="auto"/>
          <w:highlight w:val="none"/>
        </w:rPr>
        <w:t>宜明确</w:t>
      </w:r>
      <w:r>
        <w:rPr>
          <w:color w:val="auto"/>
          <w:highlight w:val="none"/>
        </w:rPr>
        <w:t>城市区域各部门的职责归属，确保利益相关方了解自身角色和职责，且城市韧性建设领导小组</w:t>
      </w:r>
      <w:r>
        <w:rPr>
          <w:rFonts w:hint="eastAsia"/>
          <w:color w:val="auto"/>
          <w:highlight w:val="none"/>
        </w:rPr>
        <w:t>能够</w:t>
      </w:r>
      <w:r>
        <w:rPr>
          <w:color w:val="auto"/>
          <w:highlight w:val="none"/>
        </w:rPr>
        <w:t>对</w:t>
      </w:r>
      <w:r>
        <w:rPr>
          <w:rFonts w:hint="eastAsia"/>
          <w:color w:val="auto"/>
          <w:highlight w:val="none"/>
        </w:rPr>
        <w:t>交付成果进行质询</w:t>
      </w:r>
      <w:r>
        <w:rPr>
          <w:color w:val="auto"/>
          <w:highlight w:val="none"/>
        </w:rPr>
        <w:t>。</w:t>
      </w:r>
    </w:p>
    <w:p w14:paraId="6E62A216">
      <w:pPr>
        <w:pStyle w:val="167"/>
        <w:bidi w:val="0"/>
        <w:rPr>
          <w:color w:val="auto"/>
          <w:highlight w:val="none"/>
        </w:rPr>
      </w:pPr>
      <w:r>
        <w:rPr>
          <w:color w:val="auto"/>
          <w:highlight w:val="none"/>
        </w:rPr>
        <w:t>领导小组成员单位</w:t>
      </w:r>
      <w:r>
        <w:rPr>
          <w:rFonts w:hint="eastAsia"/>
          <w:color w:val="auto"/>
          <w:highlight w:val="none"/>
        </w:rPr>
        <w:t>宜</w:t>
      </w:r>
      <w:r>
        <w:rPr>
          <w:color w:val="auto"/>
          <w:highlight w:val="none"/>
        </w:rPr>
        <w:t>：</w:t>
      </w:r>
    </w:p>
    <w:p w14:paraId="216D57CD">
      <w:pPr>
        <w:pStyle w:val="177"/>
        <w:numPr>
          <w:ilvl w:val="0"/>
          <w:numId w:val="75"/>
        </w:numPr>
        <w:bidi w:val="0"/>
        <w:ind w:left="851" w:leftChars="0" w:hanging="426" w:firstLineChars="0"/>
        <w:rPr>
          <w:color w:val="auto"/>
          <w:highlight w:val="none"/>
        </w:rPr>
      </w:pPr>
      <w:r>
        <w:rPr>
          <w:color w:val="auto"/>
          <w:highlight w:val="none"/>
        </w:rPr>
        <w:t>为每个项目构建清晰的交付管理框架，包含关键里程碑节点与成果交付日期；</w:t>
      </w:r>
    </w:p>
    <w:p w14:paraId="52D4680C">
      <w:pPr>
        <w:pStyle w:val="177"/>
        <w:numPr>
          <w:ilvl w:val="0"/>
          <w:numId w:val="75"/>
        </w:numPr>
        <w:bidi w:val="0"/>
        <w:ind w:left="851" w:leftChars="0" w:hanging="426" w:firstLineChars="0"/>
        <w:rPr>
          <w:color w:val="auto"/>
          <w:highlight w:val="none"/>
        </w:rPr>
      </w:pPr>
      <w:r>
        <w:rPr>
          <w:color w:val="auto"/>
          <w:highlight w:val="none"/>
        </w:rPr>
        <w:t>细化项目各阶段的截止期限与可交付成果；</w:t>
      </w:r>
    </w:p>
    <w:p w14:paraId="2311D2AE">
      <w:pPr>
        <w:pStyle w:val="177"/>
        <w:numPr>
          <w:ilvl w:val="0"/>
          <w:numId w:val="75"/>
        </w:numPr>
        <w:bidi w:val="0"/>
        <w:ind w:left="851" w:leftChars="0" w:hanging="426" w:firstLineChars="0"/>
        <w:rPr>
          <w:color w:val="auto"/>
          <w:highlight w:val="none"/>
        </w:rPr>
      </w:pPr>
      <w:r>
        <w:rPr>
          <w:color w:val="auto"/>
          <w:highlight w:val="none"/>
        </w:rPr>
        <w:t>针对各节点与可交付成果，明确关键合作伙伴或利益相关方；</w:t>
      </w:r>
    </w:p>
    <w:p w14:paraId="3461A762">
      <w:pPr>
        <w:pStyle w:val="177"/>
        <w:numPr>
          <w:ilvl w:val="0"/>
          <w:numId w:val="75"/>
        </w:numPr>
        <w:bidi w:val="0"/>
        <w:ind w:left="851" w:leftChars="0" w:hanging="426" w:firstLineChars="0"/>
        <w:rPr>
          <w:color w:val="auto"/>
          <w:highlight w:val="none"/>
        </w:rPr>
      </w:pPr>
      <w:r>
        <w:rPr>
          <w:rFonts w:hint="eastAsia"/>
          <w:color w:val="auto"/>
          <w:highlight w:val="none"/>
        </w:rPr>
        <w:t>采用</w:t>
      </w:r>
      <w:r>
        <w:rPr>
          <w:color w:val="auto"/>
          <w:highlight w:val="none"/>
        </w:rPr>
        <w:t>适应</w:t>
      </w:r>
      <w:r>
        <w:rPr>
          <w:rFonts w:hint="eastAsia"/>
          <w:color w:val="auto"/>
          <w:highlight w:val="none"/>
        </w:rPr>
        <w:t>性</w:t>
      </w:r>
      <w:r>
        <w:rPr>
          <w:color w:val="auto"/>
          <w:highlight w:val="none"/>
        </w:rPr>
        <w:t>路径</w:t>
      </w:r>
      <w:r>
        <w:rPr>
          <w:rFonts w:hint="eastAsia"/>
          <w:color w:val="auto"/>
          <w:highlight w:val="none"/>
        </w:rPr>
        <w:t>方</w:t>
      </w:r>
      <w:r>
        <w:rPr>
          <w:color w:val="auto"/>
          <w:highlight w:val="none"/>
        </w:rPr>
        <w:t>法，以应对气候变化等不确定性事件带来的</w:t>
      </w:r>
      <w:r>
        <w:rPr>
          <w:rFonts w:hint="eastAsia"/>
          <w:color w:val="auto"/>
          <w:highlight w:val="none"/>
        </w:rPr>
        <w:t>不确定性</w:t>
      </w:r>
      <w:r>
        <w:rPr>
          <w:color w:val="auto"/>
          <w:highlight w:val="none"/>
        </w:rPr>
        <w:t>。</w:t>
      </w:r>
    </w:p>
    <w:p w14:paraId="6EFD71BD">
      <w:pPr>
        <w:pStyle w:val="68"/>
        <w:spacing w:before="156" w:after="156"/>
        <w:rPr>
          <w:bCs/>
          <w:color w:val="auto"/>
          <w:highlight w:val="none"/>
        </w:rPr>
      </w:pPr>
      <w:bookmarkStart w:id="205" w:name="_Toc11097"/>
      <w:bookmarkEnd w:id="205"/>
      <w:bookmarkStart w:id="206" w:name="_Toc3505"/>
      <w:r>
        <w:rPr>
          <w:color w:val="auto"/>
          <w:highlight w:val="none"/>
        </w:rPr>
        <w:t>预算</w:t>
      </w:r>
      <w:bookmarkEnd w:id="206"/>
    </w:p>
    <w:p w14:paraId="7C229B5E">
      <w:pPr>
        <w:pStyle w:val="167"/>
        <w:bidi w:val="0"/>
        <w:rPr>
          <w:color w:val="auto"/>
          <w:highlight w:val="none"/>
        </w:rPr>
      </w:pPr>
      <w:r>
        <w:rPr>
          <w:color w:val="auto"/>
          <w:highlight w:val="none"/>
        </w:rPr>
        <w:t>城市韧性能力建设的资金</w:t>
      </w:r>
      <w:r>
        <w:rPr>
          <w:rFonts w:hint="eastAsia"/>
          <w:color w:val="auto"/>
          <w:highlight w:val="none"/>
        </w:rPr>
        <w:t>宜由城市韧性建设领导小组统一统筹安排</w:t>
      </w:r>
      <w:r>
        <w:rPr>
          <w:color w:val="auto"/>
          <w:highlight w:val="none"/>
        </w:rPr>
        <w:t>，避免部门预算分割造成的</w:t>
      </w:r>
      <w:r>
        <w:rPr>
          <w:rFonts w:hint="eastAsia"/>
          <w:color w:val="auto"/>
          <w:highlight w:val="none"/>
        </w:rPr>
        <w:t>实施</w:t>
      </w:r>
      <w:r>
        <w:rPr>
          <w:color w:val="auto"/>
          <w:highlight w:val="none"/>
        </w:rPr>
        <w:t>阻碍。</w:t>
      </w:r>
    </w:p>
    <w:p w14:paraId="73732584">
      <w:pPr>
        <w:pStyle w:val="167"/>
        <w:bidi w:val="0"/>
        <w:rPr>
          <w:color w:val="auto"/>
          <w:highlight w:val="none"/>
        </w:rPr>
      </w:pPr>
      <w:r>
        <w:rPr>
          <w:rFonts w:hint="eastAsia"/>
          <w:color w:val="auto"/>
          <w:highlight w:val="none"/>
        </w:rPr>
        <w:t>城市韧性建设领导小组宜</w:t>
      </w:r>
      <w:r>
        <w:rPr>
          <w:color w:val="auto"/>
          <w:highlight w:val="none"/>
        </w:rPr>
        <w:t>在城市韧性负责人指导下开展以下工作：</w:t>
      </w:r>
    </w:p>
    <w:p w14:paraId="2CB94E70">
      <w:pPr>
        <w:pStyle w:val="177"/>
        <w:numPr>
          <w:ilvl w:val="0"/>
          <w:numId w:val="76"/>
        </w:numPr>
        <w:bidi w:val="0"/>
        <w:ind w:left="851" w:leftChars="0" w:hanging="426" w:firstLineChars="0"/>
        <w:rPr>
          <w:color w:val="auto"/>
          <w:highlight w:val="none"/>
        </w:rPr>
      </w:pPr>
      <w:r>
        <w:rPr>
          <w:color w:val="auto"/>
          <w:highlight w:val="none"/>
        </w:rPr>
        <w:t>保障项目预算合理分配；</w:t>
      </w:r>
    </w:p>
    <w:p w14:paraId="57ECDEE4">
      <w:pPr>
        <w:pStyle w:val="177"/>
        <w:numPr>
          <w:ilvl w:val="0"/>
          <w:numId w:val="76"/>
        </w:numPr>
        <w:bidi w:val="0"/>
        <w:ind w:left="851" w:leftChars="0" w:hanging="426" w:firstLineChars="0"/>
        <w:rPr>
          <w:color w:val="auto"/>
          <w:highlight w:val="none"/>
        </w:rPr>
      </w:pPr>
      <w:r>
        <w:rPr>
          <w:color w:val="auto"/>
          <w:highlight w:val="none"/>
        </w:rPr>
        <w:t>要求领导小组成员单位严格审核项目预算，确保所有项目</w:t>
      </w:r>
      <w:r>
        <w:rPr>
          <w:rFonts w:hint="eastAsia"/>
          <w:color w:val="auto"/>
          <w:highlight w:val="none"/>
        </w:rPr>
        <w:t>均</w:t>
      </w:r>
      <w:r>
        <w:rPr>
          <w:color w:val="auto"/>
          <w:highlight w:val="none"/>
        </w:rPr>
        <w:t>实现</w:t>
      </w:r>
      <w:r>
        <w:rPr>
          <w:rFonts w:hint="eastAsia"/>
          <w:color w:val="auto"/>
          <w:highlight w:val="none"/>
        </w:rPr>
        <w:t>资金使用效率最大化</w:t>
      </w:r>
      <w:r>
        <w:rPr>
          <w:color w:val="auto"/>
          <w:highlight w:val="none"/>
        </w:rPr>
        <w:t>。</w:t>
      </w:r>
    </w:p>
    <w:p w14:paraId="43074F22">
      <w:pPr>
        <w:pStyle w:val="68"/>
        <w:spacing w:before="156" w:after="156"/>
        <w:rPr>
          <w:bCs/>
          <w:color w:val="auto"/>
          <w:highlight w:val="none"/>
        </w:rPr>
      </w:pPr>
      <w:bookmarkStart w:id="207" w:name="_Toc32724"/>
      <w:bookmarkEnd w:id="207"/>
      <w:bookmarkStart w:id="208" w:name="_Toc18607"/>
      <w:r>
        <w:rPr>
          <w:color w:val="auto"/>
          <w:highlight w:val="none"/>
        </w:rPr>
        <w:t>合作伙伴</w:t>
      </w:r>
      <w:bookmarkEnd w:id="208"/>
    </w:p>
    <w:p w14:paraId="50E2E605">
      <w:pPr>
        <w:pStyle w:val="167"/>
        <w:bidi w:val="0"/>
        <w:rPr>
          <w:color w:val="auto"/>
          <w:highlight w:val="none"/>
        </w:rPr>
      </w:pPr>
      <w:r>
        <w:rPr>
          <w:color w:val="auto"/>
          <w:highlight w:val="none"/>
        </w:rPr>
        <w:t>在制定、设计及实施城市韧性战略的过程中，识别并</w:t>
      </w:r>
      <w:r>
        <w:rPr>
          <w:rFonts w:hint="eastAsia"/>
          <w:color w:val="auto"/>
          <w:highlight w:val="none"/>
        </w:rPr>
        <w:t>吸纳</w:t>
      </w:r>
      <w:r>
        <w:rPr>
          <w:color w:val="auto"/>
          <w:highlight w:val="none"/>
        </w:rPr>
        <w:t>关键合作伙伴参与，</w:t>
      </w:r>
      <w:r>
        <w:rPr>
          <w:rFonts w:hint="eastAsia"/>
          <w:color w:val="auto"/>
          <w:highlight w:val="none"/>
        </w:rPr>
        <w:t>对</w:t>
      </w:r>
      <w:r>
        <w:rPr>
          <w:color w:val="auto"/>
          <w:highlight w:val="none"/>
        </w:rPr>
        <w:t>保障计划成功</w:t>
      </w:r>
      <w:r>
        <w:rPr>
          <w:rFonts w:hint="eastAsia"/>
          <w:color w:val="auto"/>
          <w:highlight w:val="none"/>
        </w:rPr>
        <w:t>落地至关重要</w:t>
      </w:r>
      <w:r>
        <w:rPr>
          <w:color w:val="auto"/>
          <w:highlight w:val="none"/>
        </w:rPr>
        <w:t>。领导小组成员单位</w:t>
      </w:r>
      <w:r>
        <w:rPr>
          <w:rFonts w:hint="eastAsia"/>
          <w:color w:val="auto"/>
          <w:highlight w:val="none"/>
        </w:rPr>
        <w:t>宜</w:t>
      </w:r>
      <w:r>
        <w:rPr>
          <w:color w:val="auto"/>
          <w:highlight w:val="none"/>
        </w:rPr>
        <w:t>依托</w:t>
      </w:r>
      <w:r>
        <w:rPr>
          <w:rFonts w:hint="eastAsia"/>
          <w:color w:val="auto"/>
          <w:highlight w:val="none"/>
        </w:rPr>
        <w:t>前期收集的数据和利益相关方梳理分析，</w:t>
      </w:r>
      <w:r>
        <w:rPr>
          <w:color w:val="auto"/>
          <w:highlight w:val="none"/>
        </w:rPr>
        <w:t>精准识别城市韧性项目的策划与交付阶段</w:t>
      </w:r>
      <w:r>
        <w:rPr>
          <w:rFonts w:hint="eastAsia"/>
          <w:color w:val="auto"/>
          <w:highlight w:val="none"/>
        </w:rPr>
        <w:t>的</w:t>
      </w:r>
      <w:r>
        <w:rPr>
          <w:color w:val="auto"/>
          <w:highlight w:val="none"/>
        </w:rPr>
        <w:t>关键合作伙伴。</w:t>
      </w:r>
    </w:p>
    <w:p w14:paraId="7D7201B7">
      <w:pPr>
        <w:pStyle w:val="167"/>
        <w:bidi w:val="0"/>
        <w:rPr>
          <w:color w:val="auto"/>
          <w:highlight w:val="none"/>
        </w:rPr>
      </w:pPr>
      <w:r>
        <w:rPr>
          <w:color w:val="auto"/>
          <w:highlight w:val="none"/>
        </w:rPr>
        <w:t>城市韧性建设领导小组的外部合作伙伴对战略的成功实施起关键作用。关键交付合作伙伴可包含：</w:t>
      </w:r>
    </w:p>
    <w:p w14:paraId="611FEC49">
      <w:pPr>
        <w:pStyle w:val="177"/>
        <w:numPr>
          <w:ilvl w:val="0"/>
          <w:numId w:val="77"/>
        </w:numPr>
        <w:bidi w:val="0"/>
        <w:ind w:left="851" w:leftChars="0" w:hanging="426" w:firstLineChars="0"/>
        <w:rPr>
          <w:color w:val="auto"/>
          <w:highlight w:val="none"/>
        </w:rPr>
      </w:pPr>
      <w:r>
        <w:rPr>
          <w:color w:val="auto"/>
          <w:highlight w:val="none"/>
        </w:rPr>
        <w:t>特定项目实施必需的私营部门合作伙伴；</w:t>
      </w:r>
    </w:p>
    <w:p w14:paraId="2C515951">
      <w:pPr>
        <w:pStyle w:val="177"/>
        <w:numPr>
          <w:ilvl w:val="0"/>
          <w:numId w:val="77"/>
        </w:numPr>
        <w:bidi w:val="0"/>
        <w:ind w:left="851" w:leftChars="0" w:hanging="426" w:firstLineChars="0"/>
        <w:rPr>
          <w:color w:val="auto"/>
          <w:highlight w:val="none"/>
        </w:rPr>
      </w:pPr>
      <w:r>
        <w:rPr>
          <w:color w:val="auto"/>
          <w:highlight w:val="none"/>
        </w:rPr>
        <w:t>可为项目交付提供资金、物资或服务支持的采购交付合作伙伴；</w:t>
      </w:r>
    </w:p>
    <w:p w14:paraId="06905FDF">
      <w:pPr>
        <w:pStyle w:val="177"/>
        <w:numPr>
          <w:ilvl w:val="0"/>
          <w:numId w:val="77"/>
        </w:numPr>
        <w:bidi w:val="0"/>
        <w:ind w:left="851" w:leftChars="0" w:hanging="426" w:firstLineChars="0"/>
        <w:rPr>
          <w:color w:val="auto"/>
          <w:highlight w:val="none"/>
        </w:rPr>
      </w:pPr>
      <w:r>
        <w:rPr>
          <w:color w:val="auto"/>
          <w:highlight w:val="none"/>
        </w:rPr>
        <w:t>可协助利益相关方参与项目，并确保社区对项目给予支持的协同合作伙伴；</w:t>
      </w:r>
    </w:p>
    <w:p w14:paraId="2A93F6E4">
      <w:pPr>
        <w:pStyle w:val="177"/>
        <w:numPr>
          <w:ilvl w:val="0"/>
          <w:numId w:val="77"/>
        </w:numPr>
        <w:bidi w:val="0"/>
        <w:ind w:left="851" w:leftChars="0" w:hanging="426" w:firstLineChars="0"/>
        <w:rPr>
          <w:color w:val="auto"/>
          <w:highlight w:val="none"/>
        </w:rPr>
      </w:pPr>
      <w:bookmarkStart w:id="209" w:name="33"/>
      <w:bookmarkEnd w:id="209"/>
      <w:r>
        <w:rPr>
          <w:color w:val="auto"/>
          <w:highlight w:val="none"/>
        </w:rPr>
        <w:t>可支持项目实施的政府、私营部门及非政府合作伙伴；</w:t>
      </w:r>
    </w:p>
    <w:p w14:paraId="6087FDFE">
      <w:pPr>
        <w:pStyle w:val="177"/>
        <w:numPr>
          <w:ilvl w:val="0"/>
          <w:numId w:val="77"/>
        </w:numPr>
        <w:bidi w:val="0"/>
        <w:ind w:left="851" w:leftChars="0" w:hanging="426" w:firstLineChars="0"/>
        <w:rPr>
          <w:color w:val="auto"/>
          <w:highlight w:val="none"/>
        </w:rPr>
      </w:pPr>
      <w:r>
        <w:rPr>
          <w:color w:val="auto"/>
          <w:highlight w:val="none"/>
        </w:rPr>
        <w:t>本地社区——由社区自主策划、主导推进的项目，往往成效最佳。</w:t>
      </w:r>
    </w:p>
    <w:p w14:paraId="0D7D5AA5">
      <w:pPr>
        <w:pStyle w:val="182"/>
        <w:rPr>
          <w:color w:val="auto"/>
          <w:highlight w:val="none"/>
        </w:rPr>
      </w:pPr>
      <w:r>
        <w:rPr>
          <w:color w:val="auto"/>
          <w:highlight w:val="none"/>
        </w:rPr>
        <w:t>有关利益相关方的识别、梳理、分析以及合作伙伴的识别，见6.3.</w:t>
      </w:r>
      <w:r>
        <w:rPr>
          <w:rFonts w:hint="eastAsia"/>
          <w:color w:val="auto"/>
          <w:highlight w:val="none"/>
        </w:rPr>
        <w:t>2</w:t>
      </w:r>
      <w:r>
        <w:rPr>
          <w:color w:val="auto"/>
          <w:highlight w:val="none"/>
        </w:rPr>
        <w:t>。</w:t>
      </w:r>
    </w:p>
    <w:p w14:paraId="3FE153D0">
      <w:pPr>
        <w:pStyle w:val="68"/>
        <w:spacing w:before="156" w:after="156"/>
        <w:rPr>
          <w:color w:val="auto"/>
          <w:highlight w:val="none"/>
        </w:rPr>
      </w:pPr>
      <w:bookmarkStart w:id="210" w:name="_Toc23259"/>
      <w:bookmarkEnd w:id="210"/>
      <w:bookmarkStart w:id="211" w:name="_Toc206170547"/>
      <w:bookmarkStart w:id="212" w:name="_Toc31206"/>
      <w:r>
        <w:rPr>
          <w:color w:val="auto"/>
          <w:highlight w:val="none"/>
        </w:rPr>
        <w:t>采购</w:t>
      </w:r>
      <w:bookmarkEnd w:id="211"/>
      <w:bookmarkEnd w:id="212"/>
    </w:p>
    <w:p w14:paraId="1093E5FF">
      <w:pPr>
        <w:pStyle w:val="167"/>
        <w:bidi w:val="0"/>
        <w:rPr>
          <w:color w:val="auto"/>
          <w:highlight w:val="none"/>
        </w:rPr>
      </w:pPr>
      <w:r>
        <w:rPr>
          <w:rFonts w:hint="eastAsia"/>
          <w:color w:val="auto"/>
          <w:highlight w:val="none"/>
        </w:rPr>
        <w:t>采购方式可包括</w:t>
      </w:r>
      <w:r>
        <w:rPr>
          <w:color w:val="auto"/>
          <w:highlight w:val="none"/>
        </w:rPr>
        <w:t>公开招标、竞争性谈判，以及合同追加和资格预审的供应商等方式</w:t>
      </w:r>
      <w:r>
        <w:rPr>
          <w:rFonts w:hint="eastAsia"/>
          <w:color w:val="auto"/>
          <w:highlight w:val="none"/>
        </w:rPr>
        <w:t>。应根据具体项目特点和所采用的融资模式，评估各种采购方式的利弊。通过政府与社会资本合作（PPP）模式融资的项目，其采购流程与使用赠款或城市资本预算直接拨款的项目有所不同。</w:t>
      </w:r>
    </w:p>
    <w:p w14:paraId="384B7BF7">
      <w:pPr>
        <w:pStyle w:val="167"/>
        <w:bidi w:val="0"/>
        <w:rPr>
          <w:color w:val="auto"/>
          <w:highlight w:val="none"/>
        </w:rPr>
      </w:pPr>
      <w:r>
        <w:rPr>
          <w:color w:val="auto"/>
          <w:highlight w:val="none"/>
        </w:rPr>
        <w:t>领导小组成员单位</w:t>
      </w:r>
      <w:r>
        <w:rPr>
          <w:rFonts w:hint="eastAsia"/>
          <w:color w:val="auto"/>
          <w:highlight w:val="none"/>
        </w:rPr>
        <w:t>宜</w:t>
      </w:r>
      <w:r>
        <w:rPr>
          <w:color w:val="auto"/>
          <w:highlight w:val="none"/>
        </w:rPr>
        <w:t>：</w:t>
      </w:r>
    </w:p>
    <w:p w14:paraId="0E261FB9">
      <w:pPr>
        <w:pStyle w:val="177"/>
        <w:numPr>
          <w:ilvl w:val="0"/>
          <w:numId w:val="78"/>
        </w:numPr>
        <w:bidi w:val="0"/>
        <w:ind w:left="851" w:leftChars="0" w:hanging="426" w:firstLineChars="0"/>
        <w:rPr>
          <w:color w:val="auto"/>
          <w:highlight w:val="none"/>
        </w:rPr>
      </w:pPr>
      <w:r>
        <w:rPr>
          <w:color w:val="auto"/>
          <w:highlight w:val="none"/>
        </w:rPr>
        <w:t>推动采购策略与项目预期资金来源（见9.4）</w:t>
      </w:r>
      <w:r>
        <w:rPr>
          <w:rFonts w:hint="eastAsia"/>
          <w:color w:val="auto"/>
          <w:highlight w:val="none"/>
        </w:rPr>
        <w:t>相匹配；</w:t>
      </w:r>
    </w:p>
    <w:p w14:paraId="11CE235F">
      <w:pPr>
        <w:pStyle w:val="177"/>
        <w:numPr>
          <w:ilvl w:val="0"/>
          <w:numId w:val="78"/>
        </w:numPr>
        <w:bidi w:val="0"/>
        <w:ind w:left="851" w:leftChars="0" w:hanging="426" w:firstLineChars="0"/>
        <w:rPr>
          <w:color w:val="auto"/>
          <w:highlight w:val="none"/>
        </w:rPr>
      </w:pPr>
      <w:r>
        <w:rPr>
          <w:color w:val="auto"/>
          <w:highlight w:val="none"/>
        </w:rPr>
        <w:t>依据项目实施细节，灵活选用与供应商的合作签约模式；</w:t>
      </w:r>
    </w:p>
    <w:p w14:paraId="2DC91A0F">
      <w:pPr>
        <w:pStyle w:val="177"/>
        <w:numPr>
          <w:ilvl w:val="0"/>
          <w:numId w:val="78"/>
        </w:numPr>
        <w:bidi w:val="0"/>
        <w:ind w:left="851" w:leftChars="0" w:hanging="426" w:firstLineChars="0"/>
        <w:rPr>
          <w:color w:val="auto"/>
          <w:highlight w:val="none"/>
        </w:rPr>
      </w:pPr>
      <w:r>
        <w:rPr>
          <w:rFonts w:hint="eastAsia"/>
          <w:color w:val="auto"/>
          <w:highlight w:val="none"/>
        </w:rPr>
        <w:t>在符合公平竞争和政府采购相关法律法规的前提下，鼓励项目所在地承包商和供应商参与，最大化释放项目对城市区域的社会经济价值</w:t>
      </w:r>
      <w:r>
        <w:rPr>
          <w:color w:val="auto"/>
          <w:highlight w:val="none"/>
        </w:rPr>
        <w:t>；</w:t>
      </w:r>
    </w:p>
    <w:p w14:paraId="2066990D">
      <w:pPr>
        <w:pStyle w:val="177"/>
        <w:numPr>
          <w:ilvl w:val="0"/>
          <w:numId w:val="78"/>
        </w:numPr>
        <w:bidi w:val="0"/>
        <w:ind w:left="851" w:leftChars="0" w:hanging="426" w:firstLineChars="0"/>
        <w:rPr>
          <w:color w:val="auto"/>
          <w:highlight w:val="none"/>
        </w:rPr>
      </w:pPr>
      <w:r>
        <w:rPr>
          <w:color w:val="auto"/>
          <w:highlight w:val="none"/>
        </w:rPr>
        <w:t>采购物资与服务时，将供应链的可持续性与韧性纳入考量</w:t>
      </w:r>
      <w:r>
        <w:rPr>
          <w:rFonts w:hint="eastAsia"/>
          <w:color w:val="auto"/>
          <w:highlight w:val="none"/>
        </w:rPr>
        <w:t>。</w:t>
      </w:r>
    </w:p>
    <w:p w14:paraId="6FF281EF">
      <w:pPr>
        <w:pStyle w:val="182"/>
        <w:rPr>
          <w:color w:val="auto"/>
          <w:highlight w:val="none"/>
        </w:rPr>
      </w:pPr>
      <w:r>
        <w:rPr>
          <w:rFonts w:hint="eastAsia"/>
          <w:color w:val="auto"/>
          <w:highlight w:val="none"/>
        </w:rPr>
        <w:t>GB/T 41835</w:t>
      </w:r>
      <w:r>
        <w:rPr>
          <w:color w:val="auto"/>
          <w:highlight w:val="none"/>
        </w:rPr>
        <w:t>为各类组织（不限规模与业务领域）提供了相关指南，推动将可持续理念融入采购环节，保障所购商品与材料源于可持续生产流程。</w:t>
      </w:r>
    </w:p>
    <w:p w14:paraId="2CB1CE4C">
      <w:pPr>
        <w:pStyle w:val="108"/>
        <w:spacing w:before="156" w:after="156"/>
        <w:rPr>
          <w:bCs/>
          <w:color w:val="auto"/>
          <w:highlight w:val="none"/>
        </w:rPr>
      </w:pPr>
      <w:bookmarkStart w:id="213" w:name="_Toc26321"/>
      <w:bookmarkEnd w:id="213"/>
      <w:bookmarkStart w:id="214" w:name="_Toc30790"/>
      <w:r>
        <w:rPr>
          <w:rFonts w:hint="eastAsia"/>
          <w:bCs/>
          <w:color w:val="auto"/>
          <w:highlight w:val="none"/>
        </w:rPr>
        <w:t>融资</w:t>
      </w:r>
      <w:bookmarkEnd w:id="214"/>
    </w:p>
    <w:p w14:paraId="13662C15">
      <w:pPr>
        <w:pStyle w:val="68"/>
        <w:spacing w:before="156" w:after="156"/>
        <w:rPr>
          <w:bCs/>
          <w:color w:val="auto"/>
          <w:highlight w:val="none"/>
        </w:rPr>
      </w:pPr>
      <w:bookmarkStart w:id="215" w:name="_Toc5783"/>
      <w:bookmarkEnd w:id="215"/>
      <w:r>
        <w:rPr>
          <w:rFonts w:hint="eastAsia"/>
          <w:bCs/>
          <w:color w:val="auto"/>
          <w:highlight w:val="none"/>
          <w:lang w:val="en-US" w:eastAsia="zh-CN"/>
        </w:rPr>
        <w:t>概述</w:t>
      </w:r>
    </w:p>
    <w:p w14:paraId="0864E523">
      <w:pPr>
        <w:pStyle w:val="168"/>
        <w:bidi w:val="0"/>
        <w:rPr>
          <w:color w:val="auto"/>
          <w:highlight w:val="none"/>
        </w:rPr>
      </w:pPr>
      <w:r>
        <w:rPr>
          <w:rFonts w:hint="eastAsia"/>
          <w:color w:val="auto"/>
          <w:highlight w:val="none"/>
        </w:rPr>
        <w:t>融资宜被列为</w:t>
      </w:r>
      <w:r>
        <w:rPr>
          <w:color w:val="auto"/>
          <w:highlight w:val="none"/>
        </w:rPr>
        <w:t>城市韧性建设不可或缺的一部分</w:t>
      </w:r>
      <w:r>
        <w:rPr>
          <w:rFonts w:hint="eastAsia"/>
          <w:color w:val="auto"/>
          <w:highlight w:val="none"/>
        </w:rPr>
        <w:t>，包括为韧性建设提供激励，为韧性投资提供资金支持，合理分配风险，以及在灾害或压力事件后提供财政救助。</w:t>
      </w:r>
      <w:r>
        <w:rPr>
          <w:color w:val="auto"/>
          <w:highlight w:val="none"/>
        </w:rPr>
        <w:t>其作用在于，在不同场景下（即灾前、灾中或灾后阶段），对可用资金（资金来源与投向）进行调配。</w:t>
      </w:r>
    </w:p>
    <w:p w14:paraId="112EC067">
      <w:pPr>
        <w:pStyle w:val="168"/>
        <w:bidi w:val="0"/>
        <w:rPr>
          <w:color w:val="auto"/>
          <w:highlight w:val="none"/>
        </w:rPr>
      </w:pPr>
      <w:r>
        <w:rPr>
          <w:rFonts w:hint="eastAsia"/>
          <w:color w:val="auto"/>
          <w:highlight w:val="none"/>
        </w:rPr>
        <w:t>城市韧性建设领导小组宜</w:t>
      </w:r>
      <w:r>
        <w:rPr>
          <w:color w:val="auto"/>
          <w:highlight w:val="none"/>
        </w:rPr>
        <w:t>牵头开展城市区域的财务应急规划编制工作。城市韧性负责人</w:t>
      </w:r>
      <w:r>
        <w:rPr>
          <w:rFonts w:hint="eastAsia"/>
          <w:color w:val="auto"/>
          <w:highlight w:val="none"/>
        </w:rPr>
        <w:t>宜适当</w:t>
      </w:r>
      <w:r>
        <w:rPr>
          <w:color w:val="auto"/>
          <w:highlight w:val="none"/>
        </w:rPr>
        <w:t>参考咨询委员会意见，梳理城市韧性</w:t>
      </w:r>
      <w:r>
        <w:rPr>
          <w:rFonts w:hint="eastAsia"/>
          <w:color w:val="auto"/>
          <w:highlight w:val="none"/>
        </w:rPr>
        <w:t>计划与项目</w:t>
      </w:r>
      <w:r>
        <w:rPr>
          <w:color w:val="auto"/>
          <w:highlight w:val="none"/>
        </w:rPr>
        <w:t>的潜在资金来源。</w:t>
      </w:r>
    </w:p>
    <w:p w14:paraId="68E68348">
      <w:pPr>
        <w:pStyle w:val="182"/>
        <w:rPr>
          <w:color w:val="auto"/>
          <w:highlight w:val="none"/>
        </w:rPr>
      </w:pPr>
      <w:r>
        <w:rPr>
          <w:color w:val="auto"/>
          <w:highlight w:val="none"/>
        </w:rPr>
        <w:t>附录B列举了金融工具、激励政策及风险缓解策略示例。</w:t>
      </w:r>
    </w:p>
    <w:p w14:paraId="20455B04">
      <w:pPr>
        <w:pStyle w:val="68"/>
        <w:spacing w:before="156" w:after="156"/>
        <w:rPr>
          <w:bCs/>
          <w:color w:val="auto"/>
          <w:highlight w:val="none"/>
        </w:rPr>
      </w:pPr>
      <w:bookmarkStart w:id="216" w:name="_Toc8637"/>
      <w:bookmarkEnd w:id="216"/>
      <w:r>
        <w:rPr>
          <w:color w:val="auto"/>
          <w:highlight w:val="none"/>
        </w:rPr>
        <w:t>投资商业</w:t>
      </w:r>
      <w:r>
        <w:rPr>
          <w:rFonts w:hint="eastAsia"/>
          <w:color w:val="auto"/>
          <w:highlight w:val="none"/>
        </w:rPr>
        <w:t>论证</w:t>
      </w:r>
    </w:p>
    <w:p w14:paraId="03485BF0">
      <w:pPr>
        <w:pStyle w:val="59"/>
        <w:ind w:firstLine="420"/>
        <w:rPr>
          <w:color w:val="auto"/>
          <w:highlight w:val="none"/>
        </w:rPr>
      </w:pPr>
      <w:r>
        <w:rPr>
          <w:color w:val="auto"/>
          <w:highlight w:val="none"/>
        </w:rPr>
        <w:t>城市韧性负责人</w:t>
      </w:r>
      <w:r>
        <w:rPr>
          <w:rFonts w:hint="eastAsia"/>
          <w:color w:val="auto"/>
          <w:highlight w:val="none"/>
        </w:rPr>
        <w:t>宜</w:t>
      </w:r>
      <w:r>
        <w:rPr>
          <w:color w:val="auto"/>
          <w:highlight w:val="none"/>
        </w:rPr>
        <w:t>在领导小组成员单位的支持下开展以下工作：</w:t>
      </w:r>
    </w:p>
    <w:p w14:paraId="4063EA24">
      <w:pPr>
        <w:pStyle w:val="177"/>
        <w:numPr>
          <w:ilvl w:val="0"/>
          <w:numId w:val="79"/>
        </w:numPr>
        <w:bidi w:val="0"/>
        <w:ind w:left="851" w:leftChars="0" w:hanging="426" w:firstLineChars="0"/>
        <w:rPr>
          <w:color w:val="auto"/>
          <w:highlight w:val="none"/>
        </w:rPr>
      </w:pPr>
      <w:r>
        <w:rPr>
          <w:rFonts w:hint="eastAsia"/>
          <w:color w:val="auto"/>
          <w:highlight w:val="none"/>
        </w:rPr>
        <w:t>明确风险承担方和收益享有方</w:t>
      </w:r>
      <w:r>
        <w:rPr>
          <w:color w:val="auto"/>
          <w:highlight w:val="none"/>
        </w:rPr>
        <w:t>；</w:t>
      </w:r>
    </w:p>
    <w:p w14:paraId="54667F14">
      <w:pPr>
        <w:pStyle w:val="177"/>
        <w:numPr>
          <w:ilvl w:val="0"/>
          <w:numId w:val="79"/>
        </w:numPr>
        <w:bidi w:val="0"/>
        <w:ind w:left="851" w:leftChars="0" w:hanging="426" w:firstLineChars="0"/>
        <w:rPr>
          <w:rFonts w:hint="eastAsia"/>
          <w:color w:val="auto"/>
          <w:highlight w:val="none"/>
        </w:rPr>
      </w:pPr>
      <w:r>
        <w:rPr>
          <w:rFonts w:hint="eastAsia"/>
          <w:color w:val="auto"/>
          <w:highlight w:val="none"/>
        </w:rPr>
        <w:t>基于风险和投资回报，编制具有说服力的商业论证以获取投资，该论证不仅应涵盖财务回报，还应涵盖福祉改善、经济机遇、社会凝聚力、生物多样性、气候变化减缓及其他城市韧性相关因素所带来的回报。持续改进</w:t>
      </w:r>
    </w:p>
    <w:p w14:paraId="20A92E85">
      <w:pPr>
        <w:pStyle w:val="107"/>
        <w:spacing w:before="312" w:after="312"/>
        <w:rPr>
          <w:color w:val="auto"/>
          <w:highlight w:val="none"/>
        </w:rPr>
      </w:pPr>
      <w:bookmarkStart w:id="217" w:name="_Toc13403"/>
      <w:r>
        <w:rPr>
          <w:rFonts w:hint="eastAsia"/>
          <w:color w:val="auto"/>
          <w:highlight w:val="none"/>
        </w:rPr>
        <w:t>持续改进</w:t>
      </w:r>
      <w:bookmarkEnd w:id="217"/>
    </w:p>
    <w:p w14:paraId="59F45A0F">
      <w:pPr>
        <w:pStyle w:val="108"/>
        <w:spacing w:before="156" w:after="156"/>
        <w:rPr>
          <w:bCs/>
          <w:color w:val="auto"/>
          <w:highlight w:val="none"/>
        </w:rPr>
      </w:pPr>
      <w:bookmarkStart w:id="218" w:name="_Toc9326"/>
      <w:bookmarkStart w:id="219" w:name="_Toc26389"/>
      <w:bookmarkStart w:id="220" w:name="_Toc206170550"/>
      <w:r>
        <w:rPr>
          <w:color w:val="auto"/>
          <w:highlight w:val="none"/>
        </w:rPr>
        <w:t>概述</w:t>
      </w:r>
      <w:bookmarkEnd w:id="218"/>
      <w:bookmarkEnd w:id="219"/>
      <w:bookmarkEnd w:id="220"/>
    </w:p>
    <w:p w14:paraId="43D2E626">
      <w:pPr>
        <w:pStyle w:val="168"/>
        <w:bidi w:val="0"/>
        <w:rPr>
          <w:color w:val="auto"/>
          <w:highlight w:val="none"/>
        </w:rPr>
      </w:pPr>
      <w:r>
        <w:rPr>
          <w:color w:val="auto"/>
          <w:highlight w:val="none"/>
        </w:rPr>
        <w:t>城市韧性建设是动态迭代、全主体参与、跨周期衔接的长期系统工程，需贯穿</w:t>
      </w:r>
      <w:r>
        <w:rPr>
          <w:rFonts w:hint="eastAsia"/>
          <w:color w:val="auto"/>
          <w:highlight w:val="none"/>
        </w:rPr>
        <w:t>“</w:t>
      </w:r>
      <w:r>
        <w:rPr>
          <w:color w:val="auto"/>
          <w:highlight w:val="none"/>
        </w:rPr>
        <w:t>评估—建设—复盘—优化</w:t>
      </w:r>
      <w:r>
        <w:rPr>
          <w:rFonts w:hint="eastAsia"/>
          <w:color w:val="auto"/>
          <w:highlight w:val="none"/>
        </w:rPr>
        <w:t>”</w:t>
      </w:r>
      <w:r>
        <w:rPr>
          <w:color w:val="auto"/>
          <w:highlight w:val="none"/>
        </w:rPr>
        <w:t>全流程，将韧性理念融入城市治理文化内核，</w:t>
      </w:r>
      <w:r>
        <w:rPr>
          <w:rFonts w:hint="eastAsia"/>
          <w:color w:val="auto"/>
          <w:highlight w:val="none"/>
        </w:rPr>
        <w:t>并成为城市发展战略决策的基础。</w:t>
      </w:r>
    </w:p>
    <w:p w14:paraId="2B62FCA3">
      <w:pPr>
        <w:pStyle w:val="168"/>
        <w:bidi w:val="0"/>
        <w:rPr>
          <w:color w:val="auto"/>
          <w:highlight w:val="none"/>
        </w:rPr>
      </w:pPr>
      <w:r>
        <w:rPr>
          <w:color w:val="auto"/>
          <w:highlight w:val="none"/>
        </w:rPr>
        <w:t>城市韧性建设领导小组</w:t>
      </w:r>
      <w:r>
        <w:rPr>
          <w:rFonts w:hint="eastAsia"/>
          <w:color w:val="auto"/>
          <w:highlight w:val="none"/>
        </w:rPr>
        <w:t>宜</w:t>
      </w:r>
      <w:r>
        <w:rPr>
          <w:color w:val="auto"/>
          <w:highlight w:val="none"/>
        </w:rPr>
        <w:t>：</w:t>
      </w:r>
    </w:p>
    <w:p w14:paraId="75BBCFB2">
      <w:pPr>
        <w:pStyle w:val="177"/>
        <w:numPr>
          <w:ilvl w:val="0"/>
          <w:numId w:val="80"/>
        </w:numPr>
        <w:bidi w:val="0"/>
        <w:ind w:left="851" w:leftChars="0" w:hanging="426" w:firstLineChars="0"/>
        <w:rPr>
          <w:color w:val="auto"/>
          <w:highlight w:val="none"/>
        </w:rPr>
      </w:pPr>
      <w:r>
        <w:rPr>
          <w:color w:val="auto"/>
          <w:highlight w:val="none"/>
        </w:rPr>
        <w:t>建立</w:t>
      </w:r>
      <w:r>
        <w:rPr>
          <w:rFonts w:hint="eastAsia"/>
          <w:color w:val="auto"/>
          <w:highlight w:val="none"/>
        </w:rPr>
        <w:t>常态化的“</w:t>
      </w:r>
      <w:r>
        <w:rPr>
          <w:color w:val="auto"/>
          <w:highlight w:val="none"/>
        </w:rPr>
        <w:t>评估—建设—复盘—优化</w:t>
      </w:r>
      <w:r>
        <w:rPr>
          <w:rFonts w:hint="eastAsia"/>
          <w:color w:val="auto"/>
          <w:highlight w:val="none"/>
        </w:rPr>
        <w:t>”持续改进与主动学习机制</w:t>
      </w:r>
      <w:r>
        <w:rPr>
          <w:color w:val="auto"/>
          <w:highlight w:val="none"/>
        </w:rPr>
        <w:t>，为城市韧性长期建设提供支撑，同时为规划及投资决策提供依据；</w:t>
      </w:r>
    </w:p>
    <w:p w14:paraId="1EFA5133">
      <w:pPr>
        <w:pStyle w:val="177"/>
        <w:numPr>
          <w:ilvl w:val="0"/>
          <w:numId w:val="80"/>
        </w:numPr>
        <w:bidi w:val="0"/>
        <w:ind w:left="851" w:leftChars="0" w:hanging="426" w:firstLineChars="0"/>
        <w:rPr>
          <w:color w:val="auto"/>
          <w:highlight w:val="none"/>
        </w:rPr>
      </w:pPr>
      <w:r>
        <w:rPr>
          <w:rFonts w:hint="eastAsia"/>
          <w:color w:val="auto"/>
          <w:highlight w:val="none"/>
        </w:rPr>
        <w:t>确保以往绩效的评估过程体现表1中“风险研判”的城市韧性原则和要求，加强对以往绩效的针对性评估，并充分</w:t>
      </w:r>
      <w:r>
        <w:rPr>
          <w:color w:val="auto"/>
          <w:highlight w:val="none"/>
        </w:rPr>
        <w:t>认识和接受</w:t>
      </w:r>
      <w:r>
        <w:rPr>
          <w:rFonts w:hint="eastAsia"/>
          <w:color w:val="auto"/>
          <w:highlight w:val="none"/>
        </w:rPr>
        <w:t>持续增加的不确定性与变化；</w:t>
      </w:r>
    </w:p>
    <w:p w14:paraId="4F5A01B9">
      <w:pPr>
        <w:pStyle w:val="177"/>
        <w:numPr>
          <w:ilvl w:val="0"/>
          <w:numId w:val="80"/>
        </w:numPr>
        <w:bidi w:val="0"/>
        <w:ind w:left="851" w:leftChars="0" w:hanging="426" w:firstLineChars="0"/>
        <w:rPr>
          <w:color w:val="auto"/>
          <w:highlight w:val="none"/>
        </w:rPr>
      </w:pPr>
      <w:r>
        <w:rPr>
          <w:color w:val="auto"/>
          <w:highlight w:val="none"/>
        </w:rPr>
        <w:t>构建监测、评估及进展报告机制，为优化调整提供依据，助力提升绩效并</w:t>
      </w:r>
      <w:r>
        <w:rPr>
          <w:rFonts w:hint="eastAsia"/>
          <w:color w:val="auto"/>
          <w:highlight w:val="none"/>
        </w:rPr>
        <w:t>根据环境变化及时调整工作方案。</w:t>
      </w:r>
    </w:p>
    <w:p w14:paraId="2E2E18A6">
      <w:pPr>
        <w:pStyle w:val="182"/>
        <w:rPr>
          <w:color w:val="auto"/>
          <w:highlight w:val="none"/>
        </w:rPr>
      </w:pPr>
      <w:r>
        <w:rPr>
          <w:color w:val="auto"/>
          <w:highlight w:val="none"/>
        </w:rPr>
        <w:t>ISO 22313提供了</w:t>
      </w:r>
      <w:r>
        <w:rPr>
          <w:rFonts w:hint="eastAsia"/>
          <w:color w:val="auto"/>
          <w:highlight w:val="none"/>
        </w:rPr>
        <w:t>业务连续性管理体系建立与实施（含持续改进）的</w:t>
      </w:r>
      <w:r>
        <w:rPr>
          <w:color w:val="auto"/>
          <w:highlight w:val="none"/>
        </w:rPr>
        <w:t>相关指南。</w:t>
      </w:r>
    </w:p>
    <w:p w14:paraId="318B6F91">
      <w:pPr>
        <w:pStyle w:val="108"/>
        <w:spacing w:before="156" w:after="156"/>
        <w:rPr>
          <w:bCs/>
          <w:color w:val="auto"/>
          <w:highlight w:val="none"/>
        </w:rPr>
      </w:pPr>
      <w:bookmarkStart w:id="221" w:name="_Toc206170551"/>
      <w:bookmarkStart w:id="222" w:name="_Toc28102"/>
      <w:bookmarkStart w:id="223" w:name="_Toc481"/>
      <w:bookmarkStart w:id="224" w:name="_Toc4519"/>
      <w:r>
        <w:rPr>
          <w:color w:val="auto"/>
          <w:highlight w:val="none"/>
        </w:rPr>
        <w:t>监测</w:t>
      </w:r>
      <w:bookmarkEnd w:id="221"/>
      <w:bookmarkEnd w:id="222"/>
      <w:bookmarkEnd w:id="223"/>
      <w:bookmarkEnd w:id="224"/>
    </w:p>
    <w:p w14:paraId="1C77483F">
      <w:pPr>
        <w:pStyle w:val="68"/>
        <w:spacing w:before="156" w:after="156"/>
        <w:rPr>
          <w:bCs/>
          <w:color w:val="auto"/>
          <w:highlight w:val="none"/>
        </w:rPr>
      </w:pPr>
      <w:bookmarkStart w:id="225" w:name="_Toc8335"/>
      <w:bookmarkEnd w:id="225"/>
      <w:r>
        <w:rPr>
          <w:rFonts w:hint="eastAsia"/>
          <w:bCs/>
          <w:color w:val="auto"/>
          <w:highlight w:val="none"/>
          <w:lang w:val="en-US" w:eastAsia="zh-CN"/>
        </w:rPr>
        <w:t>概述</w:t>
      </w:r>
    </w:p>
    <w:p w14:paraId="018FADCE">
      <w:pPr>
        <w:pStyle w:val="59"/>
        <w:ind w:firstLine="420"/>
        <w:rPr>
          <w:color w:val="auto"/>
          <w:highlight w:val="none"/>
        </w:rPr>
      </w:pPr>
      <w:r>
        <w:rPr>
          <w:rFonts w:hint="eastAsia"/>
          <w:color w:val="auto"/>
          <w:highlight w:val="none"/>
        </w:rPr>
        <w:t>宜采用传感器等监测设备来增强态势感知能力，协同利用应急管理、自然资源、住房和城乡建设、交通运输、水利等部门感知数据，</w:t>
      </w:r>
      <w:r>
        <w:rPr>
          <w:color w:val="auto"/>
          <w:highlight w:val="none"/>
        </w:rPr>
        <w:t>及时反馈交通运行、设施运营等实时问题，</w:t>
      </w:r>
      <w:r>
        <w:rPr>
          <w:rFonts w:hint="eastAsia"/>
          <w:color w:val="auto"/>
          <w:highlight w:val="none"/>
        </w:rPr>
        <w:t>并对洪涝、地震、地质灾害、市政设施故障等风险</w:t>
      </w:r>
      <w:r>
        <w:rPr>
          <w:color w:val="auto"/>
          <w:highlight w:val="none"/>
        </w:rPr>
        <w:t>进行动态监测和分级预警。监测设备可优先部署于能源、通信、交通、</w:t>
      </w:r>
      <w:r>
        <w:rPr>
          <w:rFonts w:hint="eastAsia"/>
          <w:color w:val="auto"/>
          <w:highlight w:val="none"/>
        </w:rPr>
        <w:t>给排水</w:t>
      </w:r>
      <w:r>
        <w:rPr>
          <w:color w:val="auto"/>
          <w:highlight w:val="none"/>
        </w:rPr>
        <w:t>等城市生命线系统，以及超高层建筑、地质灾害隐患点、城中村等重点防护对象和高风险区域。</w:t>
      </w:r>
    </w:p>
    <w:p w14:paraId="3CAAB222">
      <w:pPr>
        <w:pStyle w:val="68"/>
        <w:spacing w:before="156" w:after="156"/>
        <w:rPr>
          <w:bCs/>
          <w:color w:val="auto"/>
          <w:highlight w:val="none"/>
        </w:rPr>
      </w:pPr>
      <w:bookmarkStart w:id="226" w:name="_Toc8051"/>
      <w:bookmarkEnd w:id="226"/>
      <w:bookmarkStart w:id="227" w:name="_Toc22881"/>
      <w:r>
        <w:rPr>
          <w:color w:val="auto"/>
          <w:highlight w:val="none"/>
        </w:rPr>
        <w:t>通过实时数据收集增强态势感知</w:t>
      </w:r>
      <w:bookmarkEnd w:id="227"/>
    </w:p>
    <w:p w14:paraId="49D64542">
      <w:pPr>
        <w:pStyle w:val="59"/>
        <w:bidi w:val="0"/>
        <w:rPr>
          <w:color w:val="auto"/>
          <w:highlight w:val="none"/>
        </w:rPr>
      </w:pPr>
      <w:r>
        <w:rPr>
          <w:color w:val="auto"/>
          <w:highlight w:val="none"/>
        </w:rPr>
        <w:t>领导小组办公室宜协调领导小组成员单位，</w:t>
      </w:r>
      <w:r>
        <w:rPr>
          <w:rFonts w:hint="eastAsia"/>
          <w:color w:val="auto"/>
          <w:highlight w:val="none"/>
        </w:rPr>
        <w:t>依托城市安全风险综合监测预警平台（城市运行管理服务平台），</w:t>
      </w:r>
      <w:r>
        <w:rPr>
          <w:color w:val="auto"/>
          <w:highlight w:val="none"/>
        </w:rPr>
        <w:t>利用</w:t>
      </w:r>
      <w:r>
        <w:rPr>
          <w:rFonts w:hint="eastAsia"/>
          <w:color w:val="auto"/>
          <w:highlight w:val="none"/>
        </w:rPr>
        <w:t>适用于</w:t>
      </w:r>
      <w:r>
        <w:rPr>
          <w:color w:val="auto"/>
          <w:highlight w:val="none"/>
        </w:rPr>
        <w:t>关键预警场景的实时数据及信息共享机制，提升态势感知能力，</w:t>
      </w:r>
      <w:r>
        <w:rPr>
          <w:rFonts w:hint="eastAsia"/>
          <w:color w:val="auto"/>
          <w:highlight w:val="none"/>
        </w:rPr>
        <w:t>实现相关场景的态势感知闭环，</w:t>
      </w:r>
      <w:r>
        <w:rPr>
          <w:color w:val="auto"/>
          <w:highlight w:val="none"/>
        </w:rPr>
        <w:t>为</w:t>
      </w:r>
      <w:r>
        <w:rPr>
          <w:rFonts w:hint="eastAsia"/>
          <w:color w:val="auto"/>
          <w:highlight w:val="none"/>
        </w:rPr>
        <w:t>应急准备</w:t>
      </w:r>
      <w:r>
        <w:rPr>
          <w:color w:val="auto"/>
          <w:highlight w:val="none"/>
        </w:rPr>
        <w:t>与行动决策提供依据。</w:t>
      </w:r>
      <w:r>
        <w:rPr>
          <w:rFonts w:hint="eastAsia"/>
          <w:color w:val="auto"/>
          <w:highlight w:val="none"/>
          <w:lang w:val="en-US" w:eastAsia="zh-CN"/>
        </w:rPr>
        <w:t>场景可包括</w:t>
      </w:r>
      <w:r>
        <w:rPr>
          <w:color w:val="auto"/>
          <w:highlight w:val="none"/>
        </w:rPr>
        <w:t>：</w:t>
      </w:r>
    </w:p>
    <w:p w14:paraId="5E164C66">
      <w:pPr>
        <w:pStyle w:val="177"/>
        <w:numPr>
          <w:ilvl w:val="0"/>
          <w:numId w:val="81"/>
        </w:numPr>
        <w:bidi w:val="0"/>
        <w:ind w:left="851" w:leftChars="0" w:hanging="426" w:firstLineChars="0"/>
        <w:rPr>
          <w:color w:val="auto"/>
          <w:highlight w:val="none"/>
        </w:rPr>
      </w:pPr>
      <w:r>
        <w:rPr>
          <w:color w:val="auto"/>
          <w:highlight w:val="none"/>
        </w:rPr>
        <w:t>应急响应</w:t>
      </w:r>
      <w:r>
        <w:rPr>
          <w:rFonts w:hint="eastAsia"/>
          <w:color w:val="auto"/>
          <w:highlight w:val="none"/>
        </w:rPr>
        <w:t>场景：</w:t>
      </w:r>
      <w:r>
        <w:rPr>
          <w:color w:val="auto"/>
          <w:highlight w:val="none"/>
        </w:rPr>
        <w:t>确保第一时间明晰应急响应</w:t>
      </w:r>
      <w:r>
        <w:rPr>
          <w:rFonts w:hint="eastAsia"/>
          <w:color w:val="auto"/>
          <w:highlight w:val="none"/>
        </w:rPr>
        <w:t>流程和</w:t>
      </w:r>
      <w:r>
        <w:rPr>
          <w:color w:val="auto"/>
          <w:highlight w:val="none"/>
        </w:rPr>
        <w:t>要求（包括应采取的</w:t>
      </w:r>
      <w:r>
        <w:rPr>
          <w:rFonts w:hint="eastAsia"/>
          <w:color w:val="auto"/>
          <w:highlight w:val="none"/>
        </w:rPr>
        <w:t>适当</w:t>
      </w:r>
      <w:r>
        <w:rPr>
          <w:color w:val="auto"/>
          <w:highlight w:val="none"/>
        </w:rPr>
        <w:t>措施、需重点保护弱势群体的区域等）；</w:t>
      </w:r>
    </w:p>
    <w:p w14:paraId="095EB629">
      <w:pPr>
        <w:pStyle w:val="177"/>
        <w:numPr>
          <w:ilvl w:val="0"/>
          <w:numId w:val="81"/>
        </w:numPr>
        <w:bidi w:val="0"/>
        <w:ind w:left="851" w:leftChars="0" w:hanging="426" w:firstLineChars="0"/>
        <w:rPr>
          <w:color w:val="auto"/>
          <w:highlight w:val="none"/>
        </w:rPr>
      </w:pPr>
      <w:r>
        <w:rPr>
          <w:color w:val="auto"/>
          <w:highlight w:val="none"/>
        </w:rPr>
        <w:t>恢复重建</w:t>
      </w:r>
      <w:r>
        <w:rPr>
          <w:rFonts w:hint="eastAsia"/>
          <w:color w:val="auto"/>
          <w:highlight w:val="none"/>
        </w:rPr>
        <w:t>场景：开展灾害损失评估，</w:t>
      </w:r>
      <w:r>
        <w:rPr>
          <w:color w:val="auto"/>
          <w:highlight w:val="none"/>
        </w:rPr>
        <w:t>掌握受损情况，排定工作优先级，同时</w:t>
      </w:r>
      <w:r>
        <w:rPr>
          <w:rFonts w:hint="eastAsia"/>
          <w:color w:val="auto"/>
          <w:highlight w:val="none"/>
        </w:rPr>
        <w:t>评估各项修复</w:t>
      </w:r>
      <w:r>
        <w:rPr>
          <w:color w:val="auto"/>
          <w:highlight w:val="none"/>
        </w:rPr>
        <w:t>措施的实际成效；</w:t>
      </w:r>
    </w:p>
    <w:p w14:paraId="4E6DD36F">
      <w:pPr>
        <w:pStyle w:val="177"/>
        <w:numPr>
          <w:ilvl w:val="0"/>
          <w:numId w:val="81"/>
        </w:numPr>
        <w:bidi w:val="0"/>
        <w:ind w:left="851" w:leftChars="0" w:hanging="426" w:firstLineChars="0"/>
        <w:rPr>
          <w:color w:val="auto"/>
          <w:highlight w:val="none"/>
        </w:rPr>
      </w:pPr>
      <w:r>
        <w:rPr>
          <w:color w:val="auto"/>
          <w:highlight w:val="none"/>
        </w:rPr>
        <w:t>实时沟通</w:t>
      </w:r>
      <w:r>
        <w:rPr>
          <w:rFonts w:hint="eastAsia"/>
          <w:color w:val="auto"/>
          <w:highlight w:val="none"/>
        </w:rPr>
        <w:t>场景：实时共享城市运行风险信息，实现提前预警、</w:t>
      </w:r>
      <w:r>
        <w:rPr>
          <w:color w:val="auto"/>
          <w:highlight w:val="none"/>
        </w:rPr>
        <w:t>协同调度</w:t>
      </w:r>
      <w:r>
        <w:rPr>
          <w:rFonts w:hint="eastAsia"/>
          <w:color w:val="auto"/>
          <w:highlight w:val="none"/>
        </w:rPr>
        <w:t>，支撑跨部门协同处置能力</w:t>
      </w:r>
      <w:r>
        <w:rPr>
          <w:color w:val="auto"/>
          <w:highlight w:val="none"/>
        </w:rPr>
        <w:t>。</w:t>
      </w:r>
    </w:p>
    <w:p w14:paraId="4F077954">
      <w:pPr>
        <w:pStyle w:val="68"/>
        <w:spacing w:before="156" w:after="156"/>
        <w:rPr>
          <w:bCs/>
          <w:color w:val="auto"/>
          <w:highlight w:val="none"/>
        </w:rPr>
      </w:pPr>
      <w:bookmarkStart w:id="228" w:name="_Toc30595"/>
      <w:bookmarkEnd w:id="228"/>
      <w:bookmarkStart w:id="229" w:name="_Toc26986"/>
      <w:r>
        <w:rPr>
          <w:color w:val="auto"/>
          <w:highlight w:val="none"/>
        </w:rPr>
        <w:t>监测城市韧性战略推行进展</w:t>
      </w:r>
      <w:bookmarkEnd w:id="229"/>
    </w:p>
    <w:p w14:paraId="253A9DBC">
      <w:pPr>
        <w:pStyle w:val="167"/>
        <w:bidi w:val="0"/>
        <w:rPr>
          <w:color w:val="auto"/>
          <w:highlight w:val="none"/>
        </w:rPr>
      </w:pPr>
      <w:r>
        <w:rPr>
          <w:rFonts w:hint="eastAsia"/>
          <w:color w:val="auto"/>
          <w:highlight w:val="none"/>
        </w:rPr>
        <w:t>针对不同利益相关方</w:t>
      </w:r>
      <w:r>
        <w:rPr>
          <w:color w:val="auto"/>
          <w:highlight w:val="none"/>
        </w:rPr>
        <w:t>在时间、层级和指标</w:t>
      </w:r>
      <w:r>
        <w:rPr>
          <w:rFonts w:hint="eastAsia"/>
          <w:color w:val="auto"/>
          <w:highlight w:val="none"/>
        </w:rPr>
        <w:t>等</w:t>
      </w:r>
      <w:r>
        <w:rPr>
          <w:color w:val="auto"/>
          <w:highlight w:val="none"/>
        </w:rPr>
        <w:t>方面的差异化需求，</w:t>
      </w:r>
      <w:r>
        <w:rPr>
          <w:rFonts w:hint="eastAsia"/>
          <w:color w:val="auto"/>
          <w:highlight w:val="none"/>
        </w:rPr>
        <w:t>构建监测指标体系。</w:t>
      </w:r>
      <w:r>
        <w:rPr>
          <w:color w:val="auto"/>
          <w:highlight w:val="none"/>
        </w:rPr>
        <w:t>城市韧性建设领导小组</w:t>
      </w:r>
      <w:r>
        <w:rPr>
          <w:rFonts w:hint="eastAsia"/>
          <w:color w:val="auto"/>
          <w:highlight w:val="none"/>
        </w:rPr>
        <w:t>可设置城市韧性信息发布平台，汇总呈现</w:t>
      </w:r>
      <w:r>
        <w:rPr>
          <w:color w:val="auto"/>
          <w:highlight w:val="none"/>
        </w:rPr>
        <w:t>城市韧性愿景、既定目标和重点工作进展</w:t>
      </w:r>
      <w:r>
        <w:rPr>
          <w:rFonts w:hint="eastAsia"/>
          <w:color w:val="auto"/>
          <w:highlight w:val="none"/>
        </w:rPr>
        <w:t>等。</w:t>
      </w:r>
      <w:r>
        <w:rPr>
          <w:color w:val="auto"/>
          <w:highlight w:val="none"/>
        </w:rPr>
        <w:t>领导小组办公室</w:t>
      </w:r>
      <w:r>
        <w:rPr>
          <w:rFonts w:hint="eastAsia"/>
          <w:color w:val="auto"/>
          <w:highlight w:val="none"/>
        </w:rPr>
        <w:t>宜</w:t>
      </w:r>
      <w:r>
        <w:rPr>
          <w:color w:val="auto"/>
          <w:highlight w:val="none"/>
        </w:rPr>
        <w:t>：</w:t>
      </w:r>
    </w:p>
    <w:p w14:paraId="2E2228F8">
      <w:pPr>
        <w:pStyle w:val="177"/>
        <w:numPr>
          <w:ilvl w:val="0"/>
          <w:numId w:val="82"/>
        </w:numPr>
        <w:bidi w:val="0"/>
        <w:ind w:left="851" w:leftChars="0" w:hanging="426" w:firstLineChars="0"/>
        <w:rPr>
          <w:color w:val="auto"/>
          <w:highlight w:val="none"/>
        </w:rPr>
      </w:pPr>
      <w:r>
        <w:rPr>
          <w:color w:val="auto"/>
          <w:highlight w:val="none"/>
        </w:rPr>
        <w:t>跟踪监测城市韧性项目实施的进展状况及实际影响；</w:t>
      </w:r>
    </w:p>
    <w:p w14:paraId="484A2E96">
      <w:pPr>
        <w:pStyle w:val="177"/>
        <w:numPr>
          <w:ilvl w:val="0"/>
          <w:numId w:val="82"/>
        </w:numPr>
        <w:bidi w:val="0"/>
        <w:ind w:left="851" w:leftChars="0" w:hanging="426" w:firstLineChars="0"/>
        <w:rPr>
          <w:color w:val="auto"/>
          <w:highlight w:val="none"/>
        </w:rPr>
      </w:pPr>
      <w:r>
        <w:rPr>
          <w:color w:val="auto"/>
          <w:highlight w:val="none"/>
        </w:rPr>
        <w:t>联合城区利益相关方，</w:t>
      </w:r>
      <w:r>
        <w:rPr>
          <w:rFonts w:hint="eastAsia"/>
          <w:color w:val="auto"/>
          <w:highlight w:val="none"/>
        </w:rPr>
        <w:t>建立</w:t>
      </w:r>
      <w:r>
        <w:rPr>
          <w:color w:val="auto"/>
          <w:highlight w:val="none"/>
        </w:rPr>
        <w:t>定期</w:t>
      </w:r>
      <w:r>
        <w:rPr>
          <w:rFonts w:hint="eastAsia"/>
          <w:color w:val="auto"/>
          <w:highlight w:val="none"/>
        </w:rPr>
        <w:t>开展</w:t>
      </w:r>
      <w:r>
        <w:rPr>
          <w:color w:val="auto"/>
          <w:highlight w:val="none"/>
        </w:rPr>
        <w:t>、</w:t>
      </w:r>
      <w:r>
        <w:rPr>
          <w:rFonts w:hint="eastAsia"/>
          <w:color w:val="auto"/>
          <w:highlight w:val="none"/>
        </w:rPr>
        <w:t>及时反馈、公开透明、共同参与的监测机制；</w:t>
      </w:r>
    </w:p>
    <w:p w14:paraId="44728EBC">
      <w:pPr>
        <w:pStyle w:val="177"/>
        <w:numPr>
          <w:ilvl w:val="0"/>
          <w:numId w:val="82"/>
        </w:numPr>
        <w:bidi w:val="0"/>
        <w:ind w:left="851" w:leftChars="0" w:hanging="426" w:firstLineChars="0"/>
        <w:rPr>
          <w:color w:val="auto"/>
          <w:highlight w:val="none"/>
        </w:rPr>
      </w:pPr>
      <w:r>
        <w:rPr>
          <w:color w:val="auto"/>
          <w:highlight w:val="none"/>
        </w:rPr>
        <w:t>聚焦于量化评估既定</w:t>
      </w:r>
      <w:r>
        <w:rPr>
          <w:rFonts w:hint="eastAsia"/>
          <w:color w:val="auto"/>
          <w:highlight w:val="none"/>
        </w:rPr>
        <w:t>城市韧性目标</w:t>
      </w:r>
      <w:r>
        <w:rPr>
          <w:color w:val="auto"/>
          <w:highlight w:val="none"/>
        </w:rPr>
        <w:t>的进展状况，</w:t>
      </w:r>
      <w:r>
        <w:rPr>
          <w:rFonts w:hint="eastAsia"/>
          <w:color w:val="auto"/>
          <w:highlight w:val="none"/>
        </w:rPr>
        <w:t>开展综合性的韧性建设效益评估</w:t>
      </w:r>
      <w:r>
        <w:rPr>
          <w:color w:val="auto"/>
          <w:highlight w:val="none"/>
        </w:rPr>
        <w:t>，不以单个项目的短期产出作为唯一评价依据；</w:t>
      </w:r>
    </w:p>
    <w:p w14:paraId="6B1A5E8E">
      <w:pPr>
        <w:pStyle w:val="177"/>
        <w:numPr>
          <w:ilvl w:val="0"/>
          <w:numId w:val="82"/>
        </w:numPr>
        <w:bidi w:val="0"/>
        <w:ind w:left="851" w:leftChars="0" w:hanging="426" w:firstLineChars="0"/>
        <w:rPr>
          <w:color w:val="auto"/>
          <w:highlight w:val="none"/>
        </w:rPr>
      </w:pPr>
      <w:bookmarkStart w:id="230" w:name="35"/>
      <w:bookmarkEnd w:id="230"/>
      <w:r>
        <w:rPr>
          <w:color w:val="auto"/>
          <w:highlight w:val="none"/>
        </w:rPr>
        <w:t>组织</w:t>
      </w:r>
      <w:r>
        <w:rPr>
          <w:rFonts w:hint="eastAsia"/>
          <w:color w:val="auto"/>
          <w:highlight w:val="none"/>
        </w:rPr>
        <w:t>相关领域</w:t>
      </w:r>
      <w:r>
        <w:rPr>
          <w:color w:val="auto"/>
          <w:highlight w:val="none"/>
        </w:rPr>
        <w:t>专家及其他利益相关方参与</w:t>
      </w:r>
      <w:r>
        <w:rPr>
          <w:rFonts w:hint="eastAsia"/>
          <w:color w:val="auto"/>
          <w:highlight w:val="none"/>
        </w:rPr>
        <w:t>制定</w:t>
      </w:r>
      <w:r>
        <w:rPr>
          <w:color w:val="auto"/>
          <w:highlight w:val="none"/>
        </w:rPr>
        <w:t>韧性项目进展判定标准</w:t>
      </w:r>
      <w:r>
        <w:rPr>
          <w:rFonts w:hint="eastAsia"/>
          <w:color w:val="auto"/>
          <w:highlight w:val="none"/>
        </w:rPr>
        <w:t>，</w:t>
      </w:r>
      <w:r>
        <w:rPr>
          <w:color w:val="auto"/>
          <w:highlight w:val="none"/>
        </w:rPr>
        <w:t>明确地方政府、社区、投资者/资助</w:t>
      </w:r>
      <w:r>
        <w:rPr>
          <w:rFonts w:hint="eastAsia"/>
          <w:color w:val="auto"/>
          <w:highlight w:val="none"/>
        </w:rPr>
        <w:t>方等相关方的关键效果</w:t>
      </w:r>
      <w:r>
        <w:rPr>
          <w:color w:val="auto"/>
          <w:highlight w:val="none"/>
        </w:rPr>
        <w:t>评估指标</w:t>
      </w:r>
      <w:r>
        <w:rPr>
          <w:rFonts w:hint="eastAsia"/>
          <w:color w:val="auto"/>
          <w:highlight w:val="none"/>
        </w:rPr>
        <w:t>，</w:t>
      </w:r>
      <w:r>
        <w:rPr>
          <w:color w:val="auto"/>
          <w:highlight w:val="none"/>
        </w:rPr>
        <w:t>用于评估投入及其实现的价值，</w:t>
      </w:r>
      <w:r>
        <w:rPr>
          <w:rFonts w:hint="eastAsia"/>
          <w:color w:val="auto"/>
          <w:highlight w:val="none"/>
        </w:rPr>
        <w:t>并</w:t>
      </w:r>
      <w:r>
        <w:rPr>
          <w:color w:val="auto"/>
          <w:highlight w:val="none"/>
        </w:rPr>
        <w:t>参与数据收集、分析</w:t>
      </w:r>
      <w:r>
        <w:rPr>
          <w:rFonts w:hint="eastAsia"/>
          <w:color w:val="auto"/>
          <w:highlight w:val="none"/>
        </w:rPr>
        <w:t>和审查</w:t>
      </w:r>
      <w:r>
        <w:rPr>
          <w:color w:val="auto"/>
          <w:highlight w:val="none"/>
        </w:rPr>
        <w:t>工作。</w:t>
      </w:r>
    </w:p>
    <w:p w14:paraId="74B298CC">
      <w:pPr>
        <w:pStyle w:val="167"/>
        <w:bidi w:val="0"/>
        <w:rPr>
          <w:color w:val="auto"/>
          <w:highlight w:val="none"/>
        </w:rPr>
      </w:pPr>
      <w:r>
        <w:rPr>
          <w:rFonts w:hint="eastAsia"/>
          <w:color w:val="auto"/>
          <w:highlight w:val="none"/>
        </w:rPr>
        <w:t>上述工作可</w:t>
      </w:r>
      <w:r>
        <w:rPr>
          <w:color w:val="auto"/>
          <w:highlight w:val="none"/>
        </w:rPr>
        <w:t>纳入</w:t>
      </w:r>
      <w:r>
        <w:rPr>
          <w:rFonts w:hint="eastAsia"/>
          <w:color w:val="auto"/>
          <w:highlight w:val="none"/>
        </w:rPr>
        <w:t>城市安全风险综合监测预警平台（城市运行管理服务平台），并</w:t>
      </w:r>
      <w:r>
        <w:rPr>
          <w:color w:val="auto"/>
          <w:highlight w:val="none"/>
        </w:rPr>
        <w:t>配套建立</w:t>
      </w:r>
      <w:r>
        <w:rPr>
          <w:rFonts w:hint="eastAsia"/>
          <w:color w:val="auto"/>
          <w:highlight w:val="none"/>
        </w:rPr>
        <w:t>日常运营工作机制，</w:t>
      </w:r>
      <w:r>
        <w:rPr>
          <w:color w:val="auto"/>
          <w:highlight w:val="none"/>
        </w:rPr>
        <w:t>通过培训和沟通提升相关人员的平台使用能力，</w:t>
      </w:r>
      <w:r>
        <w:rPr>
          <w:rFonts w:hint="eastAsia"/>
          <w:color w:val="auto"/>
          <w:highlight w:val="none"/>
        </w:rPr>
        <w:t>确保平台有效运行</w:t>
      </w:r>
      <w:r>
        <w:rPr>
          <w:color w:val="auto"/>
          <w:highlight w:val="none"/>
        </w:rPr>
        <w:t>。</w:t>
      </w:r>
    </w:p>
    <w:p w14:paraId="182B5B8C">
      <w:pPr>
        <w:pStyle w:val="68"/>
        <w:spacing w:before="156" w:after="156"/>
        <w:rPr>
          <w:bCs/>
          <w:color w:val="auto"/>
          <w:highlight w:val="none"/>
        </w:rPr>
      </w:pPr>
      <w:bookmarkStart w:id="231" w:name="_Toc14365"/>
      <w:bookmarkEnd w:id="231"/>
      <w:bookmarkStart w:id="232" w:name="_Toc29006"/>
      <w:r>
        <w:rPr>
          <w:color w:val="auto"/>
          <w:highlight w:val="none"/>
        </w:rPr>
        <w:t>前瞻性</w:t>
      </w:r>
      <w:r>
        <w:rPr>
          <w:rFonts w:hint="eastAsia"/>
          <w:color w:val="auto"/>
          <w:highlight w:val="none"/>
        </w:rPr>
        <w:t>风险</w:t>
      </w:r>
      <w:r>
        <w:rPr>
          <w:color w:val="auto"/>
          <w:highlight w:val="none"/>
        </w:rPr>
        <w:t>研判</w:t>
      </w:r>
      <w:bookmarkEnd w:id="232"/>
    </w:p>
    <w:p w14:paraId="0121E559">
      <w:pPr>
        <w:pStyle w:val="59"/>
        <w:ind w:firstLine="420"/>
        <w:rPr>
          <w:color w:val="auto"/>
          <w:highlight w:val="none"/>
        </w:rPr>
      </w:pPr>
      <w:r>
        <w:rPr>
          <w:color w:val="auto"/>
          <w:highlight w:val="none"/>
        </w:rPr>
        <w:t>领导小组办公室</w:t>
      </w:r>
      <w:r>
        <w:rPr>
          <w:rFonts w:hint="eastAsia"/>
          <w:color w:val="auto"/>
          <w:highlight w:val="none"/>
        </w:rPr>
        <w:t>宜</w:t>
      </w:r>
      <w:r>
        <w:rPr>
          <w:color w:val="auto"/>
          <w:highlight w:val="none"/>
        </w:rPr>
        <w:t>：</w:t>
      </w:r>
    </w:p>
    <w:p w14:paraId="1D50B274">
      <w:pPr>
        <w:pStyle w:val="177"/>
        <w:numPr>
          <w:ilvl w:val="0"/>
          <w:numId w:val="83"/>
        </w:numPr>
        <w:bidi w:val="0"/>
        <w:ind w:left="851" w:leftChars="0" w:hanging="426" w:firstLineChars="0"/>
        <w:rPr>
          <w:color w:val="auto"/>
          <w:highlight w:val="none"/>
        </w:rPr>
      </w:pPr>
      <w:r>
        <w:rPr>
          <w:color w:val="auto"/>
          <w:highlight w:val="none"/>
        </w:rPr>
        <w:t>以</w:t>
      </w:r>
      <w:r>
        <w:rPr>
          <w:rFonts w:hint="eastAsia"/>
          <w:color w:val="auto"/>
          <w:highlight w:val="none"/>
        </w:rPr>
        <w:t>综合性、多种方式开展</w:t>
      </w:r>
      <w:r>
        <w:rPr>
          <w:color w:val="auto"/>
          <w:highlight w:val="none"/>
        </w:rPr>
        <w:t>前瞻性</w:t>
      </w:r>
      <w:r>
        <w:rPr>
          <w:rFonts w:hint="eastAsia"/>
          <w:color w:val="auto"/>
          <w:highlight w:val="none"/>
        </w:rPr>
        <w:t>风险研判</w:t>
      </w:r>
      <w:r>
        <w:rPr>
          <w:color w:val="auto"/>
          <w:highlight w:val="none"/>
        </w:rPr>
        <w:t>，识别城市韧性系统中潜在的冲击、压力与趋势（包含对弱势群体的影响）；</w:t>
      </w:r>
    </w:p>
    <w:p w14:paraId="5128B08C">
      <w:pPr>
        <w:pStyle w:val="177"/>
        <w:numPr>
          <w:ilvl w:val="0"/>
          <w:numId w:val="83"/>
        </w:numPr>
        <w:bidi w:val="0"/>
        <w:ind w:left="851" w:leftChars="0" w:hanging="426" w:firstLineChars="0"/>
        <w:rPr>
          <w:color w:val="auto"/>
          <w:highlight w:val="none"/>
        </w:rPr>
      </w:pPr>
      <w:r>
        <w:rPr>
          <w:rFonts w:hint="eastAsia"/>
          <w:color w:val="auto"/>
          <w:highlight w:val="none"/>
        </w:rPr>
        <w:t>必要时，扩大前瞻性风险研判范围，</w:t>
      </w:r>
      <w:r>
        <w:rPr>
          <w:color w:val="auto"/>
          <w:highlight w:val="none"/>
        </w:rPr>
        <w:t>识别和分析气候变化等未来驱动因素及其对城市韧性的影响；</w:t>
      </w:r>
    </w:p>
    <w:p w14:paraId="07772D91">
      <w:pPr>
        <w:pStyle w:val="177"/>
        <w:numPr>
          <w:ilvl w:val="0"/>
          <w:numId w:val="83"/>
        </w:numPr>
        <w:bidi w:val="0"/>
        <w:ind w:left="851" w:leftChars="0" w:hanging="426" w:firstLineChars="0"/>
        <w:rPr>
          <w:color w:val="auto"/>
          <w:highlight w:val="none"/>
        </w:rPr>
      </w:pPr>
      <w:r>
        <w:rPr>
          <w:color w:val="auto"/>
          <w:highlight w:val="none"/>
        </w:rPr>
        <w:t>通过前瞻性</w:t>
      </w:r>
      <w:r>
        <w:rPr>
          <w:rFonts w:hint="eastAsia"/>
          <w:color w:val="auto"/>
          <w:highlight w:val="none"/>
        </w:rPr>
        <w:t>风险</w:t>
      </w:r>
      <w:r>
        <w:rPr>
          <w:color w:val="auto"/>
          <w:highlight w:val="none"/>
        </w:rPr>
        <w:t>研判，监测城市韧性系统中的新兴风险与趋势，</w:t>
      </w:r>
      <w:r>
        <w:rPr>
          <w:rFonts w:hint="eastAsia"/>
          <w:color w:val="auto"/>
          <w:highlight w:val="none"/>
        </w:rPr>
        <w:t>包括</w:t>
      </w:r>
      <w:r>
        <w:rPr>
          <w:color w:val="auto"/>
          <w:highlight w:val="none"/>
        </w:rPr>
        <w:t>城区未来可能遭遇的冲击、压力，同时</w:t>
      </w:r>
      <w:r>
        <w:rPr>
          <w:rFonts w:hint="eastAsia"/>
          <w:color w:val="auto"/>
          <w:highlight w:val="none"/>
        </w:rPr>
        <w:t>关注各种</w:t>
      </w:r>
      <w:r>
        <w:rPr>
          <w:color w:val="auto"/>
          <w:highlight w:val="none"/>
        </w:rPr>
        <w:t>提升城市韧性的思路、方法及技术创新动态。</w:t>
      </w:r>
    </w:p>
    <w:p w14:paraId="656427EE">
      <w:pPr>
        <w:pStyle w:val="68"/>
        <w:spacing w:before="156" w:after="156"/>
        <w:rPr>
          <w:bCs/>
          <w:color w:val="auto"/>
          <w:highlight w:val="none"/>
        </w:rPr>
      </w:pPr>
      <w:bookmarkStart w:id="233" w:name="_Toc9538"/>
      <w:bookmarkEnd w:id="233"/>
      <w:bookmarkStart w:id="234" w:name="_Toc15161"/>
      <w:r>
        <w:rPr>
          <w:color w:val="auto"/>
          <w:highlight w:val="none"/>
        </w:rPr>
        <w:t>报告与审计</w:t>
      </w:r>
      <w:bookmarkEnd w:id="234"/>
    </w:p>
    <w:p w14:paraId="5A80FC1C">
      <w:pPr>
        <w:pStyle w:val="59"/>
        <w:ind w:firstLine="420"/>
        <w:rPr>
          <w:color w:val="auto"/>
          <w:highlight w:val="none"/>
        </w:rPr>
      </w:pPr>
      <w:r>
        <w:rPr>
          <w:color w:val="auto"/>
          <w:highlight w:val="none"/>
        </w:rPr>
        <w:t>城市韧性作为跨领域的城市相关议题，涉及广泛的利益相关方群体。其中部分利益相关方已纳入定期、规范报告体系，但仍需</w:t>
      </w:r>
      <w:r>
        <w:rPr>
          <w:rFonts w:hint="eastAsia"/>
          <w:color w:val="auto"/>
          <w:highlight w:val="none"/>
        </w:rPr>
        <w:t>针对性</w:t>
      </w:r>
      <w:r>
        <w:rPr>
          <w:color w:val="auto"/>
          <w:highlight w:val="none"/>
        </w:rPr>
        <w:t>建立健全</w:t>
      </w:r>
      <w:r>
        <w:rPr>
          <w:rFonts w:hint="eastAsia"/>
          <w:color w:val="auto"/>
          <w:highlight w:val="none"/>
        </w:rPr>
        <w:t>工作报告</w:t>
      </w:r>
      <w:r>
        <w:rPr>
          <w:color w:val="auto"/>
          <w:highlight w:val="none"/>
        </w:rPr>
        <w:t>审查与审计机制，</w:t>
      </w:r>
      <w:r>
        <w:rPr>
          <w:rFonts w:hint="eastAsia"/>
          <w:color w:val="auto"/>
          <w:highlight w:val="none"/>
        </w:rPr>
        <w:t>并</w:t>
      </w:r>
      <w:r>
        <w:rPr>
          <w:color w:val="auto"/>
          <w:highlight w:val="none"/>
        </w:rPr>
        <w:t>覆盖法定响应机构、非营利部门、商业组织及社区。城市韧性数据和知识来源多样，性质和质量可能存在差异。规范开展数据收集、管理及分析工作，</w:t>
      </w:r>
      <w:r>
        <w:rPr>
          <w:rFonts w:hint="eastAsia"/>
          <w:color w:val="auto"/>
          <w:highlight w:val="none"/>
        </w:rPr>
        <w:t>是</w:t>
      </w:r>
      <w:r>
        <w:rPr>
          <w:color w:val="auto"/>
          <w:highlight w:val="none"/>
        </w:rPr>
        <w:t>保障信息完整性、避免决策偏向数据较为充分</w:t>
      </w:r>
      <w:r>
        <w:rPr>
          <w:rFonts w:hint="eastAsia"/>
          <w:color w:val="auto"/>
          <w:highlight w:val="none"/>
        </w:rPr>
        <w:t>的</w:t>
      </w:r>
      <w:r>
        <w:rPr>
          <w:color w:val="auto"/>
          <w:highlight w:val="none"/>
        </w:rPr>
        <w:t>领域，并支撑跨城市、跨领域综合分析的关键。城市韧性建设领导小组</w:t>
      </w:r>
      <w:r>
        <w:rPr>
          <w:rFonts w:hint="eastAsia"/>
          <w:color w:val="auto"/>
          <w:highlight w:val="none"/>
        </w:rPr>
        <w:t>宜</w:t>
      </w:r>
      <w:r>
        <w:rPr>
          <w:color w:val="auto"/>
          <w:highlight w:val="none"/>
        </w:rPr>
        <w:t>：</w:t>
      </w:r>
    </w:p>
    <w:p w14:paraId="67FF5F77">
      <w:pPr>
        <w:pStyle w:val="177"/>
        <w:numPr>
          <w:ilvl w:val="0"/>
          <w:numId w:val="84"/>
        </w:numPr>
        <w:bidi w:val="0"/>
        <w:ind w:left="851" w:leftChars="0" w:hanging="426" w:firstLineChars="0"/>
        <w:rPr>
          <w:color w:val="auto"/>
          <w:highlight w:val="none"/>
        </w:rPr>
      </w:pPr>
      <w:r>
        <w:rPr>
          <w:color w:val="auto"/>
          <w:highlight w:val="none"/>
        </w:rPr>
        <w:t>保障审计与验证工作的资源配置</w:t>
      </w:r>
      <w:r>
        <w:rPr>
          <w:rFonts w:hint="eastAsia"/>
          <w:color w:val="auto"/>
          <w:highlight w:val="none"/>
        </w:rPr>
        <w:t>充分</w:t>
      </w:r>
      <w:r>
        <w:rPr>
          <w:color w:val="auto"/>
          <w:highlight w:val="none"/>
        </w:rPr>
        <w:t>性；</w:t>
      </w:r>
    </w:p>
    <w:p w14:paraId="0D10A56A">
      <w:pPr>
        <w:pStyle w:val="177"/>
        <w:numPr>
          <w:ilvl w:val="0"/>
          <w:numId w:val="84"/>
        </w:numPr>
        <w:bidi w:val="0"/>
        <w:ind w:left="851" w:leftChars="0" w:hanging="426" w:firstLineChars="0"/>
        <w:rPr>
          <w:color w:val="auto"/>
          <w:highlight w:val="none"/>
        </w:rPr>
      </w:pPr>
      <w:r>
        <w:rPr>
          <w:rFonts w:hint="eastAsia"/>
          <w:color w:val="auto"/>
          <w:highlight w:val="none"/>
        </w:rPr>
        <w:t>在审计</w:t>
      </w:r>
      <w:r>
        <w:rPr>
          <w:color w:val="auto"/>
          <w:highlight w:val="none"/>
        </w:rPr>
        <w:t>开展前，</w:t>
      </w:r>
      <w:r>
        <w:rPr>
          <w:rFonts w:hint="eastAsia"/>
          <w:color w:val="auto"/>
          <w:highlight w:val="none"/>
        </w:rPr>
        <w:t>提供城市</w:t>
      </w:r>
      <w:r>
        <w:rPr>
          <w:color w:val="auto"/>
          <w:highlight w:val="none"/>
        </w:rPr>
        <w:t>韧性</w:t>
      </w:r>
      <w:r>
        <w:rPr>
          <w:rFonts w:hint="eastAsia"/>
          <w:color w:val="auto"/>
          <w:highlight w:val="none"/>
        </w:rPr>
        <w:t>建设工作</w:t>
      </w:r>
      <w:r>
        <w:rPr>
          <w:color w:val="auto"/>
          <w:highlight w:val="none"/>
        </w:rPr>
        <w:t>进展监测阶段收集的数据；在可行范围内，推动数据公开共享，支撑协同工作及公众监督；</w:t>
      </w:r>
    </w:p>
    <w:p w14:paraId="125D6E8F">
      <w:pPr>
        <w:pStyle w:val="177"/>
        <w:numPr>
          <w:ilvl w:val="0"/>
          <w:numId w:val="84"/>
        </w:numPr>
        <w:bidi w:val="0"/>
        <w:ind w:left="851" w:leftChars="0" w:hanging="426" w:firstLineChars="0"/>
        <w:rPr>
          <w:color w:val="auto"/>
          <w:highlight w:val="none"/>
        </w:rPr>
      </w:pPr>
      <w:r>
        <w:rPr>
          <w:color w:val="auto"/>
          <w:highlight w:val="none"/>
        </w:rPr>
        <w:t>妥善管理城市韧性相关敏感数据，涵盖关键基础设施信息、风险与脆弱性数据，以及安全保障方案；</w:t>
      </w:r>
    </w:p>
    <w:p w14:paraId="57DA1458">
      <w:pPr>
        <w:pStyle w:val="177"/>
        <w:numPr>
          <w:ilvl w:val="0"/>
          <w:numId w:val="84"/>
        </w:numPr>
        <w:bidi w:val="0"/>
        <w:ind w:left="851" w:leftChars="0" w:hanging="426" w:firstLineChars="0"/>
        <w:rPr>
          <w:color w:val="auto"/>
          <w:highlight w:val="none"/>
        </w:rPr>
      </w:pPr>
      <w:r>
        <w:rPr>
          <w:color w:val="auto"/>
          <w:highlight w:val="none"/>
        </w:rPr>
        <w:t>确保接收正式报告的利益相关方明确报告目的、预期后续行动及其职责；</w:t>
      </w:r>
    </w:p>
    <w:p w14:paraId="190F00ED">
      <w:pPr>
        <w:pStyle w:val="177"/>
        <w:numPr>
          <w:ilvl w:val="0"/>
          <w:numId w:val="84"/>
        </w:numPr>
        <w:bidi w:val="0"/>
        <w:ind w:left="851" w:leftChars="0" w:hanging="426" w:firstLineChars="0"/>
        <w:rPr>
          <w:color w:val="auto"/>
          <w:highlight w:val="none"/>
        </w:rPr>
      </w:pPr>
      <w:r>
        <w:rPr>
          <w:color w:val="auto"/>
          <w:highlight w:val="none"/>
        </w:rPr>
        <w:t>通过定期公开报告，持续推进韧性能力建设，并落实利益相关方问责机制；</w:t>
      </w:r>
    </w:p>
    <w:p w14:paraId="39962140">
      <w:pPr>
        <w:pStyle w:val="177"/>
        <w:numPr>
          <w:ilvl w:val="0"/>
          <w:numId w:val="84"/>
        </w:numPr>
        <w:bidi w:val="0"/>
        <w:ind w:left="851" w:leftChars="0" w:hanging="426" w:firstLineChars="0"/>
        <w:rPr>
          <w:color w:val="auto"/>
          <w:highlight w:val="none"/>
        </w:rPr>
      </w:pPr>
      <w:r>
        <w:rPr>
          <w:color w:val="auto"/>
          <w:highlight w:val="none"/>
        </w:rPr>
        <w:t>采用审计、演练评估及</w:t>
      </w:r>
      <w:r>
        <w:rPr>
          <w:rFonts w:hint="eastAsia"/>
          <w:color w:val="auto"/>
          <w:highlight w:val="none"/>
        </w:rPr>
        <w:t>事件</w:t>
      </w:r>
      <w:r>
        <w:rPr>
          <w:color w:val="auto"/>
          <w:highlight w:val="none"/>
        </w:rPr>
        <w:t>复盘等方式收集信息，为应急准备和经验学习提供支撑，明确后续行动并落实改进措施。</w:t>
      </w:r>
    </w:p>
    <w:bookmarkEnd w:id="185"/>
    <w:bookmarkEnd w:id="186"/>
    <w:p w14:paraId="459255F2">
      <w:pPr>
        <w:pStyle w:val="108"/>
        <w:spacing w:before="156" w:after="156"/>
        <w:rPr>
          <w:bCs/>
          <w:color w:val="auto"/>
          <w:highlight w:val="none"/>
        </w:rPr>
      </w:pPr>
      <w:bookmarkStart w:id="235" w:name="_Toc8860"/>
      <w:r>
        <w:rPr>
          <w:color w:val="auto"/>
          <w:highlight w:val="none"/>
        </w:rPr>
        <w:t>明确后续行动与落实改进措施</w:t>
      </w:r>
      <w:bookmarkEnd w:id="235"/>
    </w:p>
    <w:p w14:paraId="2938304A">
      <w:pPr>
        <w:pStyle w:val="59"/>
        <w:ind w:firstLine="420"/>
        <w:rPr>
          <w:color w:val="auto"/>
          <w:highlight w:val="none"/>
        </w:rPr>
      </w:pPr>
      <w:r>
        <w:rPr>
          <w:rFonts w:hint="eastAsia"/>
          <w:color w:val="auto"/>
          <w:highlight w:val="none"/>
        </w:rPr>
        <w:t>针对监测、审计、复盘过程中发现的问题，城市韧性建设领导小组宜：</w:t>
      </w:r>
    </w:p>
    <w:p w14:paraId="68DF39D1">
      <w:pPr>
        <w:pStyle w:val="177"/>
        <w:numPr>
          <w:ilvl w:val="0"/>
          <w:numId w:val="85"/>
        </w:numPr>
        <w:bidi w:val="0"/>
        <w:ind w:left="851" w:leftChars="0" w:hanging="426" w:firstLineChars="0"/>
        <w:rPr>
          <w:color w:val="auto"/>
          <w:highlight w:val="none"/>
        </w:rPr>
      </w:pPr>
      <w:r>
        <w:rPr>
          <w:color w:val="auto"/>
          <w:highlight w:val="none"/>
        </w:rPr>
        <w:t>明确需新增的</w:t>
      </w:r>
      <w:r>
        <w:rPr>
          <w:rFonts w:hint="eastAsia"/>
          <w:color w:val="auto"/>
          <w:highlight w:val="none"/>
        </w:rPr>
        <w:t>项目或措施</w:t>
      </w:r>
      <w:r>
        <w:rPr>
          <w:color w:val="auto"/>
          <w:highlight w:val="none"/>
        </w:rPr>
        <w:t>，或梳理现有</w:t>
      </w:r>
      <w:r>
        <w:rPr>
          <w:rFonts w:hint="eastAsia"/>
          <w:color w:val="auto"/>
          <w:highlight w:val="none"/>
        </w:rPr>
        <w:t>方案的改进措施</w:t>
      </w:r>
      <w:r>
        <w:rPr>
          <w:color w:val="auto"/>
          <w:highlight w:val="none"/>
        </w:rPr>
        <w:t>，并将其分配至对应</w:t>
      </w:r>
      <w:r>
        <w:rPr>
          <w:rFonts w:hint="eastAsia"/>
          <w:color w:val="auto"/>
          <w:highlight w:val="none"/>
        </w:rPr>
        <w:t>行动责任人</w:t>
      </w:r>
      <w:r>
        <w:rPr>
          <w:color w:val="auto"/>
          <w:highlight w:val="none"/>
        </w:rPr>
        <w:t>；</w:t>
      </w:r>
    </w:p>
    <w:p w14:paraId="54BB2BE1">
      <w:pPr>
        <w:pStyle w:val="177"/>
        <w:numPr>
          <w:ilvl w:val="0"/>
          <w:numId w:val="85"/>
        </w:numPr>
        <w:bidi w:val="0"/>
        <w:ind w:left="851" w:leftChars="0" w:hanging="426" w:firstLineChars="0"/>
        <w:rPr>
          <w:color w:val="auto"/>
          <w:highlight w:val="none"/>
        </w:rPr>
      </w:pPr>
      <w:r>
        <w:rPr>
          <w:color w:val="auto"/>
          <w:highlight w:val="none"/>
        </w:rPr>
        <w:t>更新战略及实施计划，以体现上述变化与补充；</w:t>
      </w:r>
    </w:p>
    <w:p w14:paraId="18E28CEF">
      <w:pPr>
        <w:pStyle w:val="177"/>
        <w:numPr>
          <w:ilvl w:val="0"/>
          <w:numId w:val="85"/>
        </w:numPr>
        <w:bidi w:val="0"/>
        <w:ind w:left="851" w:leftChars="0" w:hanging="426" w:firstLineChars="0"/>
        <w:rPr>
          <w:color w:val="auto"/>
          <w:highlight w:val="none"/>
        </w:rPr>
      </w:pPr>
      <w:r>
        <w:rPr>
          <w:color w:val="auto"/>
          <w:highlight w:val="none"/>
        </w:rPr>
        <w:t>定期对已达成共识的行动及</w:t>
      </w:r>
      <w:r>
        <w:rPr>
          <w:rFonts w:hint="eastAsia"/>
          <w:color w:val="auto"/>
          <w:highlight w:val="none"/>
        </w:rPr>
        <w:t>改进措施</w:t>
      </w:r>
      <w:r>
        <w:rPr>
          <w:color w:val="auto"/>
          <w:highlight w:val="none"/>
        </w:rPr>
        <w:t>开展</w:t>
      </w:r>
      <w:r>
        <w:rPr>
          <w:rFonts w:hint="eastAsia"/>
          <w:color w:val="auto"/>
          <w:highlight w:val="none"/>
        </w:rPr>
        <w:t>评估</w:t>
      </w:r>
      <w:r>
        <w:rPr>
          <w:color w:val="auto"/>
          <w:highlight w:val="none"/>
        </w:rPr>
        <w:t>，确认其得到有效实施，并评估实施产生的影响。</w:t>
      </w:r>
    </w:p>
    <w:p w14:paraId="363AE151">
      <w:pPr>
        <w:pStyle w:val="108"/>
        <w:spacing w:before="156" w:after="156"/>
        <w:rPr>
          <w:bCs/>
          <w:color w:val="auto"/>
          <w:highlight w:val="none"/>
        </w:rPr>
      </w:pPr>
      <w:bookmarkStart w:id="236" w:name="_Toc29817"/>
      <w:bookmarkStart w:id="237" w:name="_Toc29419"/>
      <w:r>
        <w:rPr>
          <w:color w:val="auto"/>
          <w:highlight w:val="none"/>
        </w:rPr>
        <w:t>学习、创新与转型</w:t>
      </w:r>
      <w:bookmarkEnd w:id="236"/>
      <w:bookmarkEnd w:id="237"/>
    </w:p>
    <w:p w14:paraId="5E0F14C4">
      <w:pPr>
        <w:pStyle w:val="59"/>
        <w:ind w:firstLine="420"/>
        <w:rPr>
          <w:color w:val="auto"/>
          <w:highlight w:val="none"/>
        </w:rPr>
      </w:pPr>
      <w:r>
        <w:rPr>
          <w:color w:val="auto"/>
          <w:highlight w:val="none"/>
        </w:rPr>
        <w:t>学习活动可通过多种形式开展，包括一系列专门用于提升预防与预测能力的模拟演练及实操训练。学习所得</w:t>
      </w:r>
      <w:r>
        <w:rPr>
          <w:rFonts w:hint="eastAsia"/>
          <w:color w:val="auto"/>
          <w:highlight w:val="none"/>
        </w:rPr>
        <w:t>宜</w:t>
      </w:r>
      <w:r>
        <w:rPr>
          <w:color w:val="auto"/>
          <w:highlight w:val="none"/>
        </w:rPr>
        <w:t>融入未来预测模型，为</w:t>
      </w:r>
      <w:r>
        <w:rPr>
          <w:rFonts w:hint="eastAsia"/>
          <w:color w:val="auto"/>
          <w:highlight w:val="none"/>
        </w:rPr>
        <w:t>发展</w:t>
      </w:r>
      <w:r>
        <w:rPr>
          <w:color w:val="auto"/>
          <w:highlight w:val="none"/>
        </w:rPr>
        <w:t>规划</w:t>
      </w:r>
      <w:r>
        <w:rPr>
          <w:rFonts w:hint="eastAsia"/>
          <w:color w:val="auto"/>
          <w:highlight w:val="none"/>
        </w:rPr>
        <w:t>制定</w:t>
      </w:r>
      <w:r>
        <w:rPr>
          <w:color w:val="auto"/>
          <w:highlight w:val="none"/>
        </w:rPr>
        <w:t>提供支撑。危机与中断事件会推动城市系统发生变革，增强其适应性，使其更易于接纳新的机遇并实现转型。为强化学习与创新工作，</w:t>
      </w:r>
      <w:r>
        <w:rPr>
          <w:rFonts w:hint="eastAsia"/>
          <w:color w:val="auto"/>
          <w:highlight w:val="none"/>
        </w:rPr>
        <w:t>城市韧性建设领导小组宜</w:t>
      </w:r>
      <w:r>
        <w:rPr>
          <w:color w:val="auto"/>
          <w:highlight w:val="none"/>
        </w:rPr>
        <w:t>：</w:t>
      </w:r>
    </w:p>
    <w:p w14:paraId="3361BF54">
      <w:pPr>
        <w:pStyle w:val="177"/>
        <w:numPr>
          <w:ilvl w:val="0"/>
          <w:numId w:val="86"/>
        </w:numPr>
        <w:bidi w:val="0"/>
        <w:ind w:left="851" w:leftChars="0" w:hanging="426" w:firstLineChars="0"/>
        <w:rPr>
          <w:color w:val="auto"/>
          <w:highlight w:val="none"/>
        </w:rPr>
      </w:pPr>
      <w:r>
        <w:rPr>
          <w:color w:val="auto"/>
          <w:highlight w:val="none"/>
        </w:rPr>
        <w:t>在城市区域范围内培育学习与创新文化，推动知识与能力向企业及社区传递；</w:t>
      </w:r>
    </w:p>
    <w:p w14:paraId="44940791">
      <w:pPr>
        <w:pStyle w:val="177"/>
        <w:numPr>
          <w:ilvl w:val="0"/>
          <w:numId w:val="86"/>
        </w:numPr>
        <w:bidi w:val="0"/>
        <w:ind w:left="851" w:leftChars="0" w:hanging="426" w:firstLineChars="0"/>
        <w:rPr>
          <w:color w:val="auto"/>
          <w:highlight w:val="none"/>
        </w:rPr>
      </w:pPr>
      <w:r>
        <w:rPr>
          <w:rFonts w:hint="eastAsia"/>
          <w:color w:val="auto"/>
          <w:highlight w:val="none"/>
        </w:rPr>
        <w:t>帮助相关</w:t>
      </w:r>
      <w:r>
        <w:rPr>
          <w:color w:val="auto"/>
          <w:highlight w:val="none"/>
        </w:rPr>
        <w:t>人员尽早识别潜在问题与机遇，提升灵活应变、快速响应及有效处置能力；</w:t>
      </w:r>
    </w:p>
    <w:p w14:paraId="182E6E3A">
      <w:pPr>
        <w:pStyle w:val="177"/>
        <w:numPr>
          <w:ilvl w:val="0"/>
          <w:numId w:val="86"/>
        </w:numPr>
        <w:bidi w:val="0"/>
        <w:ind w:left="851" w:leftChars="0" w:hanging="426" w:firstLineChars="0"/>
        <w:rPr>
          <w:color w:val="auto"/>
          <w:highlight w:val="none"/>
        </w:rPr>
      </w:pPr>
      <w:r>
        <w:rPr>
          <w:color w:val="auto"/>
          <w:highlight w:val="none"/>
        </w:rPr>
        <w:t>考虑与其他城市及</w:t>
      </w:r>
      <w:r>
        <w:rPr>
          <w:rFonts w:hint="eastAsia"/>
          <w:color w:val="auto"/>
          <w:highlight w:val="none"/>
        </w:rPr>
        <w:t>相关</w:t>
      </w:r>
      <w:r>
        <w:rPr>
          <w:color w:val="auto"/>
          <w:highlight w:val="none"/>
        </w:rPr>
        <w:t>地区构建合作伙伴关系与协作机制；</w:t>
      </w:r>
    </w:p>
    <w:p w14:paraId="6AD31083">
      <w:pPr>
        <w:pStyle w:val="177"/>
        <w:numPr>
          <w:ilvl w:val="0"/>
          <w:numId w:val="86"/>
        </w:numPr>
        <w:bidi w:val="0"/>
        <w:ind w:left="851" w:leftChars="0" w:hanging="426" w:firstLineChars="0"/>
        <w:rPr>
          <w:color w:val="auto"/>
          <w:highlight w:val="none"/>
        </w:rPr>
      </w:pPr>
      <w:r>
        <w:rPr>
          <w:color w:val="auto"/>
          <w:highlight w:val="none"/>
        </w:rPr>
        <w:t>每次事件后，开展公开透明、实事求是的复盘总结，确保经验教训可汲取；</w:t>
      </w:r>
    </w:p>
    <w:p w14:paraId="180A60B7">
      <w:pPr>
        <w:pStyle w:val="177"/>
        <w:numPr>
          <w:ilvl w:val="0"/>
          <w:numId w:val="86"/>
        </w:numPr>
        <w:bidi w:val="0"/>
        <w:ind w:left="851" w:leftChars="0" w:hanging="426" w:firstLineChars="0"/>
        <w:rPr>
          <w:color w:val="auto"/>
          <w:highlight w:val="none"/>
        </w:rPr>
      </w:pPr>
      <w:r>
        <w:rPr>
          <w:color w:val="auto"/>
          <w:highlight w:val="none"/>
        </w:rPr>
        <w:t>积极探寻</w:t>
      </w:r>
      <w:r>
        <w:rPr>
          <w:rFonts w:hint="eastAsia"/>
          <w:color w:val="auto"/>
          <w:highlight w:val="none"/>
        </w:rPr>
        <w:t>“恢复提升”</w:t>
      </w:r>
      <w:r>
        <w:rPr>
          <w:color w:val="auto"/>
          <w:highlight w:val="none"/>
        </w:rPr>
        <w:t>契机，为城市系统注入更强韧性；</w:t>
      </w:r>
    </w:p>
    <w:p w14:paraId="7EBE8D0F">
      <w:pPr>
        <w:pStyle w:val="177"/>
        <w:numPr>
          <w:ilvl w:val="0"/>
          <w:numId w:val="86"/>
        </w:numPr>
        <w:bidi w:val="0"/>
        <w:ind w:left="851" w:leftChars="0" w:hanging="426" w:firstLineChars="0"/>
        <w:rPr>
          <w:color w:val="auto"/>
          <w:highlight w:val="none"/>
        </w:rPr>
      </w:pPr>
      <w:r>
        <w:rPr>
          <w:color w:val="auto"/>
          <w:highlight w:val="none"/>
        </w:rPr>
        <w:t>对城市韧性战略框架下已实施举措开展评估，并将相关建议</w:t>
      </w:r>
      <w:r>
        <w:rPr>
          <w:rFonts w:hint="eastAsia"/>
          <w:color w:val="auto"/>
          <w:highlight w:val="none"/>
        </w:rPr>
        <w:t>报告</w:t>
      </w:r>
      <w:r>
        <w:rPr>
          <w:color w:val="auto"/>
          <w:highlight w:val="none"/>
        </w:rPr>
        <w:t>至领导层。</w:t>
      </w:r>
    </w:p>
    <w:p w14:paraId="7B888597">
      <w:pPr>
        <w:pStyle w:val="108"/>
        <w:spacing w:before="156" w:after="156"/>
        <w:rPr>
          <w:bCs/>
          <w:color w:val="auto"/>
          <w:highlight w:val="none"/>
        </w:rPr>
      </w:pPr>
      <w:bookmarkStart w:id="238" w:name="_Toc6374"/>
      <w:bookmarkStart w:id="239" w:name="_Toc26364"/>
      <w:r>
        <w:rPr>
          <w:rFonts w:hint="eastAsia"/>
          <w:color w:val="auto"/>
          <w:highlight w:val="none"/>
        </w:rPr>
        <w:t>定期</w:t>
      </w:r>
      <w:r>
        <w:rPr>
          <w:color w:val="auto"/>
          <w:highlight w:val="none"/>
        </w:rPr>
        <w:t>评估</w:t>
      </w:r>
      <w:bookmarkEnd w:id="238"/>
      <w:bookmarkEnd w:id="239"/>
    </w:p>
    <w:p w14:paraId="772DBDBC">
      <w:pPr>
        <w:pStyle w:val="59"/>
        <w:ind w:firstLine="420"/>
        <w:rPr>
          <w:color w:val="auto"/>
          <w:highlight w:val="none"/>
        </w:rPr>
      </w:pPr>
      <w:r>
        <w:rPr>
          <w:rFonts w:hint="eastAsia"/>
          <w:color w:val="auto"/>
          <w:highlight w:val="none"/>
        </w:rPr>
        <w:t>领导小组组长与战略团队宜定期开展</w:t>
      </w:r>
      <w:r>
        <w:rPr>
          <w:color w:val="auto"/>
          <w:highlight w:val="none"/>
        </w:rPr>
        <w:t>城市韧性评估工作，明确城市韧性能力</w:t>
      </w:r>
      <w:r>
        <w:rPr>
          <w:rFonts w:hint="eastAsia"/>
          <w:color w:val="auto"/>
          <w:highlight w:val="none"/>
        </w:rPr>
        <w:t>各环节</w:t>
      </w:r>
      <w:r>
        <w:rPr>
          <w:color w:val="auto"/>
          <w:highlight w:val="none"/>
        </w:rPr>
        <w:t>的推进情况，</w:t>
      </w:r>
      <w:r>
        <w:rPr>
          <w:rFonts w:hint="eastAsia"/>
          <w:color w:val="auto"/>
          <w:highlight w:val="none"/>
        </w:rPr>
        <w:t>并</w:t>
      </w:r>
      <w:r>
        <w:rPr>
          <w:color w:val="auto"/>
          <w:highlight w:val="none"/>
        </w:rPr>
        <w:t>将</w:t>
      </w:r>
      <w:r>
        <w:rPr>
          <w:rFonts w:hint="eastAsia"/>
          <w:color w:val="auto"/>
          <w:highlight w:val="none"/>
        </w:rPr>
        <w:t>现状</w:t>
      </w:r>
      <w:r>
        <w:rPr>
          <w:color w:val="auto"/>
          <w:highlight w:val="none"/>
        </w:rPr>
        <w:t>水平与既定目标进行对比</w:t>
      </w:r>
      <w:r>
        <w:rPr>
          <w:rFonts w:hint="eastAsia"/>
          <w:color w:val="auto"/>
          <w:highlight w:val="none"/>
        </w:rPr>
        <w:t>，了解差距和不足。</w:t>
      </w:r>
    </w:p>
    <w:p w14:paraId="58F07ADA">
      <w:pPr>
        <w:pStyle w:val="108"/>
        <w:spacing w:before="156" w:after="156"/>
        <w:rPr>
          <w:bCs/>
          <w:color w:val="auto"/>
          <w:highlight w:val="none"/>
        </w:rPr>
      </w:pPr>
      <w:bookmarkStart w:id="240" w:name="_Toc8248"/>
      <w:bookmarkEnd w:id="240"/>
      <w:bookmarkStart w:id="241" w:name="_Toc16621"/>
      <w:bookmarkStart w:id="242" w:name="_Toc24419"/>
      <w:bookmarkStart w:id="243" w:name="_Toc27515"/>
      <w:bookmarkStart w:id="244" w:name="_Toc206170555"/>
      <w:r>
        <w:rPr>
          <w:rFonts w:hint="eastAsia"/>
          <w:color w:val="auto"/>
          <w:highlight w:val="none"/>
        </w:rPr>
        <w:t>推动</w:t>
      </w:r>
      <w:r>
        <w:rPr>
          <w:color w:val="auto"/>
          <w:highlight w:val="none"/>
        </w:rPr>
        <w:t>城市韧性持续提升</w:t>
      </w:r>
      <w:bookmarkEnd w:id="241"/>
      <w:bookmarkEnd w:id="242"/>
      <w:bookmarkEnd w:id="243"/>
      <w:bookmarkEnd w:id="244"/>
    </w:p>
    <w:p w14:paraId="389F6DC6">
      <w:pPr>
        <w:pStyle w:val="168"/>
        <w:bidi w:val="0"/>
        <w:rPr>
          <w:color w:val="auto"/>
          <w:highlight w:val="none"/>
        </w:rPr>
      </w:pPr>
      <w:r>
        <w:rPr>
          <w:color w:val="auto"/>
          <w:highlight w:val="none"/>
        </w:rPr>
        <w:t>公众对风险的认知具有复杂性特征：一方面，人群倾向于关注近期发生的灾害事件，而非自身实际面临的最高风险；另一方面，若未直接受到灾害影响，公众通常会快速</w:t>
      </w:r>
      <w:r>
        <w:rPr>
          <w:rFonts w:hint="eastAsia"/>
          <w:color w:val="auto"/>
          <w:highlight w:val="none"/>
        </w:rPr>
        <w:t>淡忘相关</w:t>
      </w:r>
      <w:r>
        <w:rPr>
          <w:color w:val="auto"/>
          <w:highlight w:val="none"/>
        </w:rPr>
        <w:t>灾害记忆。此外，相较于气候变化、人口增长等可能影响后代的长期性问题，大多数公众更关注</w:t>
      </w:r>
      <w:r>
        <w:rPr>
          <w:rFonts w:hint="eastAsia"/>
          <w:color w:val="auto"/>
          <w:highlight w:val="none"/>
        </w:rPr>
        <w:t>例如流行病等</w:t>
      </w:r>
      <w:r>
        <w:rPr>
          <w:color w:val="auto"/>
          <w:highlight w:val="none"/>
        </w:rPr>
        <w:t>对日常生活有</w:t>
      </w:r>
      <w:r>
        <w:rPr>
          <w:rFonts w:hint="eastAsia"/>
          <w:color w:val="auto"/>
          <w:highlight w:val="none"/>
        </w:rPr>
        <w:t>现实</w:t>
      </w:r>
      <w:r>
        <w:rPr>
          <w:color w:val="auto"/>
          <w:highlight w:val="none"/>
        </w:rPr>
        <w:t>影响的</w:t>
      </w:r>
      <w:r>
        <w:rPr>
          <w:rFonts w:hint="eastAsia"/>
          <w:color w:val="auto"/>
          <w:highlight w:val="none"/>
        </w:rPr>
        <w:t>问题</w:t>
      </w:r>
      <w:r>
        <w:rPr>
          <w:color w:val="auto"/>
          <w:highlight w:val="none"/>
        </w:rPr>
        <w:t>。</w:t>
      </w:r>
    </w:p>
    <w:p w14:paraId="6C8CBC05">
      <w:pPr>
        <w:pStyle w:val="168"/>
        <w:bidi w:val="0"/>
        <w:rPr>
          <w:color w:val="auto"/>
          <w:highlight w:val="none"/>
        </w:rPr>
      </w:pPr>
      <w:r>
        <w:rPr>
          <w:color w:val="auto"/>
          <w:highlight w:val="none"/>
        </w:rPr>
        <w:t>为推动个人及组织参与城市韧性建设并有效发挥作用，需清晰阐释风险本质、韧性建设价值及综合效益。</w:t>
      </w:r>
      <w:r>
        <w:rPr>
          <w:rFonts w:hint="eastAsia"/>
          <w:color w:val="auto"/>
          <w:highlight w:val="none"/>
        </w:rPr>
        <w:t>宜通过</w:t>
      </w:r>
      <w:r>
        <w:rPr>
          <w:color w:val="auto"/>
          <w:highlight w:val="none"/>
        </w:rPr>
        <w:t>多种途径激励组织投资于韧性建设，包括</w:t>
      </w:r>
      <w:r>
        <w:rPr>
          <w:rFonts w:hint="eastAsia"/>
          <w:color w:val="auto"/>
          <w:highlight w:val="none"/>
        </w:rPr>
        <w:t>政策法规标准要求</w:t>
      </w:r>
      <w:r>
        <w:rPr>
          <w:color w:val="auto"/>
          <w:highlight w:val="none"/>
        </w:rPr>
        <w:t>，以及让组织能够对韧性价值与风险价值进行衡量和监测。</w:t>
      </w:r>
    </w:p>
    <w:p w14:paraId="786DA8F4">
      <w:pPr>
        <w:pStyle w:val="168"/>
        <w:bidi w:val="0"/>
        <w:rPr>
          <w:color w:val="auto"/>
          <w:highlight w:val="none"/>
        </w:rPr>
      </w:pPr>
      <w:r>
        <w:rPr>
          <w:rFonts w:hint="eastAsia"/>
          <w:color w:val="auto"/>
          <w:highlight w:val="none"/>
        </w:rPr>
        <w:t>领导小组组长宜通过</w:t>
      </w:r>
      <w:r>
        <w:rPr>
          <w:color w:val="auto"/>
          <w:highlight w:val="none"/>
        </w:rPr>
        <w:t>以下行动，培育韧性文化与思维模式，推动形成持续参与、学习与改进的良性循环：</w:t>
      </w:r>
    </w:p>
    <w:p w14:paraId="3E8C1515">
      <w:pPr>
        <w:pStyle w:val="177"/>
        <w:numPr>
          <w:ilvl w:val="0"/>
          <w:numId w:val="87"/>
        </w:numPr>
        <w:bidi w:val="0"/>
        <w:ind w:left="851" w:leftChars="0" w:hanging="426" w:firstLineChars="0"/>
        <w:rPr>
          <w:color w:val="auto"/>
          <w:highlight w:val="none"/>
        </w:rPr>
      </w:pPr>
      <w:r>
        <w:rPr>
          <w:color w:val="auto"/>
          <w:highlight w:val="none"/>
        </w:rPr>
        <w:t>阐明投资</w:t>
      </w:r>
      <w:r>
        <w:rPr>
          <w:rFonts w:hint="eastAsia"/>
          <w:color w:val="auto"/>
          <w:highlight w:val="none"/>
        </w:rPr>
        <w:t>城市韧性举措</w:t>
      </w:r>
      <w:r>
        <w:rPr>
          <w:color w:val="auto"/>
          <w:highlight w:val="none"/>
        </w:rPr>
        <w:t>的价值所在；</w:t>
      </w:r>
    </w:p>
    <w:p w14:paraId="05BC0AE8">
      <w:pPr>
        <w:pStyle w:val="177"/>
        <w:numPr>
          <w:ilvl w:val="0"/>
          <w:numId w:val="87"/>
        </w:numPr>
        <w:bidi w:val="0"/>
        <w:ind w:left="851" w:leftChars="0" w:hanging="426" w:firstLineChars="0"/>
        <w:rPr>
          <w:color w:val="auto"/>
          <w:highlight w:val="none"/>
        </w:rPr>
      </w:pPr>
      <w:r>
        <w:rPr>
          <w:color w:val="auto"/>
          <w:highlight w:val="none"/>
        </w:rPr>
        <w:t>面向</w:t>
      </w:r>
      <w:r>
        <w:rPr>
          <w:rFonts w:hint="eastAsia"/>
          <w:color w:val="auto"/>
          <w:highlight w:val="none"/>
        </w:rPr>
        <w:t>公众</w:t>
      </w:r>
      <w:r>
        <w:rPr>
          <w:color w:val="auto"/>
          <w:highlight w:val="none"/>
        </w:rPr>
        <w:t>及利益相关方，开展风险管理与城市韧性实践的相关知识教育；</w:t>
      </w:r>
    </w:p>
    <w:p w14:paraId="08DEC3D8">
      <w:pPr>
        <w:pStyle w:val="177"/>
        <w:numPr>
          <w:ilvl w:val="0"/>
          <w:numId w:val="87"/>
        </w:numPr>
        <w:bidi w:val="0"/>
        <w:ind w:left="851" w:leftChars="0" w:hanging="426" w:firstLineChars="0"/>
        <w:rPr>
          <w:color w:val="auto"/>
          <w:highlight w:val="none"/>
        </w:rPr>
      </w:pPr>
      <w:r>
        <w:rPr>
          <w:color w:val="auto"/>
          <w:highlight w:val="none"/>
        </w:rPr>
        <w:t>赋能并协助社区构建自主韧性体系，推动社区主导韧性建设；</w:t>
      </w:r>
    </w:p>
    <w:p w14:paraId="7C151D95">
      <w:pPr>
        <w:pStyle w:val="177"/>
        <w:numPr>
          <w:ilvl w:val="0"/>
          <w:numId w:val="87"/>
        </w:numPr>
        <w:bidi w:val="0"/>
        <w:ind w:left="851" w:leftChars="0" w:hanging="426" w:firstLineChars="0"/>
        <w:rPr>
          <w:color w:val="auto"/>
          <w:highlight w:val="none"/>
        </w:rPr>
      </w:pPr>
      <w:r>
        <w:rPr>
          <w:color w:val="auto"/>
          <w:highlight w:val="none"/>
        </w:rPr>
        <w:t>梳理并协调部门间的</w:t>
      </w:r>
      <w:r>
        <w:rPr>
          <w:rFonts w:hint="eastAsia"/>
          <w:color w:val="auto"/>
          <w:highlight w:val="none"/>
        </w:rPr>
        <w:t>相互依赖关系</w:t>
      </w:r>
      <w:r>
        <w:rPr>
          <w:color w:val="auto"/>
          <w:highlight w:val="none"/>
        </w:rPr>
        <w:t>；</w:t>
      </w:r>
    </w:p>
    <w:p w14:paraId="2C57A562">
      <w:pPr>
        <w:pStyle w:val="177"/>
        <w:numPr>
          <w:ilvl w:val="0"/>
          <w:numId w:val="87"/>
        </w:numPr>
        <w:bidi w:val="0"/>
        <w:ind w:left="851" w:leftChars="0" w:hanging="426" w:firstLineChars="0"/>
        <w:rPr>
          <w:color w:val="auto"/>
          <w:highlight w:val="none"/>
        </w:rPr>
      </w:pPr>
      <w:r>
        <w:rPr>
          <w:color w:val="auto"/>
          <w:highlight w:val="none"/>
        </w:rPr>
        <w:t>促进城市与行业间的知识共享及学习交流。</w:t>
      </w:r>
    </w:p>
    <w:p w14:paraId="7A41C8EF">
      <w:pPr>
        <w:pStyle w:val="168"/>
        <w:bidi w:val="0"/>
        <w:rPr>
          <w:color w:val="auto"/>
          <w:highlight w:val="none"/>
        </w:rPr>
      </w:pPr>
      <w:r>
        <w:rPr>
          <w:rFonts w:hint="eastAsia"/>
          <w:color w:val="auto"/>
          <w:highlight w:val="none"/>
        </w:rPr>
        <w:t>城市韧性建设领导小组宜</w:t>
      </w:r>
      <w:r>
        <w:rPr>
          <w:color w:val="auto"/>
          <w:highlight w:val="none"/>
        </w:rPr>
        <w:t>运用激励手段及法规约束要求，营造韧性文化氛围。具体实施手段包括：</w:t>
      </w:r>
    </w:p>
    <w:p w14:paraId="5063B6B3">
      <w:pPr>
        <w:pStyle w:val="177"/>
        <w:numPr>
          <w:ilvl w:val="0"/>
          <w:numId w:val="88"/>
        </w:numPr>
        <w:bidi w:val="0"/>
        <w:ind w:left="851" w:leftChars="0" w:hanging="426" w:firstLineChars="0"/>
        <w:rPr>
          <w:color w:val="auto"/>
          <w:highlight w:val="none"/>
        </w:rPr>
      </w:pPr>
      <w:r>
        <w:rPr>
          <w:color w:val="auto"/>
          <w:highlight w:val="none"/>
        </w:rPr>
        <w:t>优化韧性评估方法，推动标准的广泛应用；</w:t>
      </w:r>
    </w:p>
    <w:p w14:paraId="287BCA7C">
      <w:pPr>
        <w:pStyle w:val="177"/>
        <w:numPr>
          <w:ilvl w:val="0"/>
          <w:numId w:val="88"/>
        </w:numPr>
        <w:bidi w:val="0"/>
        <w:ind w:left="851" w:leftChars="0" w:hanging="426" w:firstLineChars="0"/>
        <w:rPr>
          <w:color w:val="auto"/>
          <w:highlight w:val="none"/>
        </w:rPr>
      </w:pPr>
      <w:r>
        <w:rPr>
          <w:color w:val="auto"/>
          <w:highlight w:val="none"/>
        </w:rPr>
        <w:t>协同政府部门，在相关行业领域植入法规驱动因素；</w:t>
      </w:r>
    </w:p>
    <w:p w14:paraId="5D598D90">
      <w:pPr>
        <w:pStyle w:val="177"/>
        <w:numPr>
          <w:ilvl w:val="0"/>
          <w:numId w:val="88"/>
        </w:numPr>
        <w:bidi w:val="0"/>
        <w:ind w:left="851" w:leftChars="0" w:hanging="426" w:firstLineChars="0"/>
        <w:rPr>
          <w:color w:val="auto"/>
          <w:highlight w:val="none"/>
        </w:rPr>
      </w:pPr>
      <w:r>
        <w:rPr>
          <w:rFonts w:hint="eastAsia"/>
          <w:color w:val="auto"/>
          <w:highlight w:val="none"/>
        </w:rPr>
        <w:t>鼓励和引导社会力量参与韧性建设投资</w:t>
      </w:r>
      <w:r>
        <w:rPr>
          <w:color w:val="auto"/>
          <w:highlight w:val="none"/>
        </w:rPr>
        <w:t>（如保险费率优惠或其他类似手段）；</w:t>
      </w:r>
    </w:p>
    <w:p w14:paraId="145E5188">
      <w:pPr>
        <w:pStyle w:val="177"/>
        <w:numPr>
          <w:ilvl w:val="0"/>
          <w:numId w:val="88"/>
        </w:numPr>
        <w:bidi w:val="0"/>
        <w:ind w:left="851" w:leftChars="0" w:hanging="426" w:firstLineChars="0"/>
        <w:rPr>
          <w:color w:val="auto"/>
          <w:highlight w:val="none"/>
        </w:rPr>
      </w:pPr>
      <w:r>
        <w:rPr>
          <w:color w:val="auto"/>
          <w:highlight w:val="none"/>
        </w:rPr>
        <w:t>开展城市间的知识共享及学习交流。</w:t>
      </w:r>
    </w:p>
    <w:p w14:paraId="60BFF62C">
      <w:pPr>
        <w:pStyle w:val="59"/>
        <w:ind w:firstLine="0" w:firstLineChars="0"/>
        <w:rPr>
          <w:color w:val="auto"/>
          <w:highlight w:val="none"/>
        </w:rPr>
      </w:pPr>
      <w:r>
        <w:rPr>
          <w:color w:val="auto"/>
          <w:highlight w:val="none"/>
        </w:rPr>
        <w:br w:type="page"/>
      </w:r>
      <w:bookmarkEnd w:id="187"/>
      <w:bookmarkStart w:id="245" w:name="_Toc8729"/>
      <w:bookmarkEnd w:id="245"/>
    </w:p>
    <w:p w14:paraId="794EEB23">
      <w:pPr>
        <w:pStyle w:val="59"/>
        <w:ind w:firstLine="420"/>
        <w:rPr>
          <w:color w:val="auto"/>
          <w:highlight w:val="none"/>
        </w:rPr>
        <w:sectPr>
          <w:footerReference r:id="rId15" w:type="default"/>
          <w:pgSz w:w="11906" w:h="16838"/>
          <w:pgMar w:top="1928" w:right="1134" w:bottom="1134" w:left="1134" w:header="1418" w:footer="1134" w:gutter="284"/>
          <w:pgNumType w:fmt="decimal" w:start="1"/>
          <w:cols w:space="425" w:num="1"/>
          <w:formProt w:val="0"/>
          <w:docGrid w:type="lines" w:linePitch="312" w:charSpace="0"/>
        </w:sectPr>
      </w:pPr>
    </w:p>
    <w:bookmarkEnd w:id="23"/>
    <w:p w14:paraId="639F84AA">
      <w:pPr>
        <w:pStyle w:val="201"/>
        <w:rPr>
          <w:rFonts w:hint="eastAsia"/>
          <w:vanish w:val="0"/>
          <w:color w:val="auto"/>
          <w:highlight w:val="none"/>
        </w:rPr>
      </w:pPr>
      <w:bookmarkStart w:id="246" w:name="BookMark5"/>
    </w:p>
    <w:p w14:paraId="79B15DC6">
      <w:pPr>
        <w:pStyle w:val="202"/>
        <w:rPr>
          <w:vanish w:val="0"/>
          <w:color w:val="auto"/>
          <w:highlight w:val="none"/>
        </w:rPr>
      </w:pPr>
    </w:p>
    <w:p w14:paraId="7DDCD833">
      <w:pPr>
        <w:pStyle w:val="79"/>
        <w:spacing w:after="156"/>
        <w:rPr>
          <w:color w:val="auto"/>
          <w:highlight w:val="none"/>
        </w:rPr>
      </w:pPr>
      <w:bookmarkStart w:id="247" w:name="_Toc7905"/>
      <w:r>
        <w:rPr>
          <w:color w:val="auto"/>
          <w:highlight w:val="none"/>
        </w:rPr>
        <w:br w:type="textWrapping"/>
      </w:r>
      <w:r>
        <w:rPr>
          <w:rFonts w:hint="eastAsia"/>
          <w:color w:val="auto"/>
          <w:highlight w:val="none"/>
        </w:rPr>
        <w:t>（资料性）</w:t>
      </w:r>
      <w:r>
        <w:rPr>
          <w:color w:val="auto"/>
          <w:highlight w:val="none"/>
        </w:rPr>
        <w:br w:type="textWrapping"/>
      </w:r>
      <w:r>
        <w:rPr>
          <w:rFonts w:hint="eastAsia"/>
          <w:color w:val="auto"/>
          <w:highlight w:val="none"/>
        </w:rPr>
        <w:t>城市韧性框架实施清单</w:t>
      </w:r>
      <w:bookmarkEnd w:id="247"/>
    </w:p>
    <w:p w14:paraId="2E78D8ED">
      <w:pPr>
        <w:pStyle w:val="59"/>
        <w:ind w:firstLine="420"/>
        <w:rPr>
          <w:color w:val="auto"/>
          <w:highlight w:val="none"/>
        </w:rPr>
      </w:pPr>
      <w:r>
        <w:rPr>
          <w:color w:val="auto"/>
          <w:highlight w:val="none"/>
        </w:rPr>
        <w:t>表A.1至表A.5为城市韧性</w:t>
      </w:r>
      <w:r>
        <w:rPr>
          <w:rFonts w:hint="eastAsia"/>
          <w:color w:val="auto"/>
          <w:highlight w:val="none"/>
        </w:rPr>
        <w:t>建设领导小组</w:t>
      </w:r>
      <w:r>
        <w:rPr>
          <w:color w:val="auto"/>
          <w:highlight w:val="none"/>
        </w:rPr>
        <w:t>及</w:t>
      </w:r>
      <w:r>
        <w:rPr>
          <w:rFonts w:hint="eastAsia"/>
          <w:color w:val="auto"/>
          <w:highlight w:val="none"/>
        </w:rPr>
        <w:t>成员单位</w:t>
      </w:r>
      <w:r>
        <w:rPr>
          <w:color w:val="auto"/>
          <w:highlight w:val="none"/>
        </w:rPr>
        <w:t>提供了一份</w:t>
      </w:r>
      <w:r>
        <w:rPr>
          <w:rFonts w:hint="eastAsia"/>
          <w:color w:val="auto"/>
          <w:highlight w:val="none"/>
        </w:rPr>
        <w:t>城市</w:t>
      </w:r>
      <w:r>
        <w:rPr>
          <w:color w:val="auto"/>
          <w:highlight w:val="none"/>
        </w:rPr>
        <w:t>韧性战略</w:t>
      </w:r>
      <w:r>
        <w:rPr>
          <w:rFonts w:hint="eastAsia"/>
          <w:color w:val="auto"/>
          <w:highlight w:val="none"/>
        </w:rPr>
        <w:t>制定</w:t>
      </w:r>
      <w:r>
        <w:rPr>
          <w:color w:val="auto"/>
          <w:highlight w:val="none"/>
        </w:rPr>
        <w:t>与实施过程中的预期活动</w:t>
      </w:r>
      <w:r>
        <w:rPr>
          <w:rFonts w:hint="eastAsia"/>
          <w:color w:val="auto"/>
          <w:highlight w:val="none"/>
        </w:rPr>
        <w:t>检查清单</w:t>
      </w:r>
      <w:r>
        <w:rPr>
          <w:color w:val="auto"/>
          <w:highlight w:val="none"/>
        </w:rPr>
        <w:t>，其中明确了各项活动的负责人以及</w:t>
      </w:r>
      <w:r>
        <w:rPr>
          <w:rFonts w:hint="eastAsia"/>
          <w:color w:val="auto"/>
          <w:highlight w:val="none"/>
        </w:rPr>
        <w:t>对应</w:t>
      </w:r>
      <w:r>
        <w:rPr>
          <w:color w:val="auto"/>
          <w:highlight w:val="none"/>
        </w:rPr>
        <w:t>的利益相关方。</w:t>
      </w:r>
    </w:p>
    <w:p w14:paraId="7DF6C957">
      <w:pPr>
        <w:pStyle w:val="182"/>
        <w:rPr>
          <w:color w:val="auto"/>
          <w:highlight w:val="none"/>
        </w:rPr>
      </w:pPr>
      <w:r>
        <w:rPr>
          <w:rFonts w:hint="eastAsia"/>
          <w:color w:val="auto"/>
          <w:highlight w:val="none"/>
        </w:rPr>
        <w:t>有关</w:t>
      </w:r>
      <w:r>
        <w:rPr>
          <w:color w:val="auto"/>
          <w:highlight w:val="none"/>
        </w:rPr>
        <w:t>城市韧性成熟度评估模型的更多信息，参</w:t>
      </w:r>
      <w:r>
        <w:rPr>
          <w:rFonts w:hint="eastAsia"/>
          <w:color w:val="auto"/>
          <w:highlight w:val="none"/>
        </w:rPr>
        <w:t>见</w:t>
      </w:r>
      <w:r>
        <w:rPr>
          <w:color w:val="auto"/>
          <w:highlight w:val="none"/>
        </w:rPr>
        <w:t>BS 67000。</w:t>
      </w:r>
    </w:p>
    <w:p w14:paraId="6B9B457D">
      <w:pPr>
        <w:pStyle w:val="80"/>
        <w:spacing w:before="156" w:after="156"/>
        <w:rPr>
          <w:color w:val="auto"/>
          <w:highlight w:val="none"/>
        </w:rPr>
      </w:pPr>
      <w:r>
        <w:rPr>
          <w:color w:val="auto"/>
          <w:highlight w:val="none"/>
        </w:rPr>
        <w:t>组织与</w:t>
      </w:r>
      <w:r>
        <w:rPr>
          <w:rFonts w:hint="eastAsia"/>
          <w:color w:val="auto"/>
          <w:highlight w:val="none"/>
        </w:rPr>
        <w:t>界定</w:t>
      </w:r>
    </w:p>
    <w:tbl>
      <w:tblPr>
        <w:tblStyle w:val="27"/>
        <w:tblW w:w="5034" w:type="pct"/>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57" w:type="dxa"/>
          <w:left w:w="100" w:type="dxa"/>
          <w:bottom w:w="57" w:type="dxa"/>
          <w:right w:w="100" w:type="dxa"/>
        </w:tblCellMar>
      </w:tblPr>
      <w:tblGrid>
        <w:gridCol w:w="499"/>
        <w:gridCol w:w="4493"/>
        <w:gridCol w:w="1882"/>
        <w:gridCol w:w="2523"/>
      </w:tblGrid>
      <w:tr w14:paraId="78B4847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57" w:type="dxa"/>
            <w:left w:w="100" w:type="dxa"/>
            <w:bottom w:w="57" w:type="dxa"/>
            <w:right w:w="100" w:type="dxa"/>
          </w:tblCellMar>
        </w:tblPrEx>
        <w:trPr>
          <w:trHeight w:val="467" w:hRule="atLeast"/>
          <w:jc w:val="center"/>
        </w:trPr>
        <w:tc>
          <w:tcPr>
            <w:tcW w:w="266" w:type="pct"/>
            <w:tcBorders>
              <w:bottom w:val="single" w:color="000000" w:sz="8" w:space="0"/>
            </w:tcBorders>
            <w:shd w:val="clear" w:color="auto" w:fill="BFBFBF"/>
            <w:vAlign w:val="center"/>
          </w:tcPr>
          <w:p w14:paraId="7D0CD888">
            <w:pPr>
              <w:pStyle w:val="59"/>
              <w:ind w:firstLine="361"/>
              <w:jc w:val="center"/>
              <w:rPr>
                <w:b/>
                <w:bCs/>
                <w:color w:val="auto"/>
                <w:sz w:val="18"/>
                <w:highlight w:val="none"/>
              </w:rPr>
            </w:pPr>
          </w:p>
        </w:tc>
        <w:tc>
          <w:tcPr>
            <w:tcW w:w="2390" w:type="pct"/>
            <w:tcBorders>
              <w:bottom w:val="single" w:color="000000" w:sz="8" w:space="0"/>
            </w:tcBorders>
            <w:shd w:val="clear" w:color="auto" w:fill="BFBFBF"/>
            <w:vAlign w:val="center"/>
          </w:tcPr>
          <w:p w14:paraId="73B5A6E0">
            <w:pPr>
              <w:pStyle w:val="59"/>
              <w:ind w:firstLine="0" w:firstLineChars="0"/>
              <w:jc w:val="center"/>
              <w:rPr>
                <w:b/>
                <w:bCs/>
                <w:color w:val="auto"/>
                <w:sz w:val="18"/>
                <w:highlight w:val="none"/>
              </w:rPr>
            </w:pPr>
            <w:r>
              <w:rPr>
                <w:b/>
                <w:color w:val="auto"/>
                <w:sz w:val="18"/>
                <w:highlight w:val="none"/>
              </w:rPr>
              <w:t>活动</w:t>
            </w:r>
            <w:r>
              <w:rPr>
                <w:rFonts w:hint="eastAsia"/>
                <w:b/>
                <w:color w:val="auto"/>
                <w:sz w:val="18"/>
                <w:highlight w:val="none"/>
              </w:rPr>
              <w:t>内容</w:t>
            </w:r>
          </w:p>
        </w:tc>
        <w:tc>
          <w:tcPr>
            <w:tcW w:w="1001" w:type="pct"/>
            <w:tcBorders>
              <w:bottom w:val="single" w:color="000000" w:sz="8" w:space="0"/>
            </w:tcBorders>
            <w:shd w:val="clear" w:color="auto" w:fill="BFBFBF"/>
            <w:vAlign w:val="center"/>
          </w:tcPr>
          <w:p w14:paraId="65715F43">
            <w:pPr>
              <w:pStyle w:val="59"/>
              <w:ind w:firstLine="0" w:firstLineChars="0"/>
              <w:jc w:val="center"/>
              <w:rPr>
                <w:b/>
                <w:bCs/>
                <w:color w:val="auto"/>
                <w:sz w:val="18"/>
                <w:highlight w:val="none"/>
              </w:rPr>
            </w:pPr>
            <w:r>
              <w:rPr>
                <w:b/>
                <w:color w:val="auto"/>
                <w:sz w:val="18"/>
                <w:highlight w:val="none"/>
              </w:rPr>
              <w:t>负责人</w:t>
            </w:r>
          </w:p>
        </w:tc>
        <w:tc>
          <w:tcPr>
            <w:tcW w:w="1342" w:type="pct"/>
            <w:tcBorders>
              <w:bottom w:val="single" w:color="000000" w:sz="8" w:space="0"/>
            </w:tcBorders>
            <w:shd w:val="clear" w:color="auto" w:fill="BFBFBF"/>
            <w:vAlign w:val="center"/>
          </w:tcPr>
          <w:p w14:paraId="79B90744">
            <w:pPr>
              <w:pStyle w:val="59"/>
              <w:ind w:firstLine="0" w:firstLineChars="0"/>
              <w:jc w:val="center"/>
              <w:rPr>
                <w:b/>
                <w:bCs/>
                <w:color w:val="auto"/>
                <w:sz w:val="18"/>
                <w:highlight w:val="none"/>
              </w:rPr>
            </w:pPr>
            <w:r>
              <w:rPr>
                <w:b/>
                <w:color w:val="auto"/>
                <w:sz w:val="18"/>
                <w:highlight w:val="none"/>
              </w:rPr>
              <w:t>利益相关方</w:t>
            </w:r>
          </w:p>
        </w:tc>
      </w:tr>
      <w:tr w14:paraId="5467AF0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57" w:type="dxa"/>
            <w:left w:w="100" w:type="dxa"/>
            <w:bottom w:w="57" w:type="dxa"/>
            <w:right w:w="100" w:type="dxa"/>
          </w:tblCellMar>
        </w:tblPrEx>
        <w:trPr>
          <w:trHeight w:val="467" w:hRule="atLeast"/>
          <w:jc w:val="center"/>
        </w:trPr>
        <w:tc>
          <w:tcPr>
            <w:tcW w:w="266" w:type="pct"/>
            <w:tcBorders>
              <w:top w:val="single" w:color="000000" w:sz="8" w:space="0"/>
            </w:tcBorders>
            <w:vAlign w:val="center"/>
          </w:tcPr>
          <w:p w14:paraId="296D7A5A">
            <w:pPr>
              <w:pStyle w:val="59"/>
              <w:ind w:firstLine="0" w:firstLineChars="0"/>
              <w:jc w:val="center"/>
              <w:rPr>
                <w:color w:val="auto"/>
                <w:sz w:val="18"/>
                <w:highlight w:val="none"/>
              </w:rPr>
            </w:pPr>
            <w:r>
              <w:rPr>
                <w:color w:val="auto"/>
                <w:sz w:val="18"/>
                <w:highlight w:val="none"/>
              </w:rPr>
              <w:t>1</w:t>
            </w:r>
          </w:p>
        </w:tc>
        <w:tc>
          <w:tcPr>
            <w:tcW w:w="2390" w:type="pct"/>
            <w:tcBorders>
              <w:top w:val="single" w:color="000000" w:sz="8" w:space="0"/>
            </w:tcBorders>
            <w:vAlign w:val="center"/>
          </w:tcPr>
          <w:p w14:paraId="6A37F0BC">
            <w:pPr>
              <w:pStyle w:val="59"/>
              <w:ind w:firstLine="0" w:firstLineChars="0"/>
              <w:rPr>
                <w:color w:val="auto"/>
                <w:sz w:val="18"/>
                <w:highlight w:val="none"/>
              </w:rPr>
            </w:pPr>
            <w:r>
              <w:rPr>
                <w:rFonts w:hint="eastAsia"/>
                <w:color w:val="auto"/>
                <w:sz w:val="18"/>
                <w:highlight w:val="none"/>
              </w:rPr>
              <w:t>组建城市韧性建设领导小组</w:t>
            </w:r>
            <w:r>
              <w:rPr>
                <w:color w:val="auto"/>
                <w:sz w:val="18"/>
                <w:highlight w:val="none"/>
              </w:rPr>
              <w:t>并配套支持团队</w:t>
            </w:r>
            <w:r>
              <w:rPr>
                <w:rFonts w:hint="eastAsia"/>
                <w:color w:val="auto"/>
                <w:sz w:val="18"/>
                <w:highlight w:val="none"/>
              </w:rPr>
              <w:t>。</w:t>
            </w:r>
          </w:p>
        </w:tc>
        <w:tc>
          <w:tcPr>
            <w:tcW w:w="1001" w:type="pct"/>
            <w:tcBorders>
              <w:top w:val="single" w:color="000000" w:sz="8" w:space="0"/>
            </w:tcBorders>
            <w:vAlign w:val="center"/>
          </w:tcPr>
          <w:p w14:paraId="5C46DD23">
            <w:pPr>
              <w:pStyle w:val="59"/>
              <w:ind w:firstLine="0" w:firstLineChars="0"/>
              <w:rPr>
                <w:color w:val="auto"/>
                <w:sz w:val="18"/>
                <w:highlight w:val="none"/>
              </w:rPr>
            </w:pPr>
            <w:r>
              <w:rPr>
                <w:rFonts w:hint="eastAsia"/>
                <w:color w:val="auto"/>
                <w:sz w:val="18"/>
                <w:highlight w:val="none"/>
              </w:rPr>
              <w:t>城市韧性建设领导小组</w:t>
            </w:r>
          </w:p>
        </w:tc>
        <w:tc>
          <w:tcPr>
            <w:tcW w:w="1342" w:type="pct"/>
            <w:tcBorders>
              <w:top w:val="single" w:color="000000" w:sz="8" w:space="0"/>
            </w:tcBorders>
            <w:vAlign w:val="center"/>
          </w:tcPr>
          <w:p w14:paraId="45B80348">
            <w:pPr>
              <w:pStyle w:val="59"/>
              <w:ind w:firstLine="360"/>
              <w:rPr>
                <w:color w:val="auto"/>
                <w:sz w:val="18"/>
                <w:highlight w:val="none"/>
              </w:rPr>
            </w:pPr>
          </w:p>
        </w:tc>
      </w:tr>
      <w:tr w14:paraId="531217B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57" w:type="dxa"/>
            <w:left w:w="100" w:type="dxa"/>
            <w:bottom w:w="57" w:type="dxa"/>
            <w:right w:w="100" w:type="dxa"/>
          </w:tblCellMar>
        </w:tblPrEx>
        <w:trPr>
          <w:trHeight w:val="457" w:hRule="atLeast"/>
          <w:jc w:val="center"/>
        </w:trPr>
        <w:tc>
          <w:tcPr>
            <w:tcW w:w="266" w:type="pct"/>
            <w:vAlign w:val="center"/>
          </w:tcPr>
          <w:p w14:paraId="11F49AA3">
            <w:pPr>
              <w:pStyle w:val="59"/>
              <w:ind w:firstLine="0" w:firstLineChars="0"/>
              <w:jc w:val="center"/>
              <w:rPr>
                <w:color w:val="auto"/>
                <w:sz w:val="18"/>
                <w:highlight w:val="none"/>
              </w:rPr>
            </w:pPr>
            <w:r>
              <w:rPr>
                <w:color w:val="auto"/>
                <w:sz w:val="18"/>
                <w:highlight w:val="none"/>
              </w:rPr>
              <w:t>2</w:t>
            </w:r>
          </w:p>
        </w:tc>
        <w:tc>
          <w:tcPr>
            <w:tcW w:w="2390" w:type="pct"/>
            <w:vAlign w:val="center"/>
          </w:tcPr>
          <w:p w14:paraId="4BA2F50E">
            <w:pPr>
              <w:pStyle w:val="59"/>
              <w:ind w:firstLine="0" w:firstLineChars="0"/>
              <w:rPr>
                <w:color w:val="auto"/>
                <w:sz w:val="18"/>
                <w:highlight w:val="none"/>
              </w:rPr>
            </w:pPr>
            <w:r>
              <w:rPr>
                <w:rFonts w:hint="eastAsia"/>
                <w:color w:val="auto"/>
                <w:sz w:val="18"/>
                <w:highlight w:val="none"/>
              </w:rPr>
              <w:t>提供</w:t>
            </w:r>
            <w:r>
              <w:rPr>
                <w:color w:val="auto"/>
                <w:sz w:val="18"/>
                <w:highlight w:val="none"/>
              </w:rPr>
              <w:t>关于城市韧性建设的书面承诺</w:t>
            </w:r>
            <w:r>
              <w:rPr>
                <w:rFonts w:hint="eastAsia"/>
                <w:color w:val="auto"/>
                <w:sz w:val="18"/>
                <w:highlight w:val="none"/>
              </w:rPr>
              <w:t>。</w:t>
            </w:r>
          </w:p>
        </w:tc>
        <w:tc>
          <w:tcPr>
            <w:tcW w:w="1001" w:type="pct"/>
            <w:vAlign w:val="center"/>
          </w:tcPr>
          <w:p w14:paraId="62D661AC">
            <w:pPr>
              <w:pStyle w:val="59"/>
              <w:ind w:firstLine="0" w:firstLineChars="0"/>
              <w:rPr>
                <w:color w:val="auto"/>
                <w:sz w:val="18"/>
                <w:highlight w:val="none"/>
              </w:rPr>
            </w:pPr>
            <w:r>
              <w:rPr>
                <w:rFonts w:hint="eastAsia"/>
                <w:color w:val="auto"/>
                <w:sz w:val="18"/>
                <w:highlight w:val="none"/>
              </w:rPr>
              <w:t>城市韧性建设领导小组</w:t>
            </w:r>
          </w:p>
        </w:tc>
        <w:tc>
          <w:tcPr>
            <w:tcW w:w="1342" w:type="pct"/>
            <w:vAlign w:val="center"/>
          </w:tcPr>
          <w:p w14:paraId="2041C050">
            <w:pPr>
              <w:pStyle w:val="59"/>
              <w:ind w:firstLine="360"/>
              <w:rPr>
                <w:color w:val="auto"/>
                <w:sz w:val="18"/>
                <w:highlight w:val="none"/>
              </w:rPr>
            </w:pPr>
          </w:p>
        </w:tc>
      </w:tr>
      <w:tr w14:paraId="2D07697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57" w:type="dxa"/>
            <w:left w:w="100" w:type="dxa"/>
            <w:bottom w:w="57" w:type="dxa"/>
            <w:right w:w="100" w:type="dxa"/>
          </w:tblCellMar>
        </w:tblPrEx>
        <w:trPr>
          <w:trHeight w:val="457" w:hRule="atLeast"/>
          <w:jc w:val="center"/>
        </w:trPr>
        <w:tc>
          <w:tcPr>
            <w:tcW w:w="266" w:type="pct"/>
            <w:vAlign w:val="center"/>
          </w:tcPr>
          <w:p w14:paraId="07F0DA01">
            <w:pPr>
              <w:pStyle w:val="59"/>
              <w:ind w:firstLine="0" w:firstLineChars="0"/>
              <w:jc w:val="center"/>
              <w:rPr>
                <w:color w:val="auto"/>
                <w:sz w:val="18"/>
                <w:highlight w:val="none"/>
              </w:rPr>
            </w:pPr>
            <w:r>
              <w:rPr>
                <w:color w:val="auto"/>
                <w:sz w:val="18"/>
                <w:highlight w:val="none"/>
              </w:rPr>
              <w:t>3</w:t>
            </w:r>
          </w:p>
        </w:tc>
        <w:tc>
          <w:tcPr>
            <w:tcW w:w="2390" w:type="pct"/>
            <w:vAlign w:val="center"/>
          </w:tcPr>
          <w:p w14:paraId="6F9ACA54">
            <w:pPr>
              <w:pStyle w:val="59"/>
              <w:ind w:firstLine="0" w:firstLineChars="0"/>
              <w:rPr>
                <w:color w:val="auto"/>
                <w:sz w:val="18"/>
                <w:highlight w:val="none"/>
              </w:rPr>
            </w:pPr>
            <w:r>
              <w:rPr>
                <w:color w:val="auto"/>
                <w:sz w:val="18"/>
                <w:highlight w:val="none"/>
              </w:rPr>
              <w:t>建立</w:t>
            </w:r>
            <w:r>
              <w:rPr>
                <w:rFonts w:hint="eastAsia"/>
                <w:color w:val="auto"/>
                <w:sz w:val="18"/>
                <w:highlight w:val="none"/>
              </w:rPr>
              <w:t>一套</w:t>
            </w:r>
            <w:r>
              <w:rPr>
                <w:color w:val="auto"/>
                <w:sz w:val="18"/>
                <w:highlight w:val="none"/>
              </w:rPr>
              <w:t>经共识确认的城市韧性治理架构</w:t>
            </w:r>
            <w:r>
              <w:rPr>
                <w:rFonts w:hint="eastAsia"/>
                <w:color w:val="auto"/>
                <w:sz w:val="18"/>
                <w:highlight w:val="none"/>
              </w:rPr>
              <w:t>。</w:t>
            </w:r>
          </w:p>
        </w:tc>
        <w:tc>
          <w:tcPr>
            <w:tcW w:w="1001" w:type="pct"/>
            <w:vAlign w:val="center"/>
          </w:tcPr>
          <w:p w14:paraId="7B06B31D">
            <w:pPr>
              <w:pStyle w:val="59"/>
              <w:ind w:firstLine="0" w:firstLineChars="0"/>
              <w:rPr>
                <w:color w:val="auto"/>
                <w:sz w:val="18"/>
                <w:highlight w:val="none"/>
              </w:rPr>
            </w:pPr>
            <w:r>
              <w:rPr>
                <w:rFonts w:hint="eastAsia"/>
                <w:color w:val="auto"/>
                <w:sz w:val="18"/>
                <w:highlight w:val="none"/>
              </w:rPr>
              <w:t>城市韧性建设领导小组</w:t>
            </w:r>
          </w:p>
        </w:tc>
        <w:tc>
          <w:tcPr>
            <w:tcW w:w="1342" w:type="pct"/>
            <w:vAlign w:val="center"/>
          </w:tcPr>
          <w:p w14:paraId="7413712F">
            <w:pPr>
              <w:pStyle w:val="59"/>
              <w:ind w:firstLine="0" w:firstLineChars="0"/>
              <w:rPr>
                <w:color w:val="auto"/>
                <w:sz w:val="18"/>
                <w:highlight w:val="none"/>
              </w:rPr>
            </w:pPr>
            <w:r>
              <w:rPr>
                <w:rFonts w:hint="eastAsia"/>
                <w:color w:val="auto"/>
                <w:sz w:val="18"/>
                <w:highlight w:val="none"/>
              </w:rPr>
              <w:t>城市韧性建设领导小组组长</w:t>
            </w:r>
          </w:p>
        </w:tc>
      </w:tr>
      <w:tr w14:paraId="3011FE0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57" w:type="dxa"/>
            <w:left w:w="100" w:type="dxa"/>
            <w:bottom w:w="57" w:type="dxa"/>
            <w:right w:w="100" w:type="dxa"/>
          </w:tblCellMar>
        </w:tblPrEx>
        <w:trPr>
          <w:trHeight w:val="784" w:hRule="atLeast"/>
          <w:jc w:val="center"/>
        </w:trPr>
        <w:tc>
          <w:tcPr>
            <w:tcW w:w="266" w:type="pct"/>
            <w:vAlign w:val="center"/>
          </w:tcPr>
          <w:p w14:paraId="6B798944">
            <w:pPr>
              <w:pStyle w:val="59"/>
              <w:ind w:firstLine="0" w:firstLineChars="0"/>
              <w:jc w:val="center"/>
              <w:rPr>
                <w:color w:val="auto"/>
                <w:sz w:val="18"/>
                <w:highlight w:val="none"/>
              </w:rPr>
            </w:pPr>
            <w:r>
              <w:rPr>
                <w:color w:val="auto"/>
                <w:sz w:val="18"/>
                <w:highlight w:val="none"/>
              </w:rPr>
              <w:t>4</w:t>
            </w:r>
          </w:p>
        </w:tc>
        <w:tc>
          <w:tcPr>
            <w:tcW w:w="2390" w:type="pct"/>
            <w:vAlign w:val="center"/>
          </w:tcPr>
          <w:p w14:paraId="60421EBA">
            <w:pPr>
              <w:pStyle w:val="59"/>
              <w:ind w:firstLine="0" w:firstLineChars="0"/>
              <w:rPr>
                <w:color w:val="auto"/>
                <w:sz w:val="18"/>
                <w:highlight w:val="none"/>
              </w:rPr>
            </w:pPr>
            <w:r>
              <w:rPr>
                <w:color w:val="auto"/>
                <w:sz w:val="18"/>
                <w:highlight w:val="none"/>
              </w:rPr>
              <w:t>制定并明确城市韧性政策，涵盖</w:t>
            </w:r>
            <w:r>
              <w:rPr>
                <w:rFonts w:hint="eastAsia"/>
                <w:color w:val="auto"/>
                <w:sz w:val="18"/>
                <w:highlight w:val="none"/>
              </w:rPr>
              <w:t>城市</w:t>
            </w:r>
            <w:r>
              <w:rPr>
                <w:color w:val="auto"/>
                <w:sz w:val="18"/>
                <w:highlight w:val="none"/>
              </w:rPr>
              <w:t>韧性建设工作的参与规则、预期成果及治理架构</w:t>
            </w:r>
            <w:r>
              <w:rPr>
                <w:rFonts w:hint="eastAsia"/>
                <w:color w:val="auto"/>
                <w:sz w:val="18"/>
                <w:highlight w:val="none"/>
              </w:rPr>
              <w:t>。</w:t>
            </w:r>
          </w:p>
        </w:tc>
        <w:tc>
          <w:tcPr>
            <w:tcW w:w="1001" w:type="pct"/>
            <w:vAlign w:val="center"/>
          </w:tcPr>
          <w:p w14:paraId="25A12768">
            <w:pPr>
              <w:pStyle w:val="59"/>
              <w:ind w:firstLine="0" w:firstLineChars="0"/>
              <w:rPr>
                <w:color w:val="auto"/>
                <w:sz w:val="18"/>
                <w:highlight w:val="none"/>
              </w:rPr>
            </w:pPr>
            <w:r>
              <w:rPr>
                <w:rFonts w:hint="eastAsia"/>
                <w:color w:val="auto"/>
                <w:sz w:val="18"/>
                <w:highlight w:val="none"/>
              </w:rPr>
              <w:t>城市韧性建设领导小组组长</w:t>
            </w:r>
          </w:p>
        </w:tc>
        <w:tc>
          <w:tcPr>
            <w:tcW w:w="1342" w:type="pct"/>
            <w:vAlign w:val="center"/>
          </w:tcPr>
          <w:p w14:paraId="322B871D">
            <w:pPr>
              <w:pStyle w:val="59"/>
              <w:ind w:firstLine="0" w:firstLineChars="0"/>
              <w:rPr>
                <w:color w:val="auto"/>
                <w:sz w:val="18"/>
                <w:highlight w:val="none"/>
              </w:rPr>
            </w:pPr>
            <w:r>
              <w:rPr>
                <w:rFonts w:hint="eastAsia"/>
                <w:color w:val="auto"/>
                <w:sz w:val="18"/>
                <w:highlight w:val="none"/>
              </w:rPr>
              <w:t>城市韧性建设领导小组</w:t>
            </w:r>
          </w:p>
        </w:tc>
      </w:tr>
      <w:tr w14:paraId="6BA95C7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57" w:type="dxa"/>
            <w:left w:w="100" w:type="dxa"/>
            <w:bottom w:w="57" w:type="dxa"/>
            <w:right w:w="100" w:type="dxa"/>
          </w:tblCellMar>
        </w:tblPrEx>
        <w:trPr>
          <w:trHeight w:val="784" w:hRule="atLeast"/>
          <w:jc w:val="center"/>
        </w:trPr>
        <w:tc>
          <w:tcPr>
            <w:tcW w:w="266" w:type="pct"/>
            <w:vAlign w:val="center"/>
          </w:tcPr>
          <w:p w14:paraId="1FA2175B">
            <w:pPr>
              <w:pStyle w:val="59"/>
              <w:ind w:firstLine="0" w:firstLineChars="0"/>
              <w:jc w:val="center"/>
              <w:rPr>
                <w:color w:val="auto"/>
                <w:sz w:val="18"/>
                <w:highlight w:val="none"/>
              </w:rPr>
            </w:pPr>
            <w:r>
              <w:rPr>
                <w:color w:val="auto"/>
                <w:sz w:val="18"/>
                <w:highlight w:val="none"/>
              </w:rPr>
              <w:t>5</w:t>
            </w:r>
          </w:p>
        </w:tc>
        <w:tc>
          <w:tcPr>
            <w:tcW w:w="2390" w:type="pct"/>
            <w:vAlign w:val="center"/>
          </w:tcPr>
          <w:p w14:paraId="49CF19B4">
            <w:pPr>
              <w:pStyle w:val="59"/>
              <w:ind w:firstLine="0" w:firstLineChars="0"/>
              <w:rPr>
                <w:color w:val="auto"/>
                <w:sz w:val="18"/>
                <w:highlight w:val="none"/>
              </w:rPr>
            </w:pPr>
            <w:r>
              <w:rPr>
                <w:color w:val="auto"/>
                <w:sz w:val="18"/>
                <w:highlight w:val="none"/>
              </w:rPr>
              <w:t>开展效益映射</w:t>
            </w:r>
            <w:r>
              <w:rPr>
                <w:rFonts w:hint="eastAsia"/>
                <w:color w:val="auto"/>
                <w:sz w:val="18"/>
                <w:highlight w:val="none"/>
              </w:rPr>
              <w:t>工作</w:t>
            </w:r>
            <w:r>
              <w:rPr>
                <w:color w:val="auto"/>
                <w:sz w:val="18"/>
                <w:highlight w:val="none"/>
              </w:rPr>
              <w:t>，评估城市韧性效益在各社区的分配是否均衡合理，并依据评估结果指导战略修订</w:t>
            </w:r>
            <w:r>
              <w:rPr>
                <w:rFonts w:hint="eastAsia"/>
                <w:color w:val="auto"/>
                <w:sz w:val="18"/>
                <w:highlight w:val="none"/>
              </w:rPr>
              <w:t>工作。</w:t>
            </w:r>
          </w:p>
        </w:tc>
        <w:tc>
          <w:tcPr>
            <w:tcW w:w="1001" w:type="pct"/>
            <w:vAlign w:val="center"/>
          </w:tcPr>
          <w:p w14:paraId="0957E328">
            <w:pPr>
              <w:pStyle w:val="59"/>
              <w:ind w:firstLine="0" w:firstLineChars="0"/>
              <w:rPr>
                <w:color w:val="auto"/>
                <w:sz w:val="18"/>
                <w:highlight w:val="none"/>
              </w:rPr>
            </w:pPr>
            <w:r>
              <w:rPr>
                <w:rFonts w:hint="eastAsia"/>
                <w:color w:val="auto"/>
                <w:sz w:val="18"/>
                <w:highlight w:val="none"/>
              </w:rPr>
              <w:t>城市韧性建设领导小组组长</w:t>
            </w:r>
          </w:p>
        </w:tc>
        <w:tc>
          <w:tcPr>
            <w:tcW w:w="1342" w:type="pct"/>
            <w:vAlign w:val="center"/>
          </w:tcPr>
          <w:p w14:paraId="1F39B348">
            <w:pPr>
              <w:pStyle w:val="59"/>
              <w:ind w:firstLine="0" w:firstLineChars="0"/>
              <w:rPr>
                <w:color w:val="auto"/>
                <w:sz w:val="18"/>
                <w:highlight w:val="none"/>
              </w:rPr>
            </w:pPr>
            <w:r>
              <w:rPr>
                <w:rFonts w:hint="eastAsia"/>
                <w:color w:val="auto"/>
                <w:sz w:val="18"/>
                <w:highlight w:val="none"/>
              </w:rPr>
              <w:t>城市韧性建设领导小组</w:t>
            </w:r>
            <w:r>
              <w:rPr>
                <w:color w:val="auto"/>
                <w:sz w:val="18"/>
                <w:highlight w:val="none"/>
              </w:rPr>
              <w:t>；当地社区</w:t>
            </w:r>
          </w:p>
        </w:tc>
      </w:tr>
      <w:tr w14:paraId="3E08E0E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57" w:type="dxa"/>
            <w:left w:w="100" w:type="dxa"/>
            <w:bottom w:w="57" w:type="dxa"/>
            <w:right w:w="100" w:type="dxa"/>
          </w:tblCellMar>
        </w:tblPrEx>
        <w:trPr>
          <w:trHeight w:val="2419" w:hRule="atLeast"/>
          <w:jc w:val="center"/>
        </w:trPr>
        <w:tc>
          <w:tcPr>
            <w:tcW w:w="266" w:type="pct"/>
            <w:vAlign w:val="center"/>
          </w:tcPr>
          <w:p w14:paraId="1E4CC241">
            <w:pPr>
              <w:pStyle w:val="59"/>
              <w:ind w:firstLine="0" w:firstLineChars="0"/>
              <w:jc w:val="center"/>
              <w:rPr>
                <w:color w:val="auto"/>
                <w:sz w:val="18"/>
                <w:highlight w:val="none"/>
              </w:rPr>
            </w:pPr>
            <w:r>
              <w:rPr>
                <w:color w:val="auto"/>
                <w:sz w:val="18"/>
                <w:highlight w:val="none"/>
              </w:rPr>
              <w:t>6</w:t>
            </w:r>
          </w:p>
        </w:tc>
        <w:tc>
          <w:tcPr>
            <w:tcW w:w="2390" w:type="pct"/>
            <w:vAlign w:val="center"/>
          </w:tcPr>
          <w:p w14:paraId="26F5876A">
            <w:pPr>
              <w:pStyle w:val="59"/>
              <w:ind w:firstLine="0" w:firstLineChars="0"/>
              <w:rPr>
                <w:color w:val="auto"/>
                <w:sz w:val="18"/>
                <w:highlight w:val="none"/>
              </w:rPr>
            </w:pPr>
            <w:r>
              <w:rPr>
                <w:color w:val="auto"/>
                <w:sz w:val="18"/>
                <w:highlight w:val="none"/>
              </w:rPr>
              <w:t>识别关键利益相关方，组建利益相关方指导委员会并制定参与计划</w:t>
            </w:r>
            <w:r>
              <w:rPr>
                <w:rFonts w:hint="eastAsia"/>
                <w:color w:val="auto"/>
                <w:sz w:val="18"/>
                <w:highlight w:val="none"/>
              </w:rPr>
              <w:t>：</w:t>
            </w:r>
          </w:p>
          <w:p w14:paraId="3DDB19F3">
            <w:pPr>
              <w:pStyle w:val="59"/>
              <w:numPr>
                <w:ilvl w:val="0"/>
                <w:numId w:val="89"/>
              </w:numPr>
              <w:ind w:firstLineChars="0"/>
              <w:rPr>
                <w:color w:val="auto"/>
                <w:sz w:val="18"/>
                <w:highlight w:val="none"/>
              </w:rPr>
            </w:pPr>
            <w:r>
              <w:rPr>
                <w:color w:val="auto"/>
                <w:sz w:val="18"/>
                <w:highlight w:val="none"/>
              </w:rPr>
              <w:t>制定参与计划，为社区评估与战略设计提供支撑</w:t>
            </w:r>
            <w:r>
              <w:rPr>
                <w:rFonts w:hint="eastAsia"/>
                <w:color w:val="auto"/>
                <w:sz w:val="18"/>
                <w:highlight w:val="none"/>
              </w:rPr>
              <w:t>；</w:t>
            </w:r>
          </w:p>
          <w:p w14:paraId="5F3F15E2">
            <w:pPr>
              <w:pStyle w:val="59"/>
              <w:numPr>
                <w:ilvl w:val="0"/>
                <w:numId w:val="89"/>
              </w:numPr>
              <w:ind w:firstLineChars="0"/>
              <w:rPr>
                <w:color w:val="auto"/>
                <w:sz w:val="18"/>
                <w:highlight w:val="none"/>
              </w:rPr>
            </w:pPr>
            <w:r>
              <w:rPr>
                <w:color w:val="auto"/>
                <w:sz w:val="18"/>
                <w:highlight w:val="none"/>
              </w:rPr>
              <w:t>开展利益相关方的识别、梳理与分析工作</w:t>
            </w:r>
            <w:r>
              <w:rPr>
                <w:rFonts w:hint="eastAsia"/>
                <w:color w:val="auto"/>
                <w:sz w:val="18"/>
                <w:highlight w:val="none"/>
              </w:rPr>
              <w:t>；</w:t>
            </w:r>
          </w:p>
          <w:p w14:paraId="71FE94AA">
            <w:pPr>
              <w:pStyle w:val="59"/>
              <w:numPr>
                <w:ilvl w:val="0"/>
                <w:numId w:val="89"/>
              </w:numPr>
              <w:ind w:firstLineChars="0"/>
              <w:rPr>
                <w:color w:val="auto"/>
                <w:sz w:val="18"/>
                <w:highlight w:val="none"/>
              </w:rPr>
            </w:pPr>
            <w:r>
              <w:rPr>
                <w:color w:val="auto"/>
                <w:sz w:val="18"/>
                <w:highlight w:val="none"/>
              </w:rPr>
              <w:t>组建指导委员会与</w:t>
            </w:r>
            <w:r>
              <w:rPr>
                <w:rFonts w:hint="eastAsia"/>
                <w:color w:val="auto"/>
                <w:sz w:val="18"/>
                <w:highlight w:val="none"/>
              </w:rPr>
              <w:t>咨询委员会；</w:t>
            </w:r>
          </w:p>
          <w:p w14:paraId="55DF1008">
            <w:pPr>
              <w:pStyle w:val="59"/>
              <w:numPr>
                <w:ilvl w:val="0"/>
                <w:numId w:val="89"/>
              </w:numPr>
              <w:ind w:firstLineChars="0"/>
              <w:rPr>
                <w:color w:val="auto"/>
                <w:sz w:val="18"/>
                <w:highlight w:val="none"/>
              </w:rPr>
            </w:pPr>
            <w:r>
              <w:rPr>
                <w:color w:val="auto"/>
                <w:sz w:val="18"/>
                <w:highlight w:val="none"/>
              </w:rPr>
              <w:t>通过宣传推广，提升公众对城市韧性效益的认知度——重点阐述城市韧性效益</w:t>
            </w:r>
            <w:r>
              <w:rPr>
                <w:rFonts w:hint="eastAsia"/>
                <w:color w:val="auto"/>
                <w:sz w:val="18"/>
                <w:highlight w:val="none"/>
              </w:rPr>
              <w:t>。</w:t>
            </w:r>
          </w:p>
        </w:tc>
        <w:tc>
          <w:tcPr>
            <w:tcW w:w="1001" w:type="pct"/>
            <w:vAlign w:val="center"/>
          </w:tcPr>
          <w:p w14:paraId="36DE9BC0">
            <w:pPr>
              <w:pStyle w:val="59"/>
              <w:ind w:firstLine="0" w:firstLineChars="0"/>
              <w:rPr>
                <w:color w:val="auto"/>
                <w:sz w:val="18"/>
                <w:highlight w:val="none"/>
              </w:rPr>
            </w:pPr>
            <w:r>
              <w:rPr>
                <w:rFonts w:hint="eastAsia"/>
                <w:color w:val="auto"/>
                <w:sz w:val="18"/>
                <w:highlight w:val="none"/>
              </w:rPr>
              <w:t>城市韧性建设领导小组组长</w:t>
            </w:r>
          </w:p>
        </w:tc>
        <w:tc>
          <w:tcPr>
            <w:tcW w:w="1342" w:type="pct"/>
            <w:vAlign w:val="center"/>
          </w:tcPr>
          <w:p w14:paraId="516FB759">
            <w:pPr>
              <w:pStyle w:val="59"/>
              <w:ind w:firstLine="0" w:firstLineChars="0"/>
              <w:rPr>
                <w:color w:val="auto"/>
                <w:sz w:val="18"/>
                <w:highlight w:val="none"/>
              </w:rPr>
            </w:pPr>
            <w:r>
              <w:rPr>
                <w:color w:val="auto"/>
                <w:sz w:val="18"/>
                <w:highlight w:val="none"/>
              </w:rPr>
              <w:t>指导委员会；</w:t>
            </w:r>
            <w:r>
              <w:rPr>
                <w:rFonts w:hint="eastAsia"/>
                <w:color w:val="auto"/>
                <w:sz w:val="18"/>
                <w:highlight w:val="none"/>
              </w:rPr>
              <w:t>城市韧性建设领导小组</w:t>
            </w:r>
          </w:p>
        </w:tc>
      </w:tr>
      <w:tr w14:paraId="15019B9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57" w:type="dxa"/>
            <w:left w:w="100" w:type="dxa"/>
            <w:bottom w:w="57" w:type="dxa"/>
            <w:right w:w="100" w:type="dxa"/>
          </w:tblCellMar>
        </w:tblPrEx>
        <w:trPr>
          <w:trHeight w:val="784" w:hRule="atLeast"/>
          <w:jc w:val="center"/>
        </w:trPr>
        <w:tc>
          <w:tcPr>
            <w:tcW w:w="266" w:type="pct"/>
            <w:vAlign w:val="center"/>
          </w:tcPr>
          <w:p w14:paraId="08AA224D">
            <w:pPr>
              <w:pStyle w:val="59"/>
              <w:ind w:firstLine="0" w:firstLineChars="0"/>
              <w:jc w:val="center"/>
              <w:rPr>
                <w:color w:val="auto"/>
                <w:sz w:val="18"/>
                <w:highlight w:val="none"/>
              </w:rPr>
            </w:pPr>
            <w:r>
              <w:rPr>
                <w:color w:val="auto"/>
                <w:sz w:val="18"/>
                <w:highlight w:val="none"/>
              </w:rPr>
              <w:t>7</w:t>
            </w:r>
          </w:p>
        </w:tc>
        <w:tc>
          <w:tcPr>
            <w:tcW w:w="2390" w:type="pct"/>
            <w:vAlign w:val="center"/>
          </w:tcPr>
          <w:p w14:paraId="701E7F67">
            <w:pPr>
              <w:pStyle w:val="59"/>
              <w:ind w:firstLine="0" w:firstLineChars="0"/>
              <w:rPr>
                <w:color w:val="auto"/>
                <w:sz w:val="18"/>
                <w:highlight w:val="none"/>
              </w:rPr>
            </w:pPr>
            <w:r>
              <w:rPr>
                <w:color w:val="auto"/>
                <w:sz w:val="18"/>
                <w:highlight w:val="none"/>
              </w:rPr>
              <w:t>明确城市韧性建设过程中需达成的共同愿景、目标及需求</w:t>
            </w:r>
            <w:r>
              <w:rPr>
                <w:rFonts w:hint="eastAsia"/>
                <w:color w:val="auto"/>
                <w:sz w:val="18"/>
                <w:highlight w:val="none"/>
              </w:rPr>
              <w:t>。</w:t>
            </w:r>
          </w:p>
        </w:tc>
        <w:tc>
          <w:tcPr>
            <w:tcW w:w="1001" w:type="pct"/>
            <w:vAlign w:val="center"/>
          </w:tcPr>
          <w:p w14:paraId="3B20FF5B">
            <w:pPr>
              <w:pStyle w:val="59"/>
              <w:ind w:firstLine="0" w:firstLineChars="0"/>
              <w:rPr>
                <w:color w:val="auto"/>
                <w:sz w:val="18"/>
                <w:highlight w:val="none"/>
              </w:rPr>
            </w:pPr>
            <w:r>
              <w:rPr>
                <w:rFonts w:hint="eastAsia"/>
                <w:color w:val="auto"/>
                <w:sz w:val="18"/>
                <w:highlight w:val="none"/>
              </w:rPr>
              <w:t>城市韧性建设领导小组组长</w:t>
            </w:r>
          </w:p>
        </w:tc>
        <w:tc>
          <w:tcPr>
            <w:tcW w:w="1342" w:type="pct"/>
            <w:vAlign w:val="center"/>
          </w:tcPr>
          <w:p w14:paraId="58C74766">
            <w:pPr>
              <w:pStyle w:val="59"/>
              <w:ind w:firstLine="0" w:firstLineChars="0"/>
              <w:rPr>
                <w:color w:val="auto"/>
                <w:sz w:val="18"/>
                <w:highlight w:val="none"/>
              </w:rPr>
            </w:pPr>
            <w:r>
              <w:rPr>
                <w:color w:val="auto"/>
                <w:sz w:val="18"/>
                <w:highlight w:val="none"/>
              </w:rPr>
              <w:t>指导委员会；社区；</w:t>
            </w:r>
            <w:r>
              <w:rPr>
                <w:rFonts w:hint="eastAsia"/>
                <w:color w:val="auto"/>
                <w:sz w:val="18"/>
                <w:highlight w:val="none"/>
              </w:rPr>
              <w:t>城市韧性建设领导小组</w:t>
            </w:r>
          </w:p>
        </w:tc>
      </w:tr>
      <w:tr w14:paraId="68F9CE1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57" w:type="dxa"/>
            <w:left w:w="100" w:type="dxa"/>
            <w:bottom w:w="57" w:type="dxa"/>
            <w:right w:w="100" w:type="dxa"/>
          </w:tblCellMar>
        </w:tblPrEx>
        <w:trPr>
          <w:trHeight w:val="457" w:hRule="atLeast"/>
          <w:jc w:val="center"/>
        </w:trPr>
        <w:tc>
          <w:tcPr>
            <w:tcW w:w="266" w:type="pct"/>
            <w:vAlign w:val="center"/>
          </w:tcPr>
          <w:p w14:paraId="5BFE0C66">
            <w:pPr>
              <w:pStyle w:val="59"/>
              <w:ind w:firstLine="0" w:firstLineChars="0"/>
              <w:jc w:val="center"/>
              <w:rPr>
                <w:color w:val="auto"/>
                <w:sz w:val="18"/>
                <w:highlight w:val="none"/>
              </w:rPr>
            </w:pPr>
            <w:r>
              <w:rPr>
                <w:color w:val="auto"/>
                <w:sz w:val="18"/>
                <w:highlight w:val="none"/>
              </w:rPr>
              <w:t>8</w:t>
            </w:r>
          </w:p>
        </w:tc>
        <w:tc>
          <w:tcPr>
            <w:tcW w:w="2390" w:type="pct"/>
            <w:vAlign w:val="center"/>
          </w:tcPr>
          <w:p w14:paraId="6E9CEDF2">
            <w:pPr>
              <w:pStyle w:val="59"/>
              <w:ind w:firstLine="0" w:firstLineChars="0"/>
              <w:rPr>
                <w:color w:val="auto"/>
                <w:sz w:val="18"/>
                <w:highlight w:val="none"/>
              </w:rPr>
            </w:pPr>
            <w:r>
              <w:rPr>
                <w:color w:val="auto"/>
                <w:sz w:val="18"/>
                <w:highlight w:val="none"/>
              </w:rPr>
              <w:t>为城市韧性建设工作配置资源</w:t>
            </w:r>
            <w:r>
              <w:rPr>
                <w:rFonts w:hint="eastAsia"/>
                <w:color w:val="auto"/>
                <w:sz w:val="18"/>
                <w:highlight w:val="none"/>
              </w:rPr>
              <w:t>。</w:t>
            </w:r>
          </w:p>
        </w:tc>
        <w:tc>
          <w:tcPr>
            <w:tcW w:w="1001" w:type="pct"/>
            <w:vAlign w:val="center"/>
          </w:tcPr>
          <w:p w14:paraId="60B2E433">
            <w:pPr>
              <w:pStyle w:val="59"/>
              <w:ind w:firstLine="0" w:firstLineChars="0"/>
              <w:rPr>
                <w:color w:val="auto"/>
                <w:sz w:val="18"/>
                <w:highlight w:val="none"/>
              </w:rPr>
            </w:pPr>
            <w:r>
              <w:rPr>
                <w:rFonts w:hint="eastAsia"/>
                <w:color w:val="auto"/>
                <w:sz w:val="18"/>
                <w:highlight w:val="none"/>
              </w:rPr>
              <w:t>城市韧性建设领导小组</w:t>
            </w:r>
          </w:p>
        </w:tc>
        <w:tc>
          <w:tcPr>
            <w:tcW w:w="1342" w:type="pct"/>
            <w:vAlign w:val="center"/>
          </w:tcPr>
          <w:p w14:paraId="651D2FF9">
            <w:pPr>
              <w:pStyle w:val="59"/>
              <w:ind w:firstLine="0" w:firstLineChars="0"/>
              <w:rPr>
                <w:color w:val="auto"/>
                <w:sz w:val="18"/>
                <w:highlight w:val="none"/>
              </w:rPr>
            </w:pPr>
            <w:r>
              <w:rPr>
                <w:color w:val="auto"/>
                <w:sz w:val="18"/>
                <w:highlight w:val="none"/>
              </w:rPr>
              <w:t>当地企业</w:t>
            </w:r>
          </w:p>
        </w:tc>
      </w:tr>
      <w:tr w14:paraId="0703030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57" w:type="dxa"/>
            <w:left w:w="100" w:type="dxa"/>
            <w:bottom w:w="57" w:type="dxa"/>
            <w:right w:w="100" w:type="dxa"/>
          </w:tblCellMar>
        </w:tblPrEx>
        <w:trPr>
          <w:trHeight w:val="2113" w:hRule="atLeast"/>
          <w:jc w:val="center"/>
        </w:trPr>
        <w:tc>
          <w:tcPr>
            <w:tcW w:w="266" w:type="pct"/>
            <w:vAlign w:val="center"/>
          </w:tcPr>
          <w:p w14:paraId="3DBCA922">
            <w:pPr>
              <w:pStyle w:val="59"/>
              <w:ind w:firstLine="0" w:firstLineChars="0"/>
              <w:jc w:val="center"/>
              <w:rPr>
                <w:color w:val="auto"/>
                <w:sz w:val="18"/>
                <w:highlight w:val="none"/>
              </w:rPr>
            </w:pPr>
            <w:r>
              <w:rPr>
                <w:color w:val="auto"/>
                <w:sz w:val="18"/>
                <w:highlight w:val="none"/>
              </w:rPr>
              <w:t>9</w:t>
            </w:r>
          </w:p>
        </w:tc>
        <w:tc>
          <w:tcPr>
            <w:tcW w:w="2390" w:type="pct"/>
            <w:vAlign w:val="center"/>
          </w:tcPr>
          <w:p w14:paraId="7829FC07">
            <w:pPr>
              <w:pStyle w:val="59"/>
              <w:ind w:firstLine="0" w:firstLineChars="0"/>
              <w:rPr>
                <w:color w:val="auto"/>
                <w:sz w:val="18"/>
                <w:highlight w:val="none"/>
              </w:rPr>
            </w:pPr>
            <w:r>
              <w:rPr>
                <w:color w:val="auto"/>
                <w:sz w:val="18"/>
                <w:highlight w:val="none"/>
              </w:rPr>
              <w:t>数据收集、评估与共享</w:t>
            </w:r>
            <w:r>
              <w:rPr>
                <w:rFonts w:hint="eastAsia"/>
                <w:color w:val="auto"/>
                <w:sz w:val="18"/>
                <w:highlight w:val="none"/>
              </w:rPr>
              <w:t>：</w:t>
            </w:r>
          </w:p>
          <w:p w14:paraId="5567522D">
            <w:pPr>
              <w:pStyle w:val="59"/>
              <w:numPr>
                <w:ilvl w:val="0"/>
                <w:numId w:val="90"/>
              </w:numPr>
              <w:ind w:firstLineChars="0"/>
              <w:rPr>
                <w:color w:val="auto"/>
                <w:sz w:val="18"/>
                <w:highlight w:val="none"/>
              </w:rPr>
            </w:pPr>
            <w:r>
              <w:rPr>
                <w:color w:val="auto"/>
                <w:sz w:val="18"/>
                <w:highlight w:val="none"/>
              </w:rPr>
              <w:t>开发适用于定性和定量数据收集及共享的工具与方法</w:t>
            </w:r>
            <w:r>
              <w:rPr>
                <w:rFonts w:hint="eastAsia"/>
                <w:color w:val="auto"/>
                <w:sz w:val="18"/>
                <w:highlight w:val="none"/>
              </w:rPr>
              <w:t>；</w:t>
            </w:r>
          </w:p>
          <w:p w14:paraId="1F0ED37D">
            <w:pPr>
              <w:pStyle w:val="59"/>
              <w:numPr>
                <w:ilvl w:val="0"/>
                <w:numId w:val="90"/>
              </w:numPr>
              <w:ind w:firstLineChars="0"/>
              <w:rPr>
                <w:color w:val="auto"/>
                <w:sz w:val="18"/>
                <w:highlight w:val="none"/>
              </w:rPr>
            </w:pPr>
            <w:r>
              <w:rPr>
                <w:color w:val="auto"/>
                <w:sz w:val="18"/>
                <w:highlight w:val="none"/>
              </w:rPr>
              <w:t>采用保障数据质量与可靠性的工具</w:t>
            </w:r>
            <w:r>
              <w:rPr>
                <w:rFonts w:hint="eastAsia"/>
                <w:color w:val="auto"/>
                <w:sz w:val="18"/>
                <w:highlight w:val="none"/>
              </w:rPr>
              <w:t>；</w:t>
            </w:r>
          </w:p>
          <w:p w14:paraId="5078DCDF">
            <w:pPr>
              <w:pStyle w:val="59"/>
              <w:numPr>
                <w:ilvl w:val="0"/>
                <w:numId w:val="90"/>
              </w:numPr>
              <w:ind w:firstLineChars="0"/>
              <w:rPr>
                <w:color w:val="auto"/>
                <w:sz w:val="18"/>
                <w:highlight w:val="none"/>
              </w:rPr>
            </w:pPr>
            <w:r>
              <w:rPr>
                <w:color w:val="auto"/>
                <w:sz w:val="18"/>
                <w:highlight w:val="none"/>
              </w:rPr>
              <w:t>设定数据标准、</w:t>
            </w:r>
            <w:r>
              <w:rPr>
                <w:rFonts w:hint="eastAsia"/>
                <w:color w:val="auto"/>
                <w:sz w:val="18"/>
                <w:highlight w:val="none"/>
              </w:rPr>
              <w:t>衡量</w:t>
            </w:r>
            <w:r>
              <w:rPr>
                <w:color w:val="auto"/>
                <w:sz w:val="18"/>
                <w:highlight w:val="none"/>
              </w:rPr>
              <w:t>指标</w:t>
            </w:r>
            <w:r>
              <w:rPr>
                <w:rFonts w:hint="eastAsia"/>
                <w:color w:val="auto"/>
                <w:sz w:val="18"/>
                <w:highlight w:val="none"/>
              </w:rPr>
              <w:t>；</w:t>
            </w:r>
          </w:p>
          <w:p w14:paraId="4B93324C">
            <w:pPr>
              <w:pStyle w:val="59"/>
              <w:numPr>
                <w:ilvl w:val="0"/>
                <w:numId w:val="90"/>
              </w:numPr>
              <w:ind w:firstLineChars="0"/>
              <w:rPr>
                <w:color w:val="auto"/>
                <w:sz w:val="18"/>
                <w:highlight w:val="none"/>
              </w:rPr>
            </w:pPr>
            <w:r>
              <w:rPr>
                <w:color w:val="auto"/>
                <w:sz w:val="18"/>
                <w:highlight w:val="none"/>
              </w:rPr>
              <w:t>开展数据收集工作</w:t>
            </w:r>
            <w:r>
              <w:rPr>
                <w:rFonts w:hint="eastAsia"/>
                <w:color w:val="auto"/>
                <w:sz w:val="18"/>
                <w:highlight w:val="none"/>
              </w:rPr>
              <w:t>。</w:t>
            </w:r>
          </w:p>
        </w:tc>
        <w:tc>
          <w:tcPr>
            <w:tcW w:w="1001" w:type="pct"/>
            <w:vAlign w:val="center"/>
          </w:tcPr>
          <w:p w14:paraId="0B7C37BC">
            <w:pPr>
              <w:pStyle w:val="59"/>
              <w:ind w:firstLine="0" w:firstLineChars="0"/>
              <w:rPr>
                <w:color w:val="auto"/>
                <w:sz w:val="18"/>
                <w:highlight w:val="none"/>
              </w:rPr>
            </w:pPr>
            <w:r>
              <w:rPr>
                <w:rFonts w:hint="eastAsia"/>
                <w:color w:val="auto"/>
                <w:sz w:val="18"/>
                <w:highlight w:val="none"/>
              </w:rPr>
              <w:t>城市韧性建设领导小组组长</w:t>
            </w:r>
            <w:r>
              <w:rPr>
                <w:color w:val="auto"/>
                <w:sz w:val="18"/>
                <w:highlight w:val="none"/>
              </w:rPr>
              <w:t>/</w:t>
            </w:r>
            <w:r>
              <w:rPr>
                <w:rFonts w:hint="eastAsia"/>
                <w:color w:val="auto"/>
                <w:sz w:val="18"/>
                <w:highlight w:val="none"/>
              </w:rPr>
              <w:t>领导小组办公室</w:t>
            </w:r>
          </w:p>
        </w:tc>
        <w:tc>
          <w:tcPr>
            <w:tcW w:w="1342" w:type="pct"/>
            <w:vAlign w:val="center"/>
          </w:tcPr>
          <w:p w14:paraId="168E5E97">
            <w:pPr>
              <w:pStyle w:val="59"/>
              <w:ind w:firstLine="0" w:firstLineChars="0"/>
              <w:rPr>
                <w:color w:val="auto"/>
                <w:sz w:val="18"/>
                <w:highlight w:val="none"/>
              </w:rPr>
            </w:pPr>
            <w:r>
              <w:rPr>
                <w:color w:val="auto"/>
                <w:sz w:val="18"/>
                <w:highlight w:val="none"/>
              </w:rPr>
              <w:t>指导委员会；</w:t>
            </w:r>
            <w:r>
              <w:rPr>
                <w:rFonts w:hint="eastAsia"/>
                <w:color w:val="auto"/>
                <w:sz w:val="18"/>
                <w:highlight w:val="none"/>
              </w:rPr>
              <w:t>咨询委员会</w:t>
            </w:r>
            <w:r>
              <w:rPr>
                <w:color w:val="auto"/>
                <w:sz w:val="18"/>
                <w:highlight w:val="none"/>
              </w:rPr>
              <w:t>；</w:t>
            </w:r>
            <w:r>
              <w:rPr>
                <w:rFonts w:hint="eastAsia"/>
                <w:color w:val="auto"/>
                <w:sz w:val="18"/>
                <w:highlight w:val="none"/>
              </w:rPr>
              <w:t>城市韧性建设领导小组</w:t>
            </w:r>
          </w:p>
        </w:tc>
      </w:tr>
    </w:tbl>
    <w:p w14:paraId="067F4103">
      <w:pPr>
        <w:pStyle w:val="80"/>
        <w:spacing w:before="156" w:after="156"/>
        <w:rPr>
          <w:bCs/>
          <w:color w:val="auto"/>
          <w:highlight w:val="none"/>
        </w:rPr>
      </w:pPr>
      <w:r>
        <w:rPr>
          <w:color w:val="auto"/>
          <w:highlight w:val="none"/>
        </w:rPr>
        <w:t>评估与优先级排序</w:t>
      </w:r>
    </w:p>
    <w:tbl>
      <w:tblPr>
        <w:tblStyle w:val="27"/>
        <w:tblW w:w="5070" w:type="pct"/>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57" w:type="dxa"/>
          <w:left w:w="100" w:type="dxa"/>
          <w:bottom w:w="57" w:type="dxa"/>
          <w:right w:w="100" w:type="dxa"/>
        </w:tblCellMar>
      </w:tblPr>
      <w:tblGrid>
        <w:gridCol w:w="576"/>
        <w:gridCol w:w="4680"/>
        <w:gridCol w:w="2132"/>
        <w:gridCol w:w="2077"/>
      </w:tblGrid>
      <w:tr w14:paraId="6AA7CDD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57" w:type="dxa"/>
            <w:left w:w="100" w:type="dxa"/>
            <w:bottom w:w="57" w:type="dxa"/>
            <w:right w:w="100" w:type="dxa"/>
          </w:tblCellMar>
        </w:tblPrEx>
        <w:trPr>
          <w:trHeight w:val="360" w:hRule="atLeast"/>
          <w:jc w:val="center"/>
        </w:trPr>
        <w:tc>
          <w:tcPr>
            <w:tcW w:w="304" w:type="pct"/>
            <w:tcBorders>
              <w:bottom w:val="single" w:color="000000" w:sz="8" w:space="0"/>
            </w:tcBorders>
            <w:shd w:val="clear" w:color="auto" w:fill="BFBFBF"/>
            <w:vAlign w:val="center"/>
          </w:tcPr>
          <w:p w14:paraId="3696490E">
            <w:pPr>
              <w:pStyle w:val="59"/>
              <w:ind w:firstLine="361"/>
              <w:rPr>
                <w:b/>
                <w:bCs/>
                <w:color w:val="auto"/>
                <w:sz w:val="18"/>
                <w:highlight w:val="none"/>
              </w:rPr>
            </w:pPr>
          </w:p>
        </w:tc>
        <w:tc>
          <w:tcPr>
            <w:tcW w:w="2471" w:type="pct"/>
            <w:tcBorders>
              <w:bottom w:val="single" w:color="000000" w:sz="8" w:space="0"/>
            </w:tcBorders>
            <w:shd w:val="clear" w:color="auto" w:fill="BFBFBF"/>
            <w:vAlign w:val="center"/>
          </w:tcPr>
          <w:p w14:paraId="05ABC29B">
            <w:pPr>
              <w:pStyle w:val="59"/>
              <w:ind w:firstLine="0" w:firstLineChars="0"/>
              <w:rPr>
                <w:b/>
                <w:bCs/>
                <w:color w:val="auto"/>
                <w:sz w:val="18"/>
                <w:highlight w:val="none"/>
              </w:rPr>
            </w:pPr>
            <w:r>
              <w:rPr>
                <w:b/>
                <w:color w:val="auto"/>
                <w:sz w:val="18"/>
                <w:highlight w:val="none"/>
              </w:rPr>
              <w:t>活动</w:t>
            </w:r>
            <w:r>
              <w:rPr>
                <w:rFonts w:hint="eastAsia"/>
                <w:b/>
                <w:color w:val="auto"/>
                <w:sz w:val="18"/>
                <w:highlight w:val="none"/>
              </w:rPr>
              <w:t>内容</w:t>
            </w:r>
          </w:p>
        </w:tc>
        <w:tc>
          <w:tcPr>
            <w:tcW w:w="1126" w:type="pct"/>
            <w:tcBorders>
              <w:bottom w:val="single" w:color="000000" w:sz="8" w:space="0"/>
            </w:tcBorders>
            <w:shd w:val="clear" w:color="auto" w:fill="BFBFBF"/>
            <w:vAlign w:val="center"/>
          </w:tcPr>
          <w:p w14:paraId="146C15CE">
            <w:pPr>
              <w:pStyle w:val="59"/>
              <w:ind w:firstLine="0" w:firstLineChars="0"/>
              <w:rPr>
                <w:b/>
                <w:bCs/>
                <w:color w:val="auto"/>
                <w:sz w:val="18"/>
                <w:highlight w:val="none"/>
              </w:rPr>
            </w:pPr>
            <w:r>
              <w:rPr>
                <w:b/>
                <w:color w:val="auto"/>
                <w:sz w:val="18"/>
                <w:highlight w:val="none"/>
              </w:rPr>
              <w:t>负责人</w:t>
            </w:r>
          </w:p>
        </w:tc>
        <w:tc>
          <w:tcPr>
            <w:tcW w:w="1097" w:type="pct"/>
            <w:tcBorders>
              <w:bottom w:val="single" w:color="000000" w:sz="8" w:space="0"/>
            </w:tcBorders>
            <w:shd w:val="clear" w:color="auto" w:fill="BFBFBF"/>
            <w:vAlign w:val="center"/>
          </w:tcPr>
          <w:p w14:paraId="42F02E41">
            <w:pPr>
              <w:pStyle w:val="59"/>
              <w:ind w:firstLine="0" w:firstLineChars="0"/>
              <w:rPr>
                <w:b/>
                <w:bCs/>
                <w:color w:val="auto"/>
                <w:sz w:val="18"/>
                <w:highlight w:val="none"/>
              </w:rPr>
            </w:pPr>
            <w:r>
              <w:rPr>
                <w:b/>
                <w:color w:val="auto"/>
                <w:sz w:val="18"/>
                <w:highlight w:val="none"/>
              </w:rPr>
              <w:t>利益相关方</w:t>
            </w:r>
          </w:p>
        </w:tc>
      </w:tr>
      <w:tr w14:paraId="753F517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57" w:type="dxa"/>
            <w:left w:w="100" w:type="dxa"/>
            <w:bottom w:w="57" w:type="dxa"/>
            <w:right w:w="100" w:type="dxa"/>
          </w:tblCellMar>
        </w:tblPrEx>
        <w:trPr>
          <w:trHeight w:val="1740" w:hRule="atLeast"/>
          <w:jc w:val="center"/>
        </w:trPr>
        <w:tc>
          <w:tcPr>
            <w:tcW w:w="304" w:type="pct"/>
            <w:tcBorders>
              <w:top w:val="single" w:color="000000" w:sz="8" w:space="0"/>
            </w:tcBorders>
            <w:vAlign w:val="center"/>
          </w:tcPr>
          <w:p w14:paraId="06B341C2">
            <w:pPr>
              <w:pStyle w:val="59"/>
              <w:ind w:firstLine="0" w:firstLineChars="0"/>
              <w:jc w:val="center"/>
              <w:rPr>
                <w:color w:val="auto"/>
                <w:sz w:val="18"/>
                <w:highlight w:val="none"/>
              </w:rPr>
            </w:pPr>
            <w:r>
              <w:rPr>
                <w:color w:val="auto"/>
                <w:sz w:val="18"/>
                <w:highlight w:val="none"/>
              </w:rPr>
              <w:t>1</w:t>
            </w:r>
          </w:p>
        </w:tc>
        <w:tc>
          <w:tcPr>
            <w:tcW w:w="2471" w:type="pct"/>
            <w:tcBorders>
              <w:top w:val="single" w:color="000000" w:sz="8" w:space="0"/>
            </w:tcBorders>
            <w:vAlign w:val="center"/>
          </w:tcPr>
          <w:p w14:paraId="7D46133B">
            <w:pPr>
              <w:pStyle w:val="59"/>
              <w:ind w:firstLine="0" w:firstLineChars="0"/>
              <w:rPr>
                <w:color w:val="auto"/>
                <w:sz w:val="18"/>
                <w:highlight w:val="none"/>
              </w:rPr>
            </w:pPr>
            <w:r>
              <w:rPr>
                <w:color w:val="auto"/>
                <w:sz w:val="18"/>
                <w:highlight w:val="none"/>
              </w:rPr>
              <w:t>系统价值与效益</w:t>
            </w:r>
            <w:r>
              <w:rPr>
                <w:rFonts w:hint="eastAsia"/>
                <w:color w:val="auto"/>
                <w:sz w:val="18"/>
                <w:highlight w:val="none"/>
              </w:rPr>
              <w:t>：</w:t>
            </w:r>
          </w:p>
          <w:p w14:paraId="1E109900">
            <w:pPr>
              <w:pStyle w:val="59"/>
              <w:ind w:firstLine="0" w:firstLineChars="0"/>
              <w:rPr>
                <w:color w:val="auto"/>
                <w:sz w:val="18"/>
                <w:highlight w:val="none"/>
              </w:rPr>
            </w:pPr>
            <w:r>
              <w:rPr>
                <w:color w:val="auto"/>
                <w:sz w:val="18"/>
                <w:highlight w:val="none"/>
              </w:rPr>
              <w:t>确保城市韧性评估与6.2.1中确定的愿景及城市社会目标相关联，以便明确风险价值并为决策提供依据</w:t>
            </w:r>
            <w:r>
              <w:rPr>
                <w:rFonts w:hint="eastAsia"/>
                <w:color w:val="auto"/>
                <w:sz w:val="18"/>
                <w:highlight w:val="none"/>
              </w:rPr>
              <w:t>。</w:t>
            </w:r>
          </w:p>
        </w:tc>
        <w:tc>
          <w:tcPr>
            <w:tcW w:w="1126" w:type="pct"/>
            <w:tcBorders>
              <w:top w:val="single" w:color="000000" w:sz="8" w:space="0"/>
            </w:tcBorders>
            <w:vAlign w:val="center"/>
          </w:tcPr>
          <w:p w14:paraId="0D8D1DE2">
            <w:pPr>
              <w:pStyle w:val="59"/>
              <w:ind w:firstLine="0" w:firstLineChars="0"/>
              <w:rPr>
                <w:color w:val="auto"/>
                <w:sz w:val="18"/>
                <w:highlight w:val="none"/>
              </w:rPr>
            </w:pPr>
            <w:r>
              <w:rPr>
                <w:rFonts w:hint="eastAsia"/>
                <w:color w:val="auto"/>
                <w:sz w:val="18"/>
                <w:highlight w:val="none"/>
              </w:rPr>
              <w:t>城市韧性建设领导小组组长</w:t>
            </w:r>
            <w:r>
              <w:rPr>
                <w:color w:val="auto"/>
                <w:sz w:val="18"/>
                <w:highlight w:val="none"/>
              </w:rPr>
              <w:t>/</w:t>
            </w:r>
            <w:r>
              <w:rPr>
                <w:rFonts w:hint="eastAsia"/>
                <w:color w:val="auto"/>
                <w:sz w:val="18"/>
                <w:highlight w:val="none"/>
              </w:rPr>
              <w:t>领导小组办公室</w:t>
            </w:r>
          </w:p>
        </w:tc>
        <w:tc>
          <w:tcPr>
            <w:tcW w:w="1097" w:type="pct"/>
            <w:tcBorders>
              <w:top w:val="single" w:color="000000" w:sz="8" w:space="0"/>
            </w:tcBorders>
            <w:vAlign w:val="center"/>
          </w:tcPr>
          <w:p w14:paraId="3E90E262">
            <w:pPr>
              <w:pStyle w:val="59"/>
              <w:ind w:firstLine="0" w:firstLineChars="0"/>
              <w:rPr>
                <w:color w:val="auto"/>
                <w:sz w:val="18"/>
                <w:highlight w:val="none"/>
              </w:rPr>
            </w:pPr>
            <w:r>
              <w:rPr>
                <w:color w:val="auto"/>
                <w:sz w:val="18"/>
                <w:highlight w:val="none"/>
              </w:rPr>
              <w:t>指导委员会；</w:t>
            </w:r>
            <w:r>
              <w:rPr>
                <w:rFonts w:hint="eastAsia"/>
                <w:color w:val="auto"/>
                <w:sz w:val="18"/>
                <w:highlight w:val="none"/>
              </w:rPr>
              <w:t>咨询委员会</w:t>
            </w:r>
          </w:p>
        </w:tc>
      </w:tr>
      <w:tr w14:paraId="41CF5F8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57" w:type="dxa"/>
            <w:left w:w="100" w:type="dxa"/>
            <w:bottom w:w="57" w:type="dxa"/>
            <w:right w:w="100" w:type="dxa"/>
          </w:tblCellMar>
        </w:tblPrEx>
        <w:trPr>
          <w:trHeight w:val="3480" w:hRule="atLeast"/>
          <w:jc w:val="center"/>
        </w:trPr>
        <w:tc>
          <w:tcPr>
            <w:tcW w:w="304" w:type="pct"/>
            <w:vAlign w:val="center"/>
          </w:tcPr>
          <w:p w14:paraId="2B3666FC">
            <w:pPr>
              <w:pStyle w:val="59"/>
              <w:ind w:firstLine="0" w:firstLineChars="0"/>
              <w:jc w:val="center"/>
              <w:rPr>
                <w:color w:val="auto"/>
                <w:sz w:val="18"/>
                <w:highlight w:val="none"/>
              </w:rPr>
            </w:pPr>
            <w:r>
              <w:rPr>
                <w:color w:val="auto"/>
                <w:sz w:val="18"/>
                <w:highlight w:val="none"/>
              </w:rPr>
              <w:t>2</w:t>
            </w:r>
          </w:p>
        </w:tc>
        <w:tc>
          <w:tcPr>
            <w:tcW w:w="2471" w:type="pct"/>
            <w:vAlign w:val="center"/>
          </w:tcPr>
          <w:p w14:paraId="242A7D24">
            <w:pPr>
              <w:pStyle w:val="59"/>
              <w:ind w:firstLine="0" w:firstLineChars="0"/>
              <w:rPr>
                <w:color w:val="auto"/>
                <w:sz w:val="18"/>
                <w:highlight w:val="none"/>
              </w:rPr>
            </w:pPr>
            <w:r>
              <w:rPr>
                <w:color w:val="auto"/>
                <w:sz w:val="18"/>
                <w:highlight w:val="none"/>
              </w:rPr>
              <w:t>与关键利益相关方开展社区参与活动：</w:t>
            </w:r>
          </w:p>
          <w:p w14:paraId="44D4CA1A">
            <w:pPr>
              <w:pStyle w:val="59"/>
              <w:numPr>
                <w:ilvl w:val="0"/>
                <w:numId w:val="91"/>
              </w:numPr>
              <w:ind w:firstLineChars="0"/>
              <w:rPr>
                <w:color w:val="auto"/>
                <w:sz w:val="18"/>
                <w:highlight w:val="none"/>
              </w:rPr>
            </w:pPr>
            <w:r>
              <w:rPr>
                <w:color w:val="auto"/>
                <w:sz w:val="18"/>
                <w:highlight w:val="none"/>
              </w:rPr>
              <w:t>围绕循证分析与评估结果展开讨论</w:t>
            </w:r>
            <w:r>
              <w:rPr>
                <w:rFonts w:hint="eastAsia"/>
                <w:color w:val="auto"/>
                <w:sz w:val="18"/>
                <w:highlight w:val="none"/>
              </w:rPr>
              <w:t>；</w:t>
            </w:r>
          </w:p>
          <w:p w14:paraId="03D8E3B3">
            <w:pPr>
              <w:pStyle w:val="59"/>
              <w:numPr>
                <w:ilvl w:val="0"/>
                <w:numId w:val="91"/>
              </w:numPr>
              <w:ind w:firstLineChars="0"/>
              <w:rPr>
                <w:color w:val="auto"/>
                <w:sz w:val="18"/>
                <w:highlight w:val="none"/>
              </w:rPr>
            </w:pPr>
            <w:r>
              <w:rPr>
                <w:color w:val="auto"/>
                <w:sz w:val="18"/>
                <w:highlight w:val="none"/>
              </w:rPr>
              <w:t>对已识别的冲击、压力与趋势，</w:t>
            </w:r>
            <w:r>
              <w:rPr>
                <w:rFonts w:hint="eastAsia"/>
                <w:color w:val="auto"/>
                <w:sz w:val="18"/>
                <w:highlight w:val="none"/>
              </w:rPr>
              <w:t>提供</w:t>
            </w:r>
            <w:r>
              <w:rPr>
                <w:color w:val="auto"/>
                <w:sz w:val="18"/>
                <w:highlight w:val="none"/>
              </w:rPr>
              <w:t>意见并进行审查</w:t>
            </w:r>
            <w:r>
              <w:rPr>
                <w:rFonts w:hint="eastAsia"/>
                <w:color w:val="auto"/>
                <w:sz w:val="18"/>
                <w:highlight w:val="none"/>
              </w:rPr>
              <w:t>；</w:t>
            </w:r>
          </w:p>
          <w:p w14:paraId="3CA72542">
            <w:pPr>
              <w:pStyle w:val="59"/>
              <w:numPr>
                <w:ilvl w:val="0"/>
                <w:numId w:val="91"/>
              </w:numPr>
              <w:ind w:firstLineChars="0"/>
              <w:rPr>
                <w:color w:val="auto"/>
                <w:sz w:val="18"/>
                <w:highlight w:val="none"/>
              </w:rPr>
            </w:pPr>
            <w:r>
              <w:rPr>
                <w:color w:val="auto"/>
                <w:sz w:val="18"/>
                <w:highlight w:val="none"/>
              </w:rPr>
              <w:t>理解系统间的</w:t>
            </w:r>
            <w:r>
              <w:rPr>
                <w:rFonts w:hint="eastAsia"/>
                <w:color w:val="auto"/>
                <w:sz w:val="18"/>
                <w:highlight w:val="none"/>
              </w:rPr>
              <w:t>相互依赖关系</w:t>
            </w:r>
            <w:r>
              <w:rPr>
                <w:color w:val="auto"/>
                <w:sz w:val="18"/>
                <w:highlight w:val="none"/>
              </w:rPr>
              <w:t>与关键作用环节</w:t>
            </w:r>
            <w:r>
              <w:rPr>
                <w:rFonts w:hint="eastAsia"/>
                <w:color w:val="auto"/>
                <w:sz w:val="18"/>
                <w:highlight w:val="none"/>
              </w:rPr>
              <w:t>；</w:t>
            </w:r>
          </w:p>
          <w:p w14:paraId="438F03B6">
            <w:pPr>
              <w:pStyle w:val="59"/>
              <w:numPr>
                <w:ilvl w:val="0"/>
                <w:numId w:val="91"/>
              </w:numPr>
              <w:ind w:firstLineChars="0"/>
              <w:rPr>
                <w:color w:val="auto"/>
                <w:sz w:val="18"/>
                <w:highlight w:val="none"/>
              </w:rPr>
            </w:pPr>
            <w:r>
              <w:rPr>
                <w:color w:val="auto"/>
                <w:sz w:val="18"/>
                <w:highlight w:val="none"/>
              </w:rPr>
              <w:t>就城市韧性战略应着力解决的优先行动事项达成共识</w:t>
            </w:r>
            <w:r>
              <w:rPr>
                <w:rFonts w:hint="eastAsia"/>
                <w:color w:val="auto"/>
                <w:sz w:val="18"/>
                <w:highlight w:val="none"/>
              </w:rPr>
              <w:t>。</w:t>
            </w:r>
          </w:p>
        </w:tc>
        <w:tc>
          <w:tcPr>
            <w:tcW w:w="1126" w:type="pct"/>
            <w:vAlign w:val="center"/>
          </w:tcPr>
          <w:p w14:paraId="2C7AA0AF">
            <w:pPr>
              <w:pStyle w:val="59"/>
              <w:ind w:firstLine="0" w:firstLineChars="0"/>
              <w:rPr>
                <w:color w:val="auto"/>
                <w:sz w:val="18"/>
                <w:highlight w:val="none"/>
              </w:rPr>
            </w:pPr>
            <w:r>
              <w:rPr>
                <w:rFonts w:hint="eastAsia"/>
                <w:color w:val="auto"/>
                <w:sz w:val="18"/>
                <w:highlight w:val="none"/>
              </w:rPr>
              <w:t>城市韧性建设领导小组组长</w:t>
            </w:r>
            <w:r>
              <w:rPr>
                <w:color w:val="auto"/>
                <w:sz w:val="18"/>
                <w:highlight w:val="none"/>
              </w:rPr>
              <w:t>/</w:t>
            </w:r>
            <w:r>
              <w:rPr>
                <w:rFonts w:hint="eastAsia"/>
                <w:color w:val="auto"/>
                <w:sz w:val="18"/>
                <w:highlight w:val="none"/>
              </w:rPr>
              <w:t>领导小组办公室</w:t>
            </w:r>
          </w:p>
        </w:tc>
        <w:tc>
          <w:tcPr>
            <w:tcW w:w="1097" w:type="pct"/>
            <w:vAlign w:val="center"/>
          </w:tcPr>
          <w:p w14:paraId="48E0D431">
            <w:pPr>
              <w:pStyle w:val="59"/>
              <w:ind w:firstLine="0" w:firstLineChars="0"/>
              <w:rPr>
                <w:color w:val="auto"/>
                <w:sz w:val="18"/>
                <w:highlight w:val="none"/>
              </w:rPr>
            </w:pPr>
            <w:r>
              <w:rPr>
                <w:color w:val="auto"/>
                <w:sz w:val="18"/>
                <w:highlight w:val="none"/>
              </w:rPr>
              <w:t>指导委员会；</w:t>
            </w:r>
            <w:r>
              <w:rPr>
                <w:rFonts w:hint="eastAsia"/>
                <w:color w:val="auto"/>
                <w:sz w:val="18"/>
                <w:highlight w:val="none"/>
              </w:rPr>
              <w:t>咨询委员会</w:t>
            </w:r>
          </w:p>
        </w:tc>
      </w:tr>
      <w:tr w14:paraId="6BA37FE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57" w:type="dxa"/>
            <w:left w:w="100" w:type="dxa"/>
            <w:bottom w:w="57" w:type="dxa"/>
            <w:right w:w="100" w:type="dxa"/>
          </w:tblCellMar>
        </w:tblPrEx>
        <w:trPr>
          <w:trHeight w:val="4060" w:hRule="atLeast"/>
          <w:jc w:val="center"/>
        </w:trPr>
        <w:tc>
          <w:tcPr>
            <w:tcW w:w="304" w:type="pct"/>
            <w:vAlign w:val="center"/>
          </w:tcPr>
          <w:p w14:paraId="3C13C589">
            <w:pPr>
              <w:pStyle w:val="59"/>
              <w:ind w:firstLine="0" w:firstLineChars="0"/>
              <w:jc w:val="center"/>
              <w:rPr>
                <w:color w:val="auto"/>
                <w:sz w:val="18"/>
                <w:highlight w:val="none"/>
              </w:rPr>
            </w:pPr>
            <w:r>
              <w:rPr>
                <w:color w:val="auto"/>
                <w:sz w:val="18"/>
                <w:highlight w:val="none"/>
              </w:rPr>
              <w:t>3</w:t>
            </w:r>
          </w:p>
        </w:tc>
        <w:tc>
          <w:tcPr>
            <w:tcW w:w="2471" w:type="pct"/>
            <w:vAlign w:val="center"/>
          </w:tcPr>
          <w:p w14:paraId="2F47C634">
            <w:pPr>
              <w:pStyle w:val="59"/>
              <w:ind w:firstLine="0" w:firstLineChars="0"/>
              <w:rPr>
                <w:color w:val="auto"/>
                <w:sz w:val="18"/>
                <w:highlight w:val="none"/>
              </w:rPr>
            </w:pPr>
            <w:r>
              <w:rPr>
                <w:color w:val="auto"/>
                <w:sz w:val="18"/>
                <w:highlight w:val="none"/>
              </w:rPr>
              <w:t>系统定义与理解</w:t>
            </w:r>
            <w:r>
              <w:rPr>
                <w:rFonts w:hint="eastAsia"/>
                <w:color w:val="auto"/>
                <w:sz w:val="18"/>
                <w:highlight w:val="none"/>
              </w:rPr>
              <w:t>：</w:t>
            </w:r>
          </w:p>
          <w:p w14:paraId="04F5E8D5">
            <w:pPr>
              <w:pStyle w:val="59"/>
              <w:numPr>
                <w:ilvl w:val="0"/>
                <w:numId w:val="92"/>
              </w:numPr>
              <w:ind w:firstLineChars="0"/>
              <w:rPr>
                <w:color w:val="auto"/>
                <w:sz w:val="18"/>
                <w:highlight w:val="none"/>
              </w:rPr>
            </w:pPr>
            <w:r>
              <w:rPr>
                <w:color w:val="auto"/>
                <w:sz w:val="18"/>
                <w:highlight w:val="none"/>
              </w:rPr>
              <w:t>确定战略所涉城市区域范围及战略的实施范畴</w:t>
            </w:r>
            <w:r>
              <w:rPr>
                <w:rFonts w:hint="eastAsia"/>
                <w:color w:val="auto"/>
                <w:sz w:val="18"/>
                <w:highlight w:val="none"/>
              </w:rPr>
              <w:t>；</w:t>
            </w:r>
          </w:p>
          <w:p w14:paraId="67396667">
            <w:pPr>
              <w:pStyle w:val="59"/>
              <w:numPr>
                <w:ilvl w:val="0"/>
                <w:numId w:val="92"/>
              </w:numPr>
              <w:ind w:firstLineChars="0"/>
              <w:rPr>
                <w:color w:val="auto"/>
                <w:sz w:val="18"/>
                <w:highlight w:val="none"/>
              </w:rPr>
            </w:pPr>
            <w:r>
              <w:rPr>
                <w:color w:val="auto"/>
                <w:sz w:val="18"/>
                <w:highlight w:val="none"/>
              </w:rPr>
              <w:t>绘制城市区域及其系统（涵盖人员、场所、治理等）</w:t>
            </w:r>
            <w:r>
              <w:rPr>
                <w:rFonts w:hint="eastAsia"/>
                <w:color w:val="auto"/>
                <w:sz w:val="18"/>
                <w:highlight w:val="none"/>
              </w:rPr>
              <w:t>的</w:t>
            </w:r>
            <w:r>
              <w:rPr>
                <w:color w:val="auto"/>
                <w:sz w:val="18"/>
                <w:highlight w:val="none"/>
              </w:rPr>
              <w:t>地图</w:t>
            </w:r>
            <w:r>
              <w:rPr>
                <w:rFonts w:hint="eastAsia"/>
                <w:color w:val="auto"/>
                <w:sz w:val="18"/>
                <w:highlight w:val="none"/>
              </w:rPr>
              <w:t>；</w:t>
            </w:r>
          </w:p>
          <w:p w14:paraId="390E674E">
            <w:pPr>
              <w:pStyle w:val="59"/>
              <w:numPr>
                <w:ilvl w:val="0"/>
                <w:numId w:val="92"/>
              </w:numPr>
              <w:ind w:firstLineChars="0"/>
              <w:rPr>
                <w:color w:val="auto"/>
                <w:sz w:val="18"/>
                <w:highlight w:val="none"/>
              </w:rPr>
            </w:pPr>
            <w:r>
              <w:rPr>
                <w:color w:val="auto"/>
                <w:sz w:val="18"/>
                <w:highlight w:val="none"/>
              </w:rPr>
              <w:t>阐明城市社会价值如何通过这些系统实现</w:t>
            </w:r>
            <w:r>
              <w:rPr>
                <w:rFonts w:hint="eastAsia"/>
                <w:color w:val="auto"/>
                <w:sz w:val="18"/>
                <w:highlight w:val="none"/>
              </w:rPr>
              <w:t>；</w:t>
            </w:r>
          </w:p>
          <w:p w14:paraId="1D2B7D7B">
            <w:pPr>
              <w:pStyle w:val="59"/>
              <w:numPr>
                <w:ilvl w:val="0"/>
                <w:numId w:val="92"/>
              </w:numPr>
              <w:ind w:firstLineChars="0"/>
              <w:rPr>
                <w:color w:val="auto"/>
                <w:sz w:val="18"/>
                <w:highlight w:val="none"/>
              </w:rPr>
            </w:pPr>
            <w:r>
              <w:rPr>
                <w:color w:val="auto"/>
                <w:sz w:val="18"/>
                <w:highlight w:val="none"/>
              </w:rPr>
              <w:t>开展系统各组成部分的</w:t>
            </w:r>
            <w:r>
              <w:rPr>
                <w:rFonts w:hint="eastAsia"/>
                <w:color w:val="auto"/>
                <w:sz w:val="18"/>
                <w:highlight w:val="none"/>
              </w:rPr>
              <w:t>相互依赖关系</w:t>
            </w:r>
            <w:r>
              <w:rPr>
                <w:color w:val="auto"/>
                <w:sz w:val="18"/>
                <w:highlight w:val="none"/>
              </w:rPr>
              <w:t>分析</w:t>
            </w:r>
            <w:r>
              <w:rPr>
                <w:rFonts w:hint="eastAsia"/>
                <w:color w:val="auto"/>
                <w:sz w:val="18"/>
                <w:highlight w:val="none"/>
              </w:rPr>
              <w:t>；</w:t>
            </w:r>
          </w:p>
          <w:p w14:paraId="4BC37BE9">
            <w:pPr>
              <w:pStyle w:val="59"/>
              <w:numPr>
                <w:ilvl w:val="0"/>
                <w:numId w:val="92"/>
              </w:numPr>
              <w:ind w:firstLineChars="0"/>
              <w:rPr>
                <w:color w:val="auto"/>
                <w:sz w:val="18"/>
                <w:highlight w:val="none"/>
              </w:rPr>
            </w:pPr>
            <w:r>
              <w:rPr>
                <w:color w:val="auto"/>
                <w:sz w:val="18"/>
                <w:highlight w:val="none"/>
              </w:rPr>
              <w:t>结合</w:t>
            </w:r>
            <w:r>
              <w:rPr>
                <w:rFonts w:hint="eastAsia"/>
                <w:color w:val="auto"/>
                <w:sz w:val="18"/>
                <w:highlight w:val="none"/>
              </w:rPr>
              <w:t>依赖性分析</w:t>
            </w:r>
            <w:r>
              <w:rPr>
                <w:color w:val="auto"/>
                <w:sz w:val="18"/>
                <w:highlight w:val="none"/>
              </w:rPr>
              <w:t>及对价值实现的贡献度，识别关键组成部分</w:t>
            </w:r>
            <w:r>
              <w:rPr>
                <w:rFonts w:hint="eastAsia"/>
                <w:color w:val="auto"/>
                <w:sz w:val="18"/>
                <w:highlight w:val="none"/>
              </w:rPr>
              <w:t>。</w:t>
            </w:r>
          </w:p>
        </w:tc>
        <w:tc>
          <w:tcPr>
            <w:tcW w:w="1126" w:type="pct"/>
            <w:vAlign w:val="center"/>
          </w:tcPr>
          <w:p w14:paraId="32EA5623">
            <w:pPr>
              <w:pStyle w:val="59"/>
              <w:ind w:firstLine="0" w:firstLineChars="0"/>
              <w:rPr>
                <w:color w:val="auto"/>
                <w:sz w:val="18"/>
                <w:highlight w:val="none"/>
              </w:rPr>
            </w:pPr>
            <w:r>
              <w:rPr>
                <w:rFonts w:hint="eastAsia"/>
                <w:color w:val="auto"/>
                <w:sz w:val="18"/>
                <w:highlight w:val="none"/>
              </w:rPr>
              <w:t>城市韧性建设领导小组组长</w:t>
            </w:r>
            <w:r>
              <w:rPr>
                <w:color w:val="auto"/>
                <w:sz w:val="18"/>
                <w:highlight w:val="none"/>
              </w:rPr>
              <w:t>/</w:t>
            </w:r>
            <w:r>
              <w:rPr>
                <w:rFonts w:hint="eastAsia"/>
                <w:color w:val="auto"/>
                <w:sz w:val="18"/>
                <w:highlight w:val="none"/>
              </w:rPr>
              <w:t>领导小组办公室</w:t>
            </w:r>
          </w:p>
        </w:tc>
        <w:tc>
          <w:tcPr>
            <w:tcW w:w="1097" w:type="pct"/>
            <w:vAlign w:val="center"/>
          </w:tcPr>
          <w:p w14:paraId="0972B1CF">
            <w:pPr>
              <w:pStyle w:val="59"/>
              <w:ind w:firstLine="0" w:firstLineChars="0"/>
              <w:rPr>
                <w:color w:val="auto"/>
                <w:sz w:val="18"/>
                <w:highlight w:val="none"/>
              </w:rPr>
            </w:pPr>
            <w:r>
              <w:rPr>
                <w:color w:val="auto"/>
                <w:sz w:val="18"/>
                <w:highlight w:val="none"/>
              </w:rPr>
              <w:t>指导委员会；城市规划人员</w:t>
            </w:r>
          </w:p>
        </w:tc>
      </w:tr>
      <w:tr w14:paraId="1F55A98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57" w:type="dxa"/>
            <w:left w:w="100" w:type="dxa"/>
            <w:bottom w:w="57" w:type="dxa"/>
            <w:right w:w="100" w:type="dxa"/>
          </w:tblCellMar>
        </w:tblPrEx>
        <w:trPr>
          <w:trHeight w:val="1160" w:hRule="atLeast"/>
          <w:jc w:val="center"/>
        </w:trPr>
        <w:tc>
          <w:tcPr>
            <w:tcW w:w="304" w:type="pct"/>
            <w:vAlign w:val="center"/>
          </w:tcPr>
          <w:p w14:paraId="0A0FEA91">
            <w:pPr>
              <w:pStyle w:val="59"/>
              <w:ind w:firstLine="0" w:firstLineChars="0"/>
              <w:jc w:val="center"/>
              <w:rPr>
                <w:color w:val="auto"/>
                <w:sz w:val="18"/>
                <w:highlight w:val="none"/>
              </w:rPr>
            </w:pPr>
            <w:r>
              <w:rPr>
                <w:color w:val="auto"/>
                <w:sz w:val="18"/>
                <w:highlight w:val="none"/>
              </w:rPr>
              <w:t>4</w:t>
            </w:r>
          </w:p>
        </w:tc>
        <w:tc>
          <w:tcPr>
            <w:tcW w:w="2471" w:type="pct"/>
            <w:vAlign w:val="center"/>
          </w:tcPr>
          <w:p w14:paraId="6B877D8B">
            <w:pPr>
              <w:pStyle w:val="59"/>
              <w:ind w:firstLine="0" w:firstLineChars="0"/>
              <w:rPr>
                <w:color w:val="auto"/>
                <w:sz w:val="18"/>
                <w:highlight w:val="none"/>
              </w:rPr>
            </w:pPr>
            <w:r>
              <w:rPr>
                <w:color w:val="auto"/>
                <w:sz w:val="18"/>
                <w:highlight w:val="none"/>
              </w:rPr>
              <w:t>风险识别与评估，包括冲击、压力、趋势与机遇等内容。</w:t>
            </w:r>
          </w:p>
        </w:tc>
        <w:tc>
          <w:tcPr>
            <w:tcW w:w="1126" w:type="pct"/>
            <w:vAlign w:val="center"/>
          </w:tcPr>
          <w:p w14:paraId="64880B6A">
            <w:pPr>
              <w:pStyle w:val="59"/>
              <w:ind w:firstLine="0" w:firstLineChars="0"/>
              <w:rPr>
                <w:color w:val="auto"/>
                <w:sz w:val="18"/>
                <w:highlight w:val="none"/>
              </w:rPr>
            </w:pPr>
            <w:r>
              <w:rPr>
                <w:rFonts w:hint="eastAsia"/>
                <w:color w:val="auto"/>
                <w:sz w:val="18"/>
                <w:highlight w:val="none"/>
              </w:rPr>
              <w:t>城市韧性建设领导小组组长</w:t>
            </w:r>
            <w:r>
              <w:rPr>
                <w:color w:val="auto"/>
                <w:sz w:val="18"/>
                <w:highlight w:val="none"/>
              </w:rPr>
              <w:t>/</w:t>
            </w:r>
            <w:r>
              <w:rPr>
                <w:rFonts w:hint="eastAsia"/>
                <w:color w:val="auto"/>
                <w:sz w:val="18"/>
                <w:highlight w:val="none"/>
              </w:rPr>
              <w:t>领导小组办公室</w:t>
            </w:r>
          </w:p>
        </w:tc>
        <w:tc>
          <w:tcPr>
            <w:tcW w:w="1097" w:type="pct"/>
            <w:vAlign w:val="center"/>
          </w:tcPr>
          <w:p w14:paraId="30887637">
            <w:pPr>
              <w:pStyle w:val="59"/>
              <w:ind w:firstLine="0" w:firstLineChars="0"/>
              <w:rPr>
                <w:color w:val="auto"/>
                <w:sz w:val="18"/>
                <w:highlight w:val="none"/>
              </w:rPr>
            </w:pPr>
            <w:r>
              <w:rPr>
                <w:color w:val="auto"/>
                <w:sz w:val="18"/>
                <w:highlight w:val="none"/>
              </w:rPr>
              <w:t>指导委员会；</w:t>
            </w:r>
            <w:r>
              <w:rPr>
                <w:rFonts w:hint="eastAsia"/>
                <w:color w:val="auto"/>
                <w:sz w:val="18"/>
                <w:highlight w:val="none"/>
              </w:rPr>
              <w:t>咨询委员会</w:t>
            </w:r>
            <w:r>
              <w:rPr>
                <w:color w:val="auto"/>
                <w:sz w:val="18"/>
                <w:highlight w:val="none"/>
              </w:rPr>
              <w:t>；城市韧性建设领导小组；</w:t>
            </w:r>
            <w:r>
              <w:rPr>
                <w:rFonts w:hint="eastAsia"/>
                <w:color w:val="auto"/>
                <w:sz w:val="18"/>
                <w:highlight w:val="none"/>
              </w:rPr>
              <w:t>领域</w:t>
            </w:r>
            <w:r>
              <w:rPr>
                <w:color w:val="auto"/>
                <w:sz w:val="18"/>
                <w:highlight w:val="none"/>
              </w:rPr>
              <w:t>专家</w:t>
            </w:r>
          </w:p>
        </w:tc>
      </w:tr>
      <w:tr w14:paraId="11009AB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57" w:type="dxa"/>
            <w:left w:w="100" w:type="dxa"/>
            <w:bottom w:w="57" w:type="dxa"/>
            <w:right w:w="100" w:type="dxa"/>
          </w:tblCellMar>
        </w:tblPrEx>
        <w:trPr>
          <w:trHeight w:val="2532" w:hRule="atLeast"/>
          <w:jc w:val="center"/>
        </w:trPr>
        <w:tc>
          <w:tcPr>
            <w:tcW w:w="304" w:type="pct"/>
            <w:vAlign w:val="center"/>
          </w:tcPr>
          <w:p w14:paraId="7D65539B">
            <w:pPr>
              <w:pStyle w:val="59"/>
              <w:ind w:firstLine="0" w:firstLineChars="0"/>
              <w:jc w:val="center"/>
              <w:rPr>
                <w:color w:val="auto"/>
                <w:sz w:val="18"/>
                <w:highlight w:val="none"/>
              </w:rPr>
            </w:pPr>
            <w:r>
              <w:rPr>
                <w:color w:val="auto"/>
                <w:sz w:val="18"/>
                <w:highlight w:val="none"/>
              </w:rPr>
              <w:t>5</w:t>
            </w:r>
          </w:p>
        </w:tc>
        <w:tc>
          <w:tcPr>
            <w:tcW w:w="2471" w:type="pct"/>
            <w:vAlign w:val="center"/>
          </w:tcPr>
          <w:p w14:paraId="3A0B9C91">
            <w:pPr>
              <w:pStyle w:val="59"/>
              <w:ind w:firstLine="0" w:firstLineChars="0"/>
              <w:rPr>
                <w:color w:val="auto"/>
                <w:sz w:val="18"/>
                <w:highlight w:val="none"/>
              </w:rPr>
            </w:pPr>
            <w:r>
              <w:rPr>
                <w:color w:val="auto"/>
                <w:sz w:val="18"/>
                <w:highlight w:val="none"/>
              </w:rPr>
              <w:t>开展</w:t>
            </w:r>
            <w:r>
              <w:rPr>
                <w:rFonts w:hint="eastAsia"/>
                <w:color w:val="auto"/>
                <w:sz w:val="18"/>
                <w:highlight w:val="none"/>
              </w:rPr>
              <w:t>基础</w:t>
            </w:r>
            <w:r>
              <w:rPr>
                <w:color w:val="auto"/>
                <w:sz w:val="18"/>
                <w:highlight w:val="none"/>
              </w:rPr>
              <w:t>系统韧性评估</w:t>
            </w:r>
          </w:p>
          <w:p w14:paraId="2B7AAE13">
            <w:pPr>
              <w:pStyle w:val="59"/>
              <w:numPr>
                <w:ilvl w:val="0"/>
                <w:numId w:val="93"/>
              </w:numPr>
              <w:ind w:firstLineChars="0"/>
              <w:rPr>
                <w:color w:val="auto"/>
                <w:sz w:val="18"/>
                <w:highlight w:val="none"/>
              </w:rPr>
            </w:pPr>
            <w:r>
              <w:rPr>
                <w:color w:val="auto"/>
                <w:sz w:val="18"/>
                <w:highlight w:val="none"/>
              </w:rPr>
              <w:t>系统风险——评估关键系统组成部分</w:t>
            </w:r>
            <w:r>
              <w:rPr>
                <w:rFonts w:hint="eastAsia"/>
                <w:color w:val="auto"/>
                <w:sz w:val="18"/>
                <w:highlight w:val="none"/>
              </w:rPr>
              <w:t>对</w:t>
            </w:r>
            <w:r>
              <w:rPr>
                <w:color w:val="auto"/>
                <w:sz w:val="18"/>
                <w:highlight w:val="none"/>
              </w:rPr>
              <w:t>已识别冲击、压力与趋势的</w:t>
            </w:r>
            <w:r>
              <w:rPr>
                <w:rFonts w:hint="eastAsia"/>
                <w:color w:val="auto"/>
                <w:sz w:val="18"/>
                <w:highlight w:val="none"/>
              </w:rPr>
              <w:t>暴露度</w:t>
            </w:r>
            <w:r>
              <w:rPr>
                <w:color w:val="auto"/>
                <w:sz w:val="18"/>
                <w:highlight w:val="none"/>
              </w:rPr>
              <w:t>风险</w:t>
            </w:r>
            <w:r>
              <w:rPr>
                <w:rFonts w:hint="eastAsia"/>
                <w:color w:val="auto"/>
                <w:sz w:val="18"/>
                <w:highlight w:val="none"/>
              </w:rPr>
              <w:t>水平；</w:t>
            </w:r>
          </w:p>
          <w:p w14:paraId="6447409B">
            <w:pPr>
              <w:pStyle w:val="59"/>
              <w:numPr>
                <w:ilvl w:val="0"/>
                <w:numId w:val="93"/>
              </w:numPr>
              <w:ind w:firstLineChars="0"/>
              <w:rPr>
                <w:color w:val="auto"/>
                <w:sz w:val="18"/>
                <w:highlight w:val="none"/>
              </w:rPr>
            </w:pPr>
            <w:r>
              <w:rPr>
                <w:color w:val="auto"/>
                <w:sz w:val="18"/>
                <w:highlight w:val="none"/>
              </w:rPr>
              <w:t>系统能力——考量关键系统组成部分的脆弱性，评估其减轻与适应冲击及压力影响的能力</w:t>
            </w:r>
            <w:r>
              <w:rPr>
                <w:rFonts w:hint="eastAsia"/>
                <w:color w:val="auto"/>
                <w:sz w:val="18"/>
                <w:highlight w:val="none"/>
              </w:rPr>
              <w:t>；</w:t>
            </w:r>
          </w:p>
          <w:p w14:paraId="5888A717">
            <w:pPr>
              <w:pStyle w:val="59"/>
              <w:numPr>
                <w:ilvl w:val="0"/>
                <w:numId w:val="93"/>
              </w:numPr>
              <w:ind w:firstLineChars="0"/>
              <w:rPr>
                <w:color w:val="auto"/>
                <w:sz w:val="18"/>
                <w:highlight w:val="none"/>
              </w:rPr>
            </w:pPr>
            <w:r>
              <w:rPr>
                <w:rFonts w:hint="eastAsia"/>
                <w:color w:val="auto"/>
                <w:sz w:val="18"/>
                <w:highlight w:val="none"/>
              </w:rPr>
              <w:t>差距</w:t>
            </w:r>
            <w:r>
              <w:rPr>
                <w:color w:val="auto"/>
                <w:sz w:val="18"/>
                <w:highlight w:val="none"/>
              </w:rPr>
              <w:t>分析——识别系统风险与系统能力之间存在的</w:t>
            </w:r>
            <w:r>
              <w:rPr>
                <w:rFonts w:hint="eastAsia"/>
                <w:color w:val="auto"/>
                <w:sz w:val="18"/>
                <w:highlight w:val="none"/>
              </w:rPr>
              <w:t>“</w:t>
            </w:r>
            <w:r>
              <w:rPr>
                <w:color w:val="auto"/>
                <w:sz w:val="18"/>
                <w:highlight w:val="none"/>
              </w:rPr>
              <w:t>韧性</w:t>
            </w:r>
            <w:r>
              <w:rPr>
                <w:rFonts w:hint="eastAsia"/>
                <w:color w:val="auto"/>
                <w:sz w:val="18"/>
                <w:highlight w:val="none"/>
              </w:rPr>
              <w:t>差距”</w:t>
            </w:r>
            <w:r>
              <w:rPr>
                <w:color w:val="auto"/>
                <w:sz w:val="18"/>
                <w:highlight w:val="none"/>
              </w:rPr>
              <w:t>或剩余风险</w:t>
            </w:r>
            <w:r>
              <w:rPr>
                <w:rFonts w:hint="eastAsia"/>
                <w:color w:val="auto"/>
                <w:sz w:val="18"/>
                <w:highlight w:val="none"/>
              </w:rPr>
              <w:t>。</w:t>
            </w:r>
          </w:p>
        </w:tc>
        <w:tc>
          <w:tcPr>
            <w:tcW w:w="1126" w:type="pct"/>
            <w:vAlign w:val="center"/>
          </w:tcPr>
          <w:p w14:paraId="0DE9BE3F">
            <w:pPr>
              <w:pStyle w:val="59"/>
              <w:ind w:firstLine="0" w:firstLineChars="0"/>
              <w:rPr>
                <w:color w:val="auto"/>
                <w:sz w:val="18"/>
                <w:highlight w:val="none"/>
              </w:rPr>
            </w:pPr>
            <w:r>
              <w:rPr>
                <w:rFonts w:hint="eastAsia"/>
                <w:color w:val="auto"/>
                <w:sz w:val="18"/>
                <w:highlight w:val="none"/>
              </w:rPr>
              <w:t>城市韧性建设领导小组组长</w:t>
            </w:r>
            <w:r>
              <w:rPr>
                <w:color w:val="auto"/>
                <w:sz w:val="18"/>
                <w:highlight w:val="none"/>
              </w:rPr>
              <w:t>/</w:t>
            </w:r>
            <w:r>
              <w:rPr>
                <w:rFonts w:hint="eastAsia"/>
                <w:color w:val="auto"/>
                <w:sz w:val="18"/>
                <w:highlight w:val="none"/>
              </w:rPr>
              <w:t>领导小组办公室</w:t>
            </w:r>
          </w:p>
        </w:tc>
        <w:tc>
          <w:tcPr>
            <w:tcW w:w="1097" w:type="pct"/>
            <w:vAlign w:val="center"/>
          </w:tcPr>
          <w:p w14:paraId="4E45C46C">
            <w:pPr>
              <w:pStyle w:val="59"/>
              <w:ind w:firstLine="0" w:firstLineChars="0"/>
              <w:rPr>
                <w:color w:val="auto"/>
                <w:sz w:val="18"/>
                <w:highlight w:val="none"/>
              </w:rPr>
            </w:pPr>
            <w:r>
              <w:rPr>
                <w:color w:val="auto"/>
                <w:sz w:val="18"/>
                <w:highlight w:val="none"/>
              </w:rPr>
              <w:t>指导委员会；</w:t>
            </w:r>
            <w:r>
              <w:rPr>
                <w:rFonts w:hint="eastAsia"/>
                <w:color w:val="auto"/>
                <w:sz w:val="18"/>
                <w:highlight w:val="none"/>
              </w:rPr>
              <w:t>咨询委员会</w:t>
            </w:r>
            <w:r>
              <w:rPr>
                <w:color w:val="auto"/>
                <w:sz w:val="18"/>
                <w:highlight w:val="none"/>
              </w:rPr>
              <w:t>；</w:t>
            </w:r>
            <w:r>
              <w:rPr>
                <w:rFonts w:hint="eastAsia"/>
                <w:color w:val="auto"/>
                <w:sz w:val="18"/>
                <w:highlight w:val="none"/>
              </w:rPr>
              <w:t>领域</w:t>
            </w:r>
            <w:r>
              <w:rPr>
                <w:color w:val="auto"/>
                <w:sz w:val="18"/>
                <w:highlight w:val="none"/>
              </w:rPr>
              <w:t>专家</w:t>
            </w:r>
          </w:p>
        </w:tc>
      </w:tr>
      <w:tr w14:paraId="2B36CFA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57" w:type="dxa"/>
            <w:left w:w="100" w:type="dxa"/>
            <w:bottom w:w="57" w:type="dxa"/>
            <w:right w:w="100" w:type="dxa"/>
          </w:tblCellMar>
        </w:tblPrEx>
        <w:trPr>
          <w:trHeight w:val="90" w:hRule="atLeast"/>
          <w:jc w:val="center"/>
        </w:trPr>
        <w:tc>
          <w:tcPr>
            <w:tcW w:w="304" w:type="pct"/>
            <w:vAlign w:val="center"/>
          </w:tcPr>
          <w:p w14:paraId="31210869">
            <w:pPr>
              <w:pStyle w:val="59"/>
              <w:ind w:firstLine="0" w:firstLineChars="0"/>
              <w:jc w:val="center"/>
              <w:rPr>
                <w:color w:val="auto"/>
                <w:sz w:val="18"/>
                <w:highlight w:val="none"/>
              </w:rPr>
            </w:pPr>
            <w:r>
              <w:rPr>
                <w:color w:val="auto"/>
                <w:sz w:val="18"/>
                <w:highlight w:val="none"/>
              </w:rPr>
              <w:t>6</w:t>
            </w:r>
          </w:p>
        </w:tc>
        <w:tc>
          <w:tcPr>
            <w:tcW w:w="2471" w:type="pct"/>
            <w:vAlign w:val="center"/>
          </w:tcPr>
          <w:p w14:paraId="5208D44F">
            <w:pPr>
              <w:pStyle w:val="59"/>
              <w:ind w:firstLine="0" w:firstLineChars="0"/>
              <w:rPr>
                <w:color w:val="auto"/>
                <w:sz w:val="18"/>
                <w:highlight w:val="none"/>
              </w:rPr>
            </w:pPr>
            <w:r>
              <w:rPr>
                <w:color w:val="auto"/>
                <w:sz w:val="18"/>
                <w:highlight w:val="none"/>
              </w:rPr>
              <w:t>开展情景规划与测试</w:t>
            </w:r>
          </w:p>
          <w:p w14:paraId="6CB67889">
            <w:pPr>
              <w:pStyle w:val="59"/>
              <w:numPr>
                <w:ilvl w:val="0"/>
                <w:numId w:val="94"/>
              </w:numPr>
              <w:ind w:firstLineChars="0"/>
              <w:rPr>
                <w:color w:val="auto"/>
                <w:sz w:val="18"/>
                <w:highlight w:val="none"/>
              </w:rPr>
            </w:pPr>
            <w:r>
              <w:rPr>
                <w:color w:val="auto"/>
                <w:sz w:val="18"/>
                <w:highlight w:val="none"/>
              </w:rPr>
              <w:t>制定合理情景</w:t>
            </w:r>
            <w:r>
              <w:rPr>
                <w:rFonts w:hint="eastAsia"/>
                <w:color w:val="auto"/>
                <w:sz w:val="18"/>
                <w:highlight w:val="none"/>
              </w:rPr>
              <w:t>；</w:t>
            </w:r>
          </w:p>
          <w:p w14:paraId="5A08E320">
            <w:pPr>
              <w:pStyle w:val="59"/>
              <w:numPr>
                <w:ilvl w:val="0"/>
                <w:numId w:val="94"/>
              </w:numPr>
              <w:ind w:firstLineChars="0"/>
              <w:rPr>
                <w:color w:val="auto"/>
                <w:sz w:val="18"/>
                <w:highlight w:val="none"/>
              </w:rPr>
            </w:pPr>
            <w:r>
              <w:rPr>
                <w:color w:val="auto"/>
                <w:sz w:val="18"/>
                <w:highlight w:val="none"/>
              </w:rPr>
              <w:t>对系统模型进行虚拟压力测试，即</w:t>
            </w:r>
            <w:r>
              <w:rPr>
                <w:rFonts w:hint="eastAsia"/>
                <w:color w:val="auto"/>
                <w:sz w:val="18"/>
                <w:highlight w:val="none"/>
              </w:rPr>
              <w:t>“</w:t>
            </w:r>
            <w:r>
              <w:rPr>
                <w:color w:val="auto"/>
                <w:sz w:val="18"/>
                <w:highlight w:val="none"/>
              </w:rPr>
              <w:t>假设分析</w:t>
            </w:r>
            <w:r>
              <w:rPr>
                <w:rFonts w:hint="eastAsia"/>
                <w:color w:val="auto"/>
                <w:sz w:val="18"/>
                <w:highlight w:val="none"/>
              </w:rPr>
              <w:t>”；</w:t>
            </w:r>
          </w:p>
          <w:p w14:paraId="07683529">
            <w:pPr>
              <w:pStyle w:val="59"/>
              <w:numPr>
                <w:ilvl w:val="0"/>
                <w:numId w:val="94"/>
              </w:numPr>
              <w:ind w:firstLineChars="0"/>
              <w:rPr>
                <w:color w:val="auto"/>
                <w:sz w:val="18"/>
                <w:highlight w:val="none"/>
              </w:rPr>
            </w:pPr>
            <w:r>
              <w:rPr>
                <w:color w:val="auto"/>
                <w:sz w:val="18"/>
                <w:highlight w:val="none"/>
              </w:rPr>
              <w:t>开展城市韧性演练，测试对紧急情</w:t>
            </w:r>
            <w:r>
              <w:rPr>
                <w:rFonts w:hint="eastAsia"/>
                <w:color w:val="auto"/>
                <w:sz w:val="18"/>
                <w:highlight w:val="none"/>
              </w:rPr>
              <w:t>况</w:t>
            </w:r>
            <w:r>
              <w:rPr>
                <w:color w:val="auto"/>
                <w:sz w:val="18"/>
                <w:highlight w:val="none"/>
              </w:rPr>
              <w:t>的响应能力</w:t>
            </w:r>
            <w:r>
              <w:rPr>
                <w:rFonts w:hint="eastAsia"/>
                <w:color w:val="auto"/>
                <w:sz w:val="18"/>
                <w:highlight w:val="none"/>
              </w:rPr>
              <w:t>。</w:t>
            </w:r>
          </w:p>
        </w:tc>
        <w:tc>
          <w:tcPr>
            <w:tcW w:w="1126" w:type="pct"/>
            <w:vAlign w:val="center"/>
          </w:tcPr>
          <w:p w14:paraId="788C3C94">
            <w:pPr>
              <w:pStyle w:val="59"/>
              <w:ind w:firstLine="0" w:firstLineChars="0"/>
              <w:rPr>
                <w:color w:val="auto"/>
                <w:sz w:val="18"/>
                <w:highlight w:val="none"/>
              </w:rPr>
            </w:pPr>
            <w:r>
              <w:rPr>
                <w:rFonts w:hint="eastAsia"/>
                <w:color w:val="auto"/>
                <w:sz w:val="18"/>
                <w:highlight w:val="none"/>
              </w:rPr>
              <w:t>城市韧性建设领导小组组长</w:t>
            </w:r>
            <w:r>
              <w:rPr>
                <w:color w:val="auto"/>
                <w:sz w:val="18"/>
                <w:highlight w:val="none"/>
              </w:rPr>
              <w:t>/</w:t>
            </w:r>
            <w:r>
              <w:rPr>
                <w:rFonts w:hint="eastAsia"/>
                <w:color w:val="auto"/>
                <w:sz w:val="18"/>
                <w:highlight w:val="none"/>
              </w:rPr>
              <w:t>领导小组办公室</w:t>
            </w:r>
          </w:p>
        </w:tc>
        <w:tc>
          <w:tcPr>
            <w:tcW w:w="1097" w:type="pct"/>
            <w:vAlign w:val="center"/>
          </w:tcPr>
          <w:p w14:paraId="1DEEC977">
            <w:pPr>
              <w:pStyle w:val="59"/>
              <w:ind w:firstLine="0" w:firstLineChars="0"/>
              <w:rPr>
                <w:color w:val="auto"/>
                <w:sz w:val="18"/>
                <w:highlight w:val="none"/>
              </w:rPr>
            </w:pPr>
            <w:r>
              <w:rPr>
                <w:color w:val="auto"/>
                <w:sz w:val="18"/>
                <w:highlight w:val="none"/>
              </w:rPr>
              <w:t>指导委员会；</w:t>
            </w:r>
            <w:r>
              <w:rPr>
                <w:rFonts w:hint="eastAsia"/>
                <w:color w:val="auto"/>
                <w:sz w:val="18"/>
                <w:highlight w:val="none"/>
              </w:rPr>
              <w:t>咨询委员会</w:t>
            </w:r>
            <w:r>
              <w:rPr>
                <w:color w:val="auto"/>
                <w:sz w:val="18"/>
                <w:highlight w:val="none"/>
              </w:rPr>
              <w:t>；应急规划人员</w:t>
            </w:r>
          </w:p>
        </w:tc>
      </w:tr>
      <w:tr w14:paraId="1362968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57" w:type="dxa"/>
            <w:left w:w="100" w:type="dxa"/>
            <w:bottom w:w="57" w:type="dxa"/>
            <w:right w:w="100" w:type="dxa"/>
          </w:tblCellMar>
        </w:tblPrEx>
        <w:trPr>
          <w:trHeight w:val="580" w:hRule="atLeast"/>
          <w:jc w:val="center"/>
        </w:trPr>
        <w:tc>
          <w:tcPr>
            <w:tcW w:w="304" w:type="pct"/>
            <w:vAlign w:val="center"/>
          </w:tcPr>
          <w:p w14:paraId="52E3D0EF">
            <w:pPr>
              <w:pStyle w:val="59"/>
              <w:ind w:firstLine="0" w:firstLineChars="0"/>
              <w:jc w:val="center"/>
              <w:rPr>
                <w:color w:val="auto"/>
                <w:sz w:val="18"/>
                <w:highlight w:val="none"/>
              </w:rPr>
            </w:pPr>
            <w:r>
              <w:rPr>
                <w:color w:val="auto"/>
                <w:sz w:val="18"/>
                <w:highlight w:val="none"/>
              </w:rPr>
              <w:t>7</w:t>
            </w:r>
          </w:p>
        </w:tc>
        <w:tc>
          <w:tcPr>
            <w:tcW w:w="2471" w:type="pct"/>
            <w:vAlign w:val="center"/>
          </w:tcPr>
          <w:p w14:paraId="67D21BB8">
            <w:pPr>
              <w:pStyle w:val="59"/>
              <w:ind w:firstLine="0" w:firstLineChars="0"/>
              <w:rPr>
                <w:color w:val="auto"/>
                <w:sz w:val="18"/>
                <w:highlight w:val="none"/>
              </w:rPr>
            </w:pPr>
            <w:r>
              <w:rPr>
                <w:color w:val="auto"/>
                <w:sz w:val="18"/>
                <w:highlight w:val="none"/>
              </w:rPr>
              <w:t>识别城市韧性需求并进行优先级排序</w:t>
            </w:r>
            <w:r>
              <w:rPr>
                <w:rFonts w:hint="eastAsia"/>
                <w:color w:val="auto"/>
                <w:sz w:val="18"/>
                <w:highlight w:val="none"/>
              </w:rPr>
              <w:t>。</w:t>
            </w:r>
          </w:p>
        </w:tc>
        <w:tc>
          <w:tcPr>
            <w:tcW w:w="1126" w:type="pct"/>
            <w:vAlign w:val="center"/>
          </w:tcPr>
          <w:p w14:paraId="04BD9DEC">
            <w:pPr>
              <w:pStyle w:val="59"/>
              <w:ind w:firstLine="0" w:firstLineChars="0"/>
              <w:rPr>
                <w:color w:val="auto"/>
                <w:sz w:val="18"/>
                <w:highlight w:val="none"/>
              </w:rPr>
            </w:pPr>
            <w:r>
              <w:rPr>
                <w:rFonts w:hint="eastAsia"/>
                <w:color w:val="auto"/>
                <w:sz w:val="18"/>
                <w:highlight w:val="none"/>
              </w:rPr>
              <w:t>城市韧性建设领导小组组长</w:t>
            </w:r>
            <w:r>
              <w:rPr>
                <w:color w:val="auto"/>
                <w:sz w:val="18"/>
                <w:highlight w:val="none"/>
              </w:rPr>
              <w:t>/</w:t>
            </w:r>
            <w:r>
              <w:rPr>
                <w:rFonts w:hint="eastAsia"/>
                <w:color w:val="auto"/>
                <w:sz w:val="18"/>
                <w:highlight w:val="none"/>
              </w:rPr>
              <w:t>领导小组办公室</w:t>
            </w:r>
          </w:p>
        </w:tc>
        <w:tc>
          <w:tcPr>
            <w:tcW w:w="1097" w:type="pct"/>
            <w:vAlign w:val="center"/>
          </w:tcPr>
          <w:p w14:paraId="662D5340">
            <w:pPr>
              <w:pStyle w:val="59"/>
              <w:ind w:firstLine="0" w:firstLineChars="0"/>
              <w:rPr>
                <w:color w:val="auto"/>
                <w:sz w:val="18"/>
                <w:highlight w:val="none"/>
              </w:rPr>
            </w:pPr>
            <w:r>
              <w:rPr>
                <w:color w:val="auto"/>
                <w:sz w:val="18"/>
                <w:highlight w:val="none"/>
              </w:rPr>
              <w:t>指导委员会；</w:t>
            </w:r>
            <w:r>
              <w:rPr>
                <w:rFonts w:hint="eastAsia"/>
                <w:color w:val="auto"/>
                <w:sz w:val="18"/>
                <w:highlight w:val="none"/>
              </w:rPr>
              <w:t>咨询委员会</w:t>
            </w:r>
          </w:p>
        </w:tc>
      </w:tr>
    </w:tbl>
    <w:p w14:paraId="091A6D0A">
      <w:pPr>
        <w:pStyle w:val="80"/>
        <w:spacing w:before="156" w:after="156"/>
        <w:rPr>
          <w:bCs/>
          <w:color w:val="auto"/>
          <w:highlight w:val="none"/>
        </w:rPr>
      </w:pPr>
      <w:r>
        <w:rPr>
          <w:rFonts w:hint="eastAsia"/>
          <w:color w:val="auto"/>
          <w:highlight w:val="none"/>
        </w:rPr>
        <w:t>战略</w:t>
      </w:r>
      <w:r>
        <w:rPr>
          <w:color w:val="auto"/>
          <w:highlight w:val="none"/>
        </w:rPr>
        <w:t>制定</w:t>
      </w:r>
    </w:p>
    <w:tbl>
      <w:tblPr>
        <w:tblStyle w:val="27"/>
        <w:tblW w:w="5020" w:type="pct"/>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57" w:type="dxa"/>
          <w:left w:w="100" w:type="dxa"/>
          <w:bottom w:w="57" w:type="dxa"/>
          <w:right w:w="100" w:type="dxa"/>
        </w:tblCellMar>
      </w:tblPr>
      <w:tblGrid>
        <w:gridCol w:w="570"/>
        <w:gridCol w:w="4390"/>
        <w:gridCol w:w="2332"/>
        <w:gridCol w:w="2079"/>
      </w:tblGrid>
      <w:tr w14:paraId="65D99F9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57" w:type="dxa"/>
            <w:left w:w="100" w:type="dxa"/>
            <w:bottom w:w="57" w:type="dxa"/>
            <w:right w:w="100" w:type="dxa"/>
          </w:tblCellMar>
        </w:tblPrEx>
        <w:trPr>
          <w:trHeight w:val="360" w:hRule="atLeast"/>
          <w:jc w:val="center"/>
        </w:trPr>
        <w:tc>
          <w:tcPr>
            <w:tcW w:w="304" w:type="pct"/>
            <w:tcBorders>
              <w:bottom w:val="single" w:color="000000" w:sz="8" w:space="0"/>
            </w:tcBorders>
            <w:shd w:val="clear" w:color="auto" w:fill="BFBFBF"/>
            <w:vAlign w:val="center"/>
          </w:tcPr>
          <w:p w14:paraId="238984D8">
            <w:pPr>
              <w:pStyle w:val="59"/>
              <w:ind w:firstLine="361"/>
              <w:jc w:val="center"/>
              <w:rPr>
                <w:b/>
                <w:bCs/>
                <w:color w:val="auto"/>
                <w:sz w:val="18"/>
                <w:highlight w:val="none"/>
              </w:rPr>
            </w:pPr>
          </w:p>
        </w:tc>
        <w:tc>
          <w:tcPr>
            <w:tcW w:w="2342" w:type="pct"/>
            <w:tcBorders>
              <w:bottom w:val="single" w:color="000000" w:sz="8" w:space="0"/>
            </w:tcBorders>
            <w:shd w:val="clear" w:color="auto" w:fill="BFBFBF"/>
            <w:vAlign w:val="center"/>
          </w:tcPr>
          <w:p w14:paraId="740A7E01">
            <w:pPr>
              <w:pStyle w:val="59"/>
              <w:ind w:firstLine="0" w:firstLineChars="0"/>
              <w:jc w:val="center"/>
              <w:rPr>
                <w:b/>
                <w:bCs/>
                <w:color w:val="auto"/>
                <w:sz w:val="18"/>
                <w:highlight w:val="none"/>
              </w:rPr>
            </w:pPr>
            <w:r>
              <w:rPr>
                <w:b/>
                <w:color w:val="auto"/>
                <w:sz w:val="18"/>
                <w:highlight w:val="none"/>
              </w:rPr>
              <w:t>活动</w:t>
            </w:r>
            <w:r>
              <w:rPr>
                <w:rFonts w:hint="eastAsia"/>
                <w:b/>
                <w:color w:val="auto"/>
                <w:sz w:val="18"/>
                <w:highlight w:val="none"/>
              </w:rPr>
              <w:t>内容</w:t>
            </w:r>
          </w:p>
        </w:tc>
        <w:tc>
          <w:tcPr>
            <w:tcW w:w="1244" w:type="pct"/>
            <w:tcBorders>
              <w:bottom w:val="single" w:color="000000" w:sz="8" w:space="0"/>
            </w:tcBorders>
            <w:shd w:val="clear" w:color="auto" w:fill="BFBFBF"/>
            <w:vAlign w:val="center"/>
          </w:tcPr>
          <w:p w14:paraId="424C5DF9">
            <w:pPr>
              <w:pStyle w:val="59"/>
              <w:ind w:firstLine="0" w:firstLineChars="0"/>
              <w:jc w:val="center"/>
              <w:rPr>
                <w:b/>
                <w:bCs/>
                <w:color w:val="auto"/>
                <w:sz w:val="18"/>
                <w:highlight w:val="none"/>
              </w:rPr>
            </w:pPr>
            <w:r>
              <w:rPr>
                <w:b/>
                <w:color w:val="auto"/>
                <w:sz w:val="18"/>
                <w:highlight w:val="none"/>
              </w:rPr>
              <w:t>负责人</w:t>
            </w:r>
          </w:p>
        </w:tc>
        <w:tc>
          <w:tcPr>
            <w:tcW w:w="1109" w:type="pct"/>
            <w:tcBorders>
              <w:bottom w:val="single" w:color="000000" w:sz="8" w:space="0"/>
            </w:tcBorders>
            <w:shd w:val="clear" w:color="auto" w:fill="BFBFBF"/>
            <w:vAlign w:val="center"/>
          </w:tcPr>
          <w:p w14:paraId="5528C358">
            <w:pPr>
              <w:pStyle w:val="59"/>
              <w:ind w:firstLine="0" w:firstLineChars="0"/>
              <w:jc w:val="center"/>
              <w:rPr>
                <w:b/>
                <w:bCs/>
                <w:color w:val="auto"/>
                <w:sz w:val="18"/>
                <w:highlight w:val="none"/>
              </w:rPr>
            </w:pPr>
            <w:r>
              <w:rPr>
                <w:b/>
                <w:color w:val="auto"/>
                <w:sz w:val="18"/>
                <w:highlight w:val="none"/>
              </w:rPr>
              <w:t>利益相关方</w:t>
            </w:r>
          </w:p>
        </w:tc>
      </w:tr>
      <w:tr w14:paraId="6B67BFC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57" w:type="dxa"/>
            <w:left w:w="100" w:type="dxa"/>
            <w:bottom w:w="57" w:type="dxa"/>
            <w:right w:w="100" w:type="dxa"/>
          </w:tblCellMar>
        </w:tblPrEx>
        <w:trPr>
          <w:trHeight w:val="1020" w:hRule="atLeast"/>
          <w:jc w:val="center"/>
        </w:trPr>
        <w:tc>
          <w:tcPr>
            <w:tcW w:w="304" w:type="pct"/>
            <w:tcBorders>
              <w:top w:val="single" w:color="000000" w:sz="8" w:space="0"/>
            </w:tcBorders>
            <w:vAlign w:val="center"/>
          </w:tcPr>
          <w:p w14:paraId="583537F6">
            <w:pPr>
              <w:pStyle w:val="59"/>
              <w:ind w:firstLine="0" w:firstLineChars="0"/>
              <w:jc w:val="center"/>
              <w:rPr>
                <w:color w:val="auto"/>
                <w:sz w:val="18"/>
                <w:highlight w:val="none"/>
              </w:rPr>
            </w:pPr>
            <w:r>
              <w:rPr>
                <w:color w:val="auto"/>
                <w:sz w:val="18"/>
                <w:highlight w:val="none"/>
              </w:rPr>
              <w:t>1</w:t>
            </w:r>
          </w:p>
        </w:tc>
        <w:tc>
          <w:tcPr>
            <w:tcW w:w="2342" w:type="pct"/>
            <w:tcBorders>
              <w:top w:val="single" w:color="000000" w:sz="8" w:space="0"/>
            </w:tcBorders>
            <w:vAlign w:val="center"/>
          </w:tcPr>
          <w:p w14:paraId="4F7AF116">
            <w:pPr>
              <w:pStyle w:val="59"/>
              <w:ind w:firstLine="0" w:firstLineChars="0"/>
              <w:rPr>
                <w:color w:val="auto"/>
                <w:sz w:val="18"/>
                <w:highlight w:val="none"/>
              </w:rPr>
            </w:pPr>
            <w:r>
              <w:rPr>
                <w:color w:val="auto"/>
                <w:sz w:val="18"/>
                <w:highlight w:val="none"/>
              </w:rPr>
              <w:t>制定全面的</w:t>
            </w:r>
            <w:r>
              <w:rPr>
                <w:rFonts w:hint="eastAsia"/>
                <w:color w:val="auto"/>
                <w:sz w:val="18"/>
                <w:highlight w:val="none"/>
              </w:rPr>
              <w:t>城市韧性举措</w:t>
            </w:r>
            <w:r>
              <w:rPr>
                <w:color w:val="auto"/>
                <w:sz w:val="18"/>
                <w:highlight w:val="none"/>
              </w:rPr>
              <w:t>，采用韧性建设与发展需求相平衡的策略，并融入韧性建设的各项原则</w:t>
            </w:r>
            <w:r>
              <w:rPr>
                <w:rFonts w:hint="eastAsia"/>
                <w:color w:val="auto"/>
                <w:sz w:val="18"/>
                <w:highlight w:val="none"/>
              </w:rPr>
              <w:t>。</w:t>
            </w:r>
          </w:p>
        </w:tc>
        <w:tc>
          <w:tcPr>
            <w:tcW w:w="1244" w:type="pct"/>
            <w:tcBorders>
              <w:top w:val="single" w:color="000000" w:sz="8" w:space="0"/>
            </w:tcBorders>
            <w:vAlign w:val="center"/>
          </w:tcPr>
          <w:p w14:paraId="352515AD">
            <w:pPr>
              <w:pStyle w:val="59"/>
              <w:ind w:firstLine="0" w:firstLineChars="0"/>
              <w:rPr>
                <w:color w:val="auto"/>
                <w:sz w:val="18"/>
                <w:highlight w:val="none"/>
              </w:rPr>
            </w:pPr>
            <w:r>
              <w:rPr>
                <w:rFonts w:hint="eastAsia"/>
                <w:color w:val="auto"/>
                <w:sz w:val="18"/>
                <w:highlight w:val="none"/>
              </w:rPr>
              <w:t>城市韧性建设领导小组组长</w:t>
            </w:r>
            <w:r>
              <w:rPr>
                <w:color w:val="auto"/>
                <w:sz w:val="18"/>
                <w:highlight w:val="none"/>
              </w:rPr>
              <w:t>/</w:t>
            </w:r>
            <w:r>
              <w:rPr>
                <w:rFonts w:hint="eastAsia"/>
                <w:color w:val="auto"/>
                <w:sz w:val="18"/>
                <w:highlight w:val="none"/>
              </w:rPr>
              <w:t>领导小组办公室</w:t>
            </w:r>
          </w:p>
        </w:tc>
        <w:tc>
          <w:tcPr>
            <w:tcW w:w="1109" w:type="pct"/>
            <w:tcBorders>
              <w:top w:val="single" w:color="000000" w:sz="8" w:space="0"/>
            </w:tcBorders>
            <w:vAlign w:val="center"/>
          </w:tcPr>
          <w:p w14:paraId="743A3585">
            <w:pPr>
              <w:pStyle w:val="59"/>
              <w:ind w:firstLine="0" w:firstLineChars="0"/>
              <w:rPr>
                <w:color w:val="auto"/>
                <w:sz w:val="18"/>
                <w:highlight w:val="none"/>
              </w:rPr>
            </w:pPr>
            <w:r>
              <w:rPr>
                <w:color w:val="auto"/>
                <w:sz w:val="18"/>
                <w:highlight w:val="none"/>
              </w:rPr>
              <w:t>指导委员会；城市韧性建设领导小组</w:t>
            </w:r>
          </w:p>
        </w:tc>
      </w:tr>
      <w:tr w14:paraId="6629C92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57" w:type="dxa"/>
            <w:left w:w="100" w:type="dxa"/>
            <w:bottom w:w="57" w:type="dxa"/>
            <w:right w:w="100" w:type="dxa"/>
          </w:tblCellMar>
        </w:tblPrEx>
        <w:trPr>
          <w:trHeight w:val="1180" w:hRule="atLeast"/>
          <w:jc w:val="center"/>
        </w:trPr>
        <w:tc>
          <w:tcPr>
            <w:tcW w:w="304" w:type="pct"/>
            <w:vAlign w:val="center"/>
          </w:tcPr>
          <w:p w14:paraId="55C05EC0">
            <w:pPr>
              <w:pStyle w:val="59"/>
              <w:ind w:firstLine="0" w:firstLineChars="0"/>
              <w:jc w:val="center"/>
              <w:rPr>
                <w:color w:val="auto"/>
                <w:sz w:val="18"/>
                <w:highlight w:val="none"/>
              </w:rPr>
            </w:pPr>
            <w:r>
              <w:rPr>
                <w:color w:val="auto"/>
                <w:sz w:val="18"/>
                <w:highlight w:val="none"/>
              </w:rPr>
              <w:t>2</w:t>
            </w:r>
          </w:p>
        </w:tc>
        <w:tc>
          <w:tcPr>
            <w:tcW w:w="2342" w:type="pct"/>
            <w:vAlign w:val="center"/>
          </w:tcPr>
          <w:p w14:paraId="38C909B5">
            <w:pPr>
              <w:pStyle w:val="59"/>
              <w:ind w:firstLine="0" w:firstLineChars="0"/>
              <w:rPr>
                <w:color w:val="auto"/>
                <w:sz w:val="18"/>
                <w:highlight w:val="none"/>
              </w:rPr>
            </w:pPr>
            <w:r>
              <w:rPr>
                <w:color w:val="auto"/>
                <w:sz w:val="18"/>
                <w:highlight w:val="none"/>
              </w:rPr>
              <w:t>确定</w:t>
            </w:r>
            <w:r>
              <w:rPr>
                <w:rFonts w:hint="eastAsia"/>
                <w:color w:val="auto"/>
                <w:sz w:val="18"/>
                <w:highlight w:val="none"/>
              </w:rPr>
              <w:t>城市韧性举措</w:t>
            </w:r>
            <w:r>
              <w:rPr>
                <w:color w:val="auto"/>
                <w:sz w:val="18"/>
                <w:highlight w:val="none"/>
              </w:rPr>
              <w:t>的优先次序——与城市系统中的关键利益相关方协作，获取有关拟议</w:t>
            </w:r>
            <w:r>
              <w:rPr>
                <w:rFonts w:hint="eastAsia"/>
                <w:color w:val="auto"/>
                <w:sz w:val="18"/>
                <w:highlight w:val="none"/>
              </w:rPr>
              <w:t>举措</w:t>
            </w:r>
            <w:r>
              <w:rPr>
                <w:color w:val="auto"/>
                <w:sz w:val="18"/>
                <w:highlight w:val="none"/>
              </w:rPr>
              <w:t>的反馈意见</w:t>
            </w:r>
            <w:r>
              <w:rPr>
                <w:rFonts w:hint="eastAsia"/>
                <w:color w:val="auto"/>
                <w:sz w:val="18"/>
                <w:highlight w:val="none"/>
              </w:rPr>
              <w:t>。</w:t>
            </w:r>
          </w:p>
        </w:tc>
        <w:tc>
          <w:tcPr>
            <w:tcW w:w="1244" w:type="pct"/>
            <w:vAlign w:val="center"/>
          </w:tcPr>
          <w:p w14:paraId="180AFC84">
            <w:pPr>
              <w:pStyle w:val="59"/>
              <w:ind w:firstLine="0" w:firstLineChars="0"/>
              <w:rPr>
                <w:color w:val="auto"/>
                <w:sz w:val="18"/>
                <w:highlight w:val="none"/>
              </w:rPr>
            </w:pPr>
            <w:r>
              <w:rPr>
                <w:rFonts w:hint="eastAsia"/>
                <w:color w:val="auto"/>
                <w:sz w:val="18"/>
                <w:highlight w:val="none"/>
              </w:rPr>
              <w:t>城市韧性建设领导小组组长</w:t>
            </w:r>
            <w:r>
              <w:rPr>
                <w:color w:val="auto"/>
                <w:sz w:val="18"/>
                <w:highlight w:val="none"/>
              </w:rPr>
              <w:t>/</w:t>
            </w:r>
            <w:r>
              <w:rPr>
                <w:rFonts w:hint="eastAsia"/>
                <w:color w:val="auto"/>
                <w:sz w:val="18"/>
                <w:highlight w:val="none"/>
              </w:rPr>
              <w:t>领导小组办公室</w:t>
            </w:r>
          </w:p>
        </w:tc>
        <w:tc>
          <w:tcPr>
            <w:tcW w:w="1109" w:type="pct"/>
            <w:vAlign w:val="center"/>
          </w:tcPr>
          <w:p w14:paraId="3610BEC3">
            <w:pPr>
              <w:pStyle w:val="59"/>
              <w:ind w:firstLine="0" w:firstLineChars="0"/>
              <w:rPr>
                <w:color w:val="auto"/>
                <w:sz w:val="18"/>
                <w:highlight w:val="none"/>
              </w:rPr>
            </w:pPr>
            <w:r>
              <w:rPr>
                <w:color w:val="auto"/>
                <w:sz w:val="18"/>
                <w:highlight w:val="none"/>
              </w:rPr>
              <w:t>指导委员会；</w:t>
            </w:r>
            <w:r>
              <w:rPr>
                <w:rFonts w:hint="eastAsia"/>
                <w:color w:val="auto"/>
                <w:sz w:val="18"/>
                <w:highlight w:val="none"/>
              </w:rPr>
              <w:t>咨询委员会</w:t>
            </w:r>
            <w:r>
              <w:rPr>
                <w:color w:val="auto"/>
                <w:sz w:val="18"/>
                <w:highlight w:val="none"/>
              </w:rPr>
              <w:t>；城市韧性建设领导小组</w:t>
            </w:r>
          </w:p>
        </w:tc>
      </w:tr>
      <w:tr w14:paraId="478DEC5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57" w:type="dxa"/>
            <w:left w:w="100" w:type="dxa"/>
            <w:bottom w:w="57" w:type="dxa"/>
            <w:right w:w="100" w:type="dxa"/>
          </w:tblCellMar>
        </w:tblPrEx>
        <w:trPr>
          <w:trHeight w:val="920" w:hRule="atLeast"/>
          <w:jc w:val="center"/>
        </w:trPr>
        <w:tc>
          <w:tcPr>
            <w:tcW w:w="304" w:type="pct"/>
            <w:vAlign w:val="center"/>
          </w:tcPr>
          <w:p w14:paraId="75EDD6F0">
            <w:pPr>
              <w:pStyle w:val="59"/>
              <w:ind w:firstLine="0" w:firstLineChars="0"/>
              <w:jc w:val="center"/>
              <w:rPr>
                <w:color w:val="auto"/>
                <w:sz w:val="18"/>
                <w:highlight w:val="none"/>
              </w:rPr>
            </w:pPr>
            <w:r>
              <w:rPr>
                <w:color w:val="auto"/>
                <w:sz w:val="18"/>
                <w:highlight w:val="none"/>
              </w:rPr>
              <w:t>3</w:t>
            </w:r>
          </w:p>
        </w:tc>
        <w:tc>
          <w:tcPr>
            <w:tcW w:w="2342" w:type="pct"/>
            <w:vAlign w:val="center"/>
          </w:tcPr>
          <w:p w14:paraId="3D126547">
            <w:pPr>
              <w:pStyle w:val="59"/>
              <w:ind w:firstLine="0" w:firstLineChars="0"/>
              <w:rPr>
                <w:color w:val="auto"/>
                <w:sz w:val="18"/>
                <w:highlight w:val="none"/>
              </w:rPr>
            </w:pPr>
            <w:r>
              <w:rPr>
                <w:color w:val="auto"/>
                <w:sz w:val="18"/>
                <w:highlight w:val="none"/>
              </w:rPr>
              <w:t>效益分析——构建拟议</w:t>
            </w:r>
            <w:r>
              <w:rPr>
                <w:rFonts w:hint="eastAsia"/>
                <w:color w:val="auto"/>
                <w:sz w:val="18"/>
                <w:highlight w:val="none"/>
              </w:rPr>
              <w:t>举措</w:t>
            </w:r>
            <w:r>
              <w:rPr>
                <w:color w:val="auto"/>
                <w:sz w:val="18"/>
                <w:highlight w:val="none"/>
              </w:rPr>
              <w:t>与城市社会目标、成本及其他既定标准的对应矩阵</w:t>
            </w:r>
            <w:r>
              <w:rPr>
                <w:rFonts w:hint="eastAsia"/>
                <w:color w:val="auto"/>
                <w:sz w:val="18"/>
                <w:highlight w:val="none"/>
              </w:rPr>
              <w:t>。</w:t>
            </w:r>
          </w:p>
        </w:tc>
        <w:tc>
          <w:tcPr>
            <w:tcW w:w="1244" w:type="pct"/>
            <w:vAlign w:val="center"/>
          </w:tcPr>
          <w:p w14:paraId="558B7435">
            <w:pPr>
              <w:pStyle w:val="59"/>
              <w:ind w:firstLine="0" w:firstLineChars="0"/>
              <w:rPr>
                <w:color w:val="auto"/>
                <w:sz w:val="18"/>
                <w:highlight w:val="none"/>
              </w:rPr>
            </w:pPr>
            <w:r>
              <w:rPr>
                <w:rFonts w:hint="eastAsia"/>
                <w:color w:val="auto"/>
                <w:sz w:val="18"/>
                <w:highlight w:val="none"/>
              </w:rPr>
              <w:t>城市韧性建设领导小组组长</w:t>
            </w:r>
            <w:r>
              <w:rPr>
                <w:color w:val="auto"/>
                <w:sz w:val="18"/>
                <w:highlight w:val="none"/>
              </w:rPr>
              <w:t>/</w:t>
            </w:r>
            <w:r>
              <w:rPr>
                <w:rFonts w:hint="eastAsia"/>
                <w:color w:val="auto"/>
                <w:sz w:val="18"/>
                <w:highlight w:val="none"/>
              </w:rPr>
              <w:t>领导小组办公室</w:t>
            </w:r>
          </w:p>
        </w:tc>
        <w:tc>
          <w:tcPr>
            <w:tcW w:w="1109" w:type="pct"/>
            <w:vAlign w:val="center"/>
          </w:tcPr>
          <w:p w14:paraId="2E386751">
            <w:pPr>
              <w:pStyle w:val="59"/>
              <w:ind w:firstLine="360"/>
              <w:rPr>
                <w:color w:val="auto"/>
                <w:sz w:val="18"/>
                <w:highlight w:val="none"/>
              </w:rPr>
            </w:pPr>
          </w:p>
        </w:tc>
      </w:tr>
    </w:tbl>
    <w:p w14:paraId="2553C009">
      <w:pPr>
        <w:pStyle w:val="59"/>
        <w:ind w:firstLine="422"/>
        <w:rPr>
          <w:b/>
          <w:color w:val="auto"/>
          <w:highlight w:val="none"/>
        </w:rPr>
      </w:pPr>
      <w:r>
        <w:rPr>
          <w:b/>
          <w:color w:val="auto"/>
          <w:highlight w:val="none"/>
        </w:rPr>
        <w:br w:type="page"/>
      </w:r>
    </w:p>
    <w:p w14:paraId="2A3D5B4D">
      <w:pPr>
        <w:pStyle w:val="80"/>
        <w:spacing w:before="156" w:after="156"/>
        <w:rPr>
          <w:bCs/>
          <w:color w:val="auto"/>
          <w:highlight w:val="none"/>
        </w:rPr>
      </w:pPr>
      <w:r>
        <w:rPr>
          <w:color w:val="auto"/>
          <w:highlight w:val="none"/>
        </w:rPr>
        <w:t>实施</w:t>
      </w:r>
    </w:p>
    <w:tbl>
      <w:tblPr>
        <w:tblStyle w:val="27"/>
        <w:tblW w:w="5000" w:type="pct"/>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57" w:type="dxa"/>
          <w:left w:w="100" w:type="dxa"/>
          <w:bottom w:w="57" w:type="dxa"/>
          <w:right w:w="100" w:type="dxa"/>
        </w:tblCellMar>
      </w:tblPr>
      <w:tblGrid>
        <w:gridCol w:w="571"/>
        <w:gridCol w:w="4271"/>
        <w:gridCol w:w="2310"/>
        <w:gridCol w:w="2182"/>
      </w:tblGrid>
      <w:tr w14:paraId="3A0E52E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57" w:type="dxa"/>
            <w:left w:w="100" w:type="dxa"/>
            <w:bottom w:w="57" w:type="dxa"/>
            <w:right w:w="100" w:type="dxa"/>
          </w:tblCellMar>
        </w:tblPrEx>
        <w:trPr>
          <w:trHeight w:val="360" w:hRule="atLeast"/>
          <w:jc w:val="center"/>
        </w:trPr>
        <w:tc>
          <w:tcPr>
            <w:tcW w:w="306" w:type="pct"/>
            <w:tcBorders>
              <w:bottom w:val="single" w:color="000000" w:sz="8" w:space="0"/>
            </w:tcBorders>
            <w:shd w:val="clear" w:color="auto" w:fill="BFBFBF"/>
            <w:noWrap/>
            <w:vAlign w:val="center"/>
          </w:tcPr>
          <w:p w14:paraId="024EF648">
            <w:pPr>
              <w:pStyle w:val="59"/>
              <w:ind w:firstLine="361"/>
              <w:jc w:val="center"/>
              <w:rPr>
                <w:b/>
                <w:bCs/>
                <w:color w:val="auto"/>
                <w:sz w:val="18"/>
                <w:highlight w:val="none"/>
              </w:rPr>
            </w:pPr>
          </w:p>
        </w:tc>
        <w:tc>
          <w:tcPr>
            <w:tcW w:w="2287" w:type="pct"/>
            <w:tcBorders>
              <w:bottom w:val="single" w:color="000000" w:sz="8" w:space="0"/>
            </w:tcBorders>
            <w:shd w:val="clear" w:color="auto" w:fill="BFBFBF"/>
            <w:vAlign w:val="center"/>
          </w:tcPr>
          <w:p w14:paraId="3F01D73D">
            <w:pPr>
              <w:pStyle w:val="59"/>
              <w:ind w:firstLine="0" w:firstLineChars="0"/>
              <w:jc w:val="center"/>
              <w:rPr>
                <w:b/>
                <w:bCs/>
                <w:color w:val="auto"/>
                <w:sz w:val="18"/>
                <w:highlight w:val="none"/>
              </w:rPr>
            </w:pPr>
            <w:r>
              <w:rPr>
                <w:b/>
                <w:color w:val="auto"/>
                <w:sz w:val="18"/>
                <w:highlight w:val="none"/>
              </w:rPr>
              <w:t>活动</w:t>
            </w:r>
            <w:r>
              <w:rPr>
                <w:rFonts w:hint="eastAsia"/>
                <w:b/>
                <w:color w:val="auto"/>
                <w:sz w:val="18"/>
                <w:highlight w:val="none"/>
              </w:rPr>
              <w:t>内容</w:t>
            </w:r>
          </w:p>
        </w:tc>
        <w:tc>
          <w:tcPr>
            <w:tcW w:w="1237" w:type="pct"/>
            <w:tcBorders>
              <w:bottom w:val="single" w:color="000000" w:sz="8" w:space="0"/>
            </w:tcBorders>
            <w:shd w:val="clear" w:color="auto" w:fill="BFBFBF"/>
            <w:vAlign w:val="center"/>
          </w:tcPr>
          <w:p w14:paraId="62CDF20F">
            <w:pPr>
              <w:pStyle w:val="59"/>
              <w:ind w:firstLine="0" w:firstLineChars="0"/>
              <w:jc w:val="center"/>
              <w:rPr>
                <w:b/>
                <w:bCs/>
                <w:color w:val="auto"/>
                <w:sz w:val="18"/>
                <w:highlight w:val="none"/>
              </w:rPr>
            </w:pPr>
            <w:r>
              <w:rPr>
                <w:b/>
                <w:color w:val="auto"/>
                <w:sz w:val="18"/>
                <w:highlight w:val="none"/>
              </w:rPr>
              <w:t>负责人</w:t>
            </w:r>
          </w:p>
        </w:tc>
        <w:tc>
          <w:tcPr>
            <w:tcW w:w="1168" w:type="pct"/>
            <w:tcBorders>
              <w:bottom w:val="single" w:color="000000" w:sz="8" w:space="0"/>
            </w:tcBorders>
            <w:shd w:val="clear" w:color="auto" w:fill="BFBFBF"/>
            <w:vAlign w:val="center"/>
          </w:tcPr>
          <w:p w14:paraId="05C02A82">
            <w:pPr>
              <w:pStyle w:val="59"/>
              <w:ind w:firstLine="0" w:firstLineChars="0"/>
              <w:jc w:val="center"/>
              <w:rPr>
                <w:b/>
                <w:bCs/>
                <w:color w:val="auto"/>
                <w:sz w:val="18"/>
                <w:highlight w:val="none"/>
              </w:rPr>
            </w:pPr>
            <w:r>
              <w:rPr>
                <w:b/>
                <w:color w:val="auto"/>
                <w:sz w:val="18"/>
                <w:highlight w:val="none"/>
              </w:rPr>
              <w:t>利益相关方</w:t>
            </w:r>
          </w:p>
        </w:tc>
      </w:tr>
      <w:tr w14:paraId="47148BA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57" w:type="dxa"/>
            <w:left w:w="100" w:type="dxa"/>
            <w:bottom w:w="57" w:type="dxa"/>
            <w:right w:w="100" w:type="dxa"/>
          </w:tblCellMar>
        </w:tblPrEx>
        <w:trPr>
          <w:trHeight w:val="860" w:hRule="atLeast"/>
          <w:jc w:val="center"/>
        </w:trPr>
        <w:tc>
          <w:tcPr>
            <w:tcW w:w="306" w:type="pct"/>
            <w:tcBorders>
              <w:top w:val="single" w:color="000000" w:sz="8" w:space="0"/>
            </w:tcBorders>
            <w:vAlign w:val="center"/>
          </w:tcPr>
          <w:p w14:paraId="4D0F9EED">
            <w:pPr>
              <w:pStyle w:val="59"/>
              <w:ind w:firstLine="0" w:firstLineChars="0"/>
              <w:jc w:val="center"/>
              <w:rPr>
                <w:color w:val="auto"/>
                <w:sz w:val="18"/>
                <w:highlight w:val="none"/>
              </w:rPr>
            </w:pPr>
            <w:r>
              <w:rPr>
                <w:color w:val="auto"/>
                <w:sz w:val="18"/>
                <w:highlight w:val="none"/>
              </w:rPr>
              <w:t>1</w:t>
            </w:r>
          </w:p>
        </w:tc>
        <w:tc>
          <w:tcPr>
            <w:tcW w:w="2287" w:type="pct"/>
            <w:tcBorders>
              <w:top w:val="single" w:color="000000" w:sz="8" w:space="0"/>
            </w:tcBorders>
            <w:vAlign w:val="center"/>
          </w:tcPr>
          <w:p w14:paraId="6112FFA4">
            <w:pPr>
              <w:pStyle w:val="59"/>
              <w:ind w:firstLine="0" w:firstLineChars="0"/>
              <w:rPr>
                <w:color w:val="auto"/>
                <w:sz w:val="18"/>
                <w:highlight w:val="none"/>
              </w:rPr>
            </w:pPr>
            <w:r>
              <w:rPr>
                <w:color w:val="auto"/>
                <w:sz w:val="18"/>
                <w:highlight w:val="none"/>
              </w:rPr>
              <w:t>根据需要，设立项目组合管理办公室（PMO），</w:t>
            </w:r>
            <w:r>
              <w:rPr>
                <w:rFonts w:hint="eastAsia"/>
                <w:color w:val="auto"/>
                <w:sz w:val="18"/>
                <w:highlight w:val="none"/>
              </w:rPr>
              <w:t>以统筹</w:t>
            </w:r>
            <w:r>
              <w:rPr>
                <w:color w:val="auto"/>
                <w:sz w:val="18"/>
                <w:highlight w:val="none"/>
              </w:rPr>
              <w:t>城市韧性项目的推进；同时制定项目管理战略框架。</w:t>
            </w:r>
          </w:p>
        </w:tc>
        <w:tc>
          <w:tcPr>
            <w:tcW w:w="1237" w:type="pct"/>
            <w:tcBorders>
              <w:top w:val="single" w:color="000000" w:sz="8" w:space="0"/>
            </w:tcBorders>
            <w:vAlign w:val="center"/>
          </w:tcPr>
          <w:p w14:paraId="0DD28FC0">
            <w:pPr>
              <w:pStyle w:val="59"/>
              <w:ind w:firstLine="0" w:firstLineChars="0"/>
              <w:rPr>
                <w:color w:val="auto"/>
                <w:sz w:val="18"/>
                <w:highlight w:val="none"/>
              </w:rPr>
            </w:pPr>
            <w:r>
              <w:rPr>
                <w:color w:val="auto"/>
                <w:sz w:val="18"/>
                <w:highlight w:val="none"/>
              </w:rPr>
              <w:t>城市韧性建设领导小组</w:t>
            </w:r>
          </w:p>
        </w:tc>
        <w:tc>
          <w:tcPr>
            <w:tcW w:w="1168" w:type="pct"/>
            <w:tcBorders>
              <w:top w:val="single" w:color="000000" w:sz="8" w:space="0"/>
            </w:tcBorders>
            <w:vAlign w:val="center"/>
          </w:tcPr>
          <w:p w14:paraId="08AF41CE">
            <w:pPr>
              <w:pStyle w:val="59"/>
              <w:ind w:firstLine="0" w:firstLineChars="0"/>
              <w:rPr>
                <w:color w:val="auto"/>
                <w:sz w:val="18"/>
                <w:highlight w:val="none"/>
              </w:rPr>
            </w:pPr>
            <w:r>
              <w:rPr>
                <w:color w:val="auto"/>
                <w:sz w:val="18"/>
                <w:highlight w:val="none"/>
              </w:rPr>
              <w:t>城市韧性建设领导小组组长；领导小组成员单位</w:t>
            </w:r>
          </w:p>
        </w:tc>
      </w:tr>
      <w:tr w14:paraId="59BD7E6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57" w:type="dxa"/>
            <w:left w:w="100" w:type="dxa"/>
            <w:bottom w:w="57" w:type="dxa"/>
            <w:right w:w="100" w:type="dxa"/>
          </w:tblCellMar>
        </w:tblPrEx>
        <w:trPr>
          <w:trHeight w:val="1195" w:hRule="atLeast"/>
          <w:jc w:val="center"/>
        </w:trPr>
        <w:tc>
          <w:tcPr>
            <w:tcW w:w="306" w:type="pct"/>
            <w:vAlign w:val="center"/>
          </w:tcPr>
          <w:p w14:paraId="34980759">
            <w:pPr>
              <w:pStyle w:val="59"/>
              <w:ind w:firstLine="0" w:firstLineChars="0"/>
              <w:jc w:val="center"/>
              <w:rPr>
                <w:color w:val="auto"/>
                <w:sz w:val="18"/>
                <w:highlight w:val="none"/>
              </w:rPr>
            </w:pPr>
            <w:r>
              <w:rPr>
                <w:color w:val="auto"/>
                <w:sz w:val="18"/>
                <w:highlight w:val="none"/>
              </w:rPr>
              <w:t>2</w:t>
            </w:r>
          </w:p>
        </w:tc>
        <w:tc>
          <w:tcPr>
            <w:tcW w:w="2287" w:type="pct"/>
            <w:vAlign w:val="center"/>
          </w:tcPr>
          <w:p w14:paraId="79FC173B">
            <w:pPr>
              <w:pStyle w:val="59"/>
              <w:ind w:firstLine="0" w:firstLineChars="0"/>
              <w:rPr>
                <w:color w:val="auto"/>
                <w:sz w:val="18"/>
                <w:highlight w:val="none"/>
              </w:rPr>
            </w:pPr>
            <w:r>
              <w:rPr>
                <w:color w:val="auto"/>
                <w:sz w:val="18"/>
                <w:highlight w:val="none"/>
              </w:rPr>
              <w:t>针对每个城市韧性项目制定交付计划，内容包括：</w:t>
            </w:r>
          </w:p>
          <w:p w14:paraId="25BA72A5">
            <w:pPr>
              <w:pStyle w:val="59"/>
              <w:numPr>
                <w:ilvl w:val="0"/>
                <w:numId w:val="95"/>
              </w:numPr>
              <w:ind w:firstLineChars="0"/>
              <w:rPr>
                <w:color w:val="auto"/>
                <w:sz w:val="18"/>
                <w:highlight w:val="none"/>
              </w:rPr>
            </w:pPr>
            <w:r>
              <w:rPr>
                <w:color w:val="auto"/>
                <w:sz w:val="18"/>
                <w:highlight w:val="none"/>
              </w:rPr>
              <w:t>职责归属</w:t>
            </w:r>
            <w:r>
              <w:rPr>
                <w:rFonts w:hint="eastAsia"/>
                <w:color w:val="auto"/>
                <w:sz w:val="18"/>
                <w:highlight w:val="none"/>
              </w:rPr>
              <w:t>；</w:t>
            </w:r>
          </w:p>
          <w:p w14:paraId="1FA5B009">
            <w:pPr>
              <w:pStyle w:val="59"/>
              <w:numPr>
                <w:ilvl w:val="0"/>
                <w:numId w:val="95"/>
              </w:numPr>
              <w:ind w:firstLineChars="0"/>
              <w:rPr>
                <w:color w:val="auto"/>
                <w:sz w:val="18"/>
                <w:highlight w:val="none"/>
              </w:rPr>
            </w:pPr>
            <w:r>
              <w:rPr>
                <w:rFonts w:hint="eastAsia"/>
                <w:color w:val="auto"/>
                <w:sz w:val="18"/>
                <w:highlight w:val="none"/>
              </w:rPr>
              <w:t>资金筹措；</w:t>
            </w:r>
          </w:p>
          <w:p w14:paraId="26D96935">
            <w:pPr>
              <w:pStyle w:val="59"/>
              <w:numPr>
                <w:ilvl w:val="0"/>
                <w:numId w:val="95"/>
              </w:numPr>
              <w:ind w:firstLineChars="0"/>
              <w:rPr>
                <w:color w:val="auto"/>
                <w:sz w:val="18"/>
                <w:highlight w:val="none"/>
              </w:rPr>
            </w:pPr>
            <w:r>
              <w:rPr>
                <w:color w:val="auto"/>
                <w:sz w:val="18"/>
                <w:highlight w:val="none"/>
              </w:rPr>
              <w:t>能够协助推进实施、促成及提供支持的关键合作伙伴</w:t>
            </w:r>
            <w:r>
              <w:rPr>
                <w:rFonts w:hint="eastAsia"/>
                <w:color w:val="auto"/>
                <w:sz w:val="18"/>
                <w:highlight w:val="none"/>
              </w:rPr>
              <w:t>；</w:t>
            </w:r>
          </w:p>
          <w:p w14:paraId="15A0AE77">
            <w:pPr>
              <w:pStyle w:val="59"/>
              <w:numPr>
                <w:ilvl w:val="0"/>
                <w:numId w:val="95"/>
              </w:numPr>
              <w:ind w:firstLineChars="0"/>
              <w:rPr>
                <w:color w:val="auto"/>
                <w:sz w:val="18"/>
                <w:highlight w:val="none"/>
              </w:rPr>
            </w:pPr>
            <w:r>
              <w:rPr>
                <w:color w:val="auto"/>
                <w:sz w:val="18"/>
                <w:highlight w:val="none"/>
              </w:rPr>
              <w:t>采购策略</w:t>
            </w:r>
            <w:r>
              <w:rPr>
                <w:rFonts w:hint="eastAsia"/>
                <w:color w:val="auto"/>
                <w:sz w:val="18"/>
                <w:highlight w:val="none"/>
              </w:rPr>
              <w:t>；</w:t>
            </w:r>
          </w:p>
          <w:p w14:paraId="555A5D56">
            <w:pPr>
              <w:pStyle w:val="59"/>
              <w:numPr>
                <w:ilvl w:val="0"/>
                <w:numId w:val="95"/>
              </w:numPr>
              <w:ind w:firstLineChars="0"/>
              <w:rPr>
                <w:color w:val="auto"/>
                <w:sz w:val="18"/>
                <w:highlight w:val="none"/>
              </w:rPr>
            </w:pPr>
            <w:r>
              <w:rPr>
                <w:color w:val="auto"/>
                <w:sz w:val="18"/>
                <w:highlight w:val="none"/>
              </w:rPr>
              <w:t>进度时间表与</w:t>
            </w:r>
            <w:r>
              <w:rPr>
                <w:rFonts w:hint="eastAsia"/>
                <w:color w:val="auto"/>
                <w:sz w:val="18"/>
                <w:highlight w:val="none"/>
              </w:rPr>
              <w:t>关键节点。</w:t>
            </w:r>
          </w:p>
        </w:tc>
        <w:tc>
          <w:tcPr>
            <w:tcW w:w="1237" w:type="pct"/>
            <w:vAlign w:val="center"/>
          </w:tcPr>
          <w:p w14:paraId="029F829A">
            <w:pPr>
              <w:pStyle w:val="59"/>
              <w:ind w:firstLine="0" w:firstLineChars="0"/>
              <w:rPr>
                <w:color w:val="auto"/>
                <w:sz w:val="18"/>
                <w:highlight w:val="none"/>
              </w:rPr>
            </w:pPr>
            <w:r>
              <w:rPr>
                <w:color w:val="auto"/>
                <w:sz w:val="18"/>
                <w:highlight w:val="none"/>
              </w:rPr>
              <w:t>城市韧性建设领导小组组长/领导小组成员单位</w:t>
            </w:r>
          </w:p>
        </w:tc>
        <w:tc>
          <w:tcPr>
            <w:tcW w:w="1168" w:type="pct"/>
            <w:vAlign w:val="center"/>
          </w:tcPr>
          <w:p w14:paraId="5868969D">
            <w:pPr>
              <w:pStyle w:val="59"/>
              <w:ind w:firstLine="0" w:firstLineChars="0"/>
              <w:rPr>
                <w:color w:val="auto"/>
                <w:sz w:val="18"/>
                <w:highlight w:val="none"/>
              </w:rPr>
            </w:pPr>
            <w:r>
              <w:rPr>
                <w:color w:val="auto"/>
                <w:sz w:val="18"/>
                <w:highlight w:val="none"/>
              </w:rPr>
              <w:t>城市韧性建设领导小组</w:t>
            </w:r>
          </w:p>
        </w:tc>
      </w:tr>
      <w:tr w14:paraId="1C8AF40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57" w:type="dxa"/>
            <w:left w:w="100" w:type="dxa"/>
            <w:bottom w:w="57" w:type="dxa"/>
            <w:right w:w="100" w:type="dxa"/>
          </w:tblCellMar>
        </w:tblPrEx>
        <w:trPr>
          <w:trHeight w:val="798" w:hRule="atLeast"/>
          <w:jc w:val="center"/>
        </w:trPr>
        <w:tc>
          <w:tcPr>
            <w:tcW w:w="306" w:type="pct"/>
            <w:vAlign w:val="center"/>
          </w:tcPr>
          <w:p w14:paraId="1508B74D">
            <w:pPr>
              <w:pStyle w:val="59"/>
              <w:ind w:firstLine="0" w:firstLineChars="0"/>
              <w:jc w:val="center"/>
              <w:rPr>
                <w:color w:val="auto"/>
                <w:sz w:val="18"/>
                <w:highlight w:val="none"/>
              </w:rPr>
            </w:pPr>
            <w:r>
              <w:rPr>
                <w:color w:val="auto"/>
                <w:sz w:val="18"/>
                <w:highlight w:val="none"/>
              </w:rPr>
              <w:t>3</w:t>
            </w:r>
          </w:p>
        </w:tc>
        <w:tc>
          <w:tcPr>
            <w:tcW w:w="2287" w:type="pct"/>
            <w:vAlign w:val="center"/>
          </w:tcPr>
          <w:p w14:paraId="6126F100">
            <w:pPr>
              <w:pStyle w:val="59"/>
              <w:ind w:firstLine="0" w:firstLineChars="0"/>
              <w:rPr>
                <w:color w:val="auto"/>
                <w:sz w:val="18"/>
                <w:highlight w:val="none"/>
              </w:rPr>
            </w:pPr>
            <w:r>
              <w:rPr>
                <w:color w:val="auto"/>
                <w:sz w:val="18"/>
                <w:highlight w:val="none"/>
              </w:rPr>
              <w:t>审查城市区域的财务战略，确保其涵盖灾前、灾中及灾后资金获取方式</w:t>
            </w:r>
            <w:r>
              <w:rPr>
                <w:rFonts w:hint="eastAsia"/>
                <w:color w:val="auto"/>
                <w:sz w:val="18"/>
                <w:highlight w:val="none"/>
              </w:rPr>
              <w:t>。</w:t>
            </w:r>
          </w:p>
        </w:tc>
        <w:tc>
          <w:tcPr>
            <w:tcW w:w="1237" w:type="pct"/>
            <w:vAlign w:val="center"/>
          </w:tcPr>
          <w:p w14:paraId="290614AC">
            <w:pPr>
              <w:pStyle w:val="59"/>
              <w:ind w:firstLine="0" w:firstLineChars="0"/>
              <w:rPr>
                <w:color w:val="auto"/>
                <w:sz w:val="18"/>
                <w:highlight w:val="none"/>
              </w:rPr>
            </w:pPr>
            <w:r>
              <w:rPr>
                <w:color w:val="auto"/>
                <w:sz w:val="18"/>
                <w:highlight w:val="none"/>
              </w:rPr>
              <w:t>城市韧性建设领导小组</w:t>
            </w:r>
          </w:p>
        </w:tc>
        <w:tc>
          <w:tcPr>
            <w:tcW w:w="1168" w:type="pct"/>
            <w:vAlign w:val="center"/>
          </w:tcPr>
          <w:p w14:paraId="54BE5A5B">
            <w:pPr>
              <w:pStyle w:val="59"/>
              <w:ind w:firstLine="0" w:firstLineChars="0"/>
              <w:rPr>
                <w:color w:val="auto"/>
                <w:sz w:val="18"/>
                <w:highlight w:val="none"/>
              </w:rPr>
            </w:pPr>
            <w:r>
              <w:rPr>
                <w:color w:val="auto"/>
                <w:sz w:val="18"/>
                <w:highlight w:val="none"/>
              </w:rPr>
              <w:t>城市韧性建设领导小组组长</w:t>
            </w:r>
          </w:p>
        </w:tc>
      </w:tr>
      <w:tr w14:paraId="13519E4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57" w:type="dxa"/>
            <w:left w:w="100" w:type="dxa"/>
            <w:bottom w:w="57" w:type="dxa"/>
            <w:right w:w="100" w:type="dxa"/>
          </w:tblCellMar>
        </w:tblPrEx>
        <w:trPr>
          <w:trHeight w:val="560" w:hRule="atLeast"/>
          <w:jc w:val="center"/>
        </w:trPr>
        <w:tc>
          <w:tcPr>
            <w:tcW w:w="306" w:type="pct"/>
            <w:vAlign w:val="center"/>
          </w:tcPr>
          <w:p w14:paraId="5FF2B8EE">
            <w:pPr>
              <w:pStyle w:val="59"/>
              <w:ind w:firstLine="0" w:firstLineChars="0"/>
              <w:jc w:val="center"/>
              <w:rPr>
                <w:color w:val="auto"/>
                <w:sz w:val="18"/>
                <w:highlight w:val="none"/>
              </w:rPr>
            </w:pPr>
            <w:r>
              <w:rPr>
                <w:color w:val="auto"/>
                <w:sz w:val="18"/>
                <w:highlight w:val="none"/>
              </w:rPr>
              <w:t>4</w:t>
            </w:r>
          </w:p>
        </w:tc>
        <w:tc>
          <w:tcPr>
            <w:tcW w:w="2287" w:type="pct"/>
            <w:vAlign w:val="center"/>
          </w:tcPr>
          <w:p w14:paraId="1C794C25">
            <w:pPr>
              <w:pStyle w:val="59"/>
              <w:ind w:firstLine="0" w:firstLineChars="0"/>
              <w:rPr>
                <w:color w:val="auto"/>
                <w:sz w:val="18"/>
                <w:highlight w:val="none"/>
              </w:rPr>
            </w:pPr>
            <w:r>
              <w:rPr>
                <w:color w:val="auto"/>
                <w:sz w:val="18"/>
                <w:highlight w:val="none"/>
              </w:rPr>
              <w:t>与保险公司达成协议，推动其对城市韧性能力建设项目的投资</w:t>
            </w:r>
            <w:r>
              <w:rPr>
                <w:rFonts w:hint="eastAsia"/>
                <w:color w:val="auto"/>
                <w:sz w:val="18"/>
                <w:highlight w:val="none"/>
              </w:rPr>
              <w:t>。</w:t>
            </w:r>
          </w:p>
        </w:tc>
        <w:tc>
          <w:tcPr>
            <w:tcW w:w="1237" w:type="pct"/>
            <w:vAlign w:val="center"/>
          </w:tcPr>
          <w:p w14:paraId="49D0B6E4">
            <w:pPr>
              <w:pStyle w:val="59"/>
              <w:ind w:firstLine="0" w:firstLineChars="0"/>
              <w:rPr>
                <w:color w:val="auto"/>
                <w:sz w:val="18"/>
                <w:highlight w:val="none"/>
              </w:rPr>
            </w:pPr>
            <w:r>
              <w:rPr>
                <w:color w:val="auto"/>
                <w:sz w:val="18"/>
                <w:highlight w:val="none"/>
              </w:rPr>
              <w:t>城市韧性建设领导小组</w:t>
            </w:r>
          </w:p>
        </w:tc>
        <w:tc>
          <w:tcPr>
            <w:tcW w:w="1168" w:type="pct"/>
            <w:vAlign w:val="center"/>
          </w:tcPr>
          <w:p w14:paraId="25DD5F21">
            <w:pPr>
              <w:pStyle w:val="59"/>
              <w:ind w:firstLine="0" w:firstLineChars="0"/>
              <w:rPr>
                <w:color w:val="auto"/>
                <w:sz w:val="18"/>
                <w:highlight w:val="none"/>
              </w:rPr>
            </w:pPr>
            <w:r>
              <w:rPr>
                <w:color w:val="auto"/>
                <w:sz w:val="18"/>
                <w:highlight w:val="none"/>
              </w:rPr>
              <w:t>城市韧性建设领导小组组长；保险公司</w:t>
            </w:r>
          </w:p>
        </w:tc>
      </w:tr>
      <w:tr w14:paraId="50EFF8D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57" w:type="dxa"/>
            <w:left w:w="100" w:type="dxa"/>
            <w:bottom w:w="57" w:type="dxa"/>
            <w:right w:w="100" w:type="dxa"/>
          </w:tblCellMar>
        </w:tblPrEx>
        <w:trPr>
          <w:trHeight w:val="560" w:hRule="atLeast"/>
          <w:jc w:val="center"/>
        </w:trPr>
        <w:tc>
          <w:tcPr>
            <w:tcW w:w="306" w:type="pct"/>
            <w:vAlign w:val="center"/>
          </w:tcPr>
          <w:p w14:paraId="28C2900F">
            <w:pPr>
              <w:pStyle w:val="59"/>
              <w:ind w:firstLine="0" w:firstLineChars="0"/>
              <w:jc w:val="center"/>
              <w:rPr>
                <w:color w:val="auto"/>
                <w:sz w:val="18"/>
                <w:highlight w:val="none"/>
              </w:rPr>
            </w:pPr>
            <w:r>
              <w:rPr>
                <w:color w:val="auto"/>
                <w:sz w:val="18"/>
                <w:highlight w:val="none"/>
              </w:rPr>
              <w:t>5</w:t>
            </w:r>
          </w:p>
        </w:tc>
        <w:tc>
          <w:tcPr>
            <w:tcW w:w="2287" w:type="pct"/>
            <w:vAlign w:val="center"/>
          </w:tcPr>
          <w:p w14:paraId="0CD1945A">
            <w:pPr>
              <w:pStyle w:val="59"/>
              <w:ind w:firstLine="0" w:firstLineChars="0"/>
              <w:rPr>
                <w:color w:val="auto"/>
                <w:sz w:val="18"/>
                <w:highlight w:val="none"/>
              </w:rPr>
            </w:pPr>
            <w:r>
              <w:rPr>
                <w:color w:val="auto"/>
                <w:sz w:val="18"/>
                <w:highlight w:val="none"/>
              </w:rPr>
              <w:t>打造城市韧性项目投资的商业案例</w:t>
            </w:r>
            <w:r>
              <w:rPr>
                <w:rFonts w:hint="eastAsia"/>
                <w:color w:val="auto"/>
                <w:sz w:val="18"/>
                <w:highlight w:val="none"/>
              </w:rPr>
              <w:t>。</w:t>
            </w:r>
          </w:p>
        </w:tc>
        <w:tc>
          <w:tcPr>
            <w:tcW w:w="1237" w:type="pct"/>
            <w:vAlign w:val="center"/>
          </w:tcPr>
          <w:p w14:paraId="4D0C894B">
            <w:pPr>
              <w:pStyle w:val="59"/>
              <w:ind w:firstLine="0" w:firstLineChars="0"/>
              <w:rPr>
                <w:color w:val="auto"/>
                <w:sz w:val="18"/>
                <w:highlight w:val="none"/>
              </w:rPr>
            </w:pPr>
            <w:r>
              <w:rPr>
                <w:color w:val="auto"/>
                <w:sz w:val="18"/>
                <w:highlight w:val="none"/>
              </w:rPr>
              <w:t>城市韧性建设领导小组；领导小组成员单位</w:t>
            </w:r>
          </w:p>
        </w:tc>
        <w:tc>
          <w:tcPr>
            <w:tcW w:w="1168" w:type="pct"/>
            <w:vAlign w:val="center"/>
          </w:tcPr>
          <w:p w14:paraId="79327AAC">
            <w:pPr>
              <w:pStyle w:val="59"/>
              <w:ind w:firstLine="0" w:firstLineChars="0"/>
              <w:rPr>
                <w:color w:val="auto"/>
                <w:sz w:val="18"/>
                <w:highlight w:val="none"/>
              </w:rPr>
            </w:pPr>
            <w:r>
              <w:rPr>
                <w:color w:val="auto"/>
                <w:sz w:val="18"/>
                <w:highlight w:val="none"/>
              </w:rPr>
              <w:t>城市韧性建设领导小组组长</w:t>
            </w:r>
          </w:p>
        </w:tc>
      </w:tr>
    </w:tbl>
    <w:p w14:paraId="252221D5">
      <w:pPr>
        <w:pStyle w:val="80"/>
        <w:spacing w:before="156" w:after="156"/>
        <w:rPr>
          <w:color w:val="auto"/>
          <w:highlight w:val="none"/>
        </w:rPr>
      </w:pPr>
      <w:r>
        <w:rPr>
          <w:color w:val="auto"/>
          <w:highlight w:val="none"/>
        </w:rPr>
        <w:t>持续改进</w:t>
      </w:r>
    </w:p>
    <w:tbl>
      <w:tblPr>
        <w:tblStyle w:val="27"/>
        <w:tblW w:w="4982" w:type="pct"/>
        <w:jc w:val="center"/>
        <w:tblBorders>
          <w:top w:val="single" w:color="auto" w:sz="8" w:space="0"/>
          <w:left w:val="single" w:color="auto" w:sz="8" w:space="0"/>
          <w:bottom w:val="single" w:color="auto" w:sz="8" w:space="0"/>
          <w:right w:val="single" w:color="auto" w:sz="8" w:space="0"/>
          <w:insideH w:val="none" w:color="auto" w:sz="4" w:space="0"/>
          <w:insideV w:val="none" w:color="auto" w:sz="4" w:space="0"/>
        </w:tblBorders>
        <w:tblLayout w:type="autofit"/>
        <w:tblCellMar>
          <w:top w:w="57" w:type="dxa"/>
          <w:left w:w="100" w:type="dxa"/>
          <w:bottom w:w="57" w:type="dxa"/>
          <w:right w:w="100" w:type="dxa"/>
        </w:tblCellMar>
      </w:tblPr>
      <w:tblGrid>
        <w:gridCol w:w="547"/>
        <w:gridCol w:w="4278"/>
        <w:gridCol w:w="1492"/>
        <w:gridCol w:w="2983"/>
      </w:tblGrid>
      <w:tr w14:paraId="5342F675">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57" w:type="dxa"/>
            <w:left w:w="100" w:type="dxa"/>
            <w:bottom w:w="57" w:type="dxa"/>
            <w:right w:w="100" w:type="dxa"/>
          </w:tblCellMar>
        </w:tblPrEx>
        <w:trPr>
          <w:trHeight w:val="181" w:hRule="atLeast"/>
          <w:jc w:val="center"/>
        </w:trPr>
        <w:tc>
          <w:tcPr>
            <w:tcW w:w="294" w:type="pct"/>
            <w:tcBorders>
              <w:bottom w:val="single" w:color="000000" w:sz="8" w:space="0"/>
              <w:right w:val="single" w:color="000000" w:sz="4" w:space="0"/>
            </w:tcBorders>
            <w:shd w:val="clear" w:color="auto" w:fill="BFBFBF"/>
            <w:noWrap/>
            <w:vAlign w:val="center"/>
          </w:tcPr>
          <w:p w14:paraId="1802AB4A">
            <w:pPr>
              <w:pStyle w:val="59"/>
              <w:ind w:firstLine="361"/>
              <w:jc w:val="center"/>
              <w:rPr>
                <w:b/>
                <w:bCs/>
                <w:color w:val="auto"/>
                <w:sz w:val="18"/>
                <w:szCs w:val="18"/>
                <w:highlight w:val="none"/>
              </w:rPr>
            </w:pPr>
          </w:p>
        </w:tc>
        <w:tc>
          <w:tcPr>
            <w:tcW w:w="2299" w:type="pct"/>
            <w:tcBorders>
              <w:left w:val="nil"/>
              <w:bottom w:val="single" w:color="000000" w:sz="8" w:space="0"/>
              <w:right w:val="single" w:color="000000" w:sz="4" w:space="0"/>
            </w:tcBorders>
            <w:shd w:val="clear" w:color="auto" w:fill="BFBFBF"/>
            <w:vAlign w:val="center"/>
          </w:tcPr>
          <w:p w14:paraId="4EE2A4BD">
            <w:pPr>
              <w:pStyle w:val="59"/>
              <w:ind w:firstLine="0" w:firstLineChars="0"/>
              <w:jc w:val="center"/>
              <w:rPr>
                <w:b/>
                <w:bCs/>
                <w:color w:val="auto"/>
                <w:sz w:val="18"/>
                <w:szCs w:val="18"/>
                <w:highlight w:val="none"/>
              </w:rPr>
            </w:pPr>
            <w:r>
              <w:rPr>
                <w:b/>
                <w:color w:val="auto"/>
                <w:sz w:val="18"/>
                <w:szCs w:val="18"/>
                <w:highlight w:val="none"/>
              </w:rPr>
              <w:t>活动</w:t>
            </w:r>
            <w:r>
              <w:rPr>
                <w:rFonts w:hint="eastAsia"/>
                <w:b/>
                <w:color w:val="auto"/>
                <w:sz w:val="18"/>
                <w:highlight w:val="none"/>
              </w:rPr>
              <w:t>内容</w:t>
            </w:r>
          </w:p>
        </w:tc>
        <w:tc>
          <w:tcPr>
            <w:tcW w:w="802" w:type="pct"/>
            <w:tcBorders>
              <w:left w:val="nil"/>
              <w:bottom w:val="single" w:color="000000" w:sz="8" w:space="0"/>
              <w:right w:val="single" w:color="000000" w:sz="4" w:space="0"/>
            </w:tcBorders>
            <w:shd w:val="clear" w:color="auto" w:fill="BFBFBF"/>
            <w:vAlign w:val="center"/>
          </w:tcPr>
          <w:p w14:paraId="354AD40E">
            <w:pPr>
              <w:pStyle w:val="59"/>
              <w:ind w:firstLine="0" w:firstLineChars="0"/>
              <w:jc w:val="center"/>
              <w:rPr>
                <w:b/>
                <w:bCs/>
                <w:color w:val="auto"/>
                <w:sz w:val="18"/>
                <w:szCs w:val="18"/>
                <w:highlight w:val="none"/>
              </w:rPr>
            </w:pPr>
            <w:r>
              <w:rPr>
                <w:b/>
                <w:color w:val="auto"/>
                <w:sz w:val="18"/>
                <w:szCs w:val="18"/>
                <w:highlight w:val="none"/>
              </w:rPr>
              <w:t>负责人</w:t>
            </w:r>
          </w:p>
        </w:tc>
        <w:tc>
          <w:tcPr>
            <w:tcW w:w="1603" w:type="pct"/>
            <w:tcBorders>
              <w:left w:val="nil"/>
              <w:bottom w:val="single" w:color="000000" w:sz="8" w:space="0"/>
            </w:tcBorders>
            <w:shd w:val="clear" w:color="auto" w:fill="BFBFBF"/>
            <w:vAlign w:val="center"/>
          </w:tcPr>
          <w:p w14:paraId="239C1687">
            <w:pPr>
              <w:pStyle w:val="59"/>
              <w:ind w:firstLine="0" w:firstLineChars="0"/>
              <w:jc w:val="center"/>
              <w:rPr>
                <w:b/>
                <w:bCs/>
                <w:color w:val="auto"/>
                <w:sz w:val="18"/>
                <w:szCs w:val="18"/>
                <w:highlight w:val="none"/>
              </w:rPr>
            </w:pPr>
            <w:r>
              <w:rPr>
                <w:b/>
                <w:color w:val="auto"/>
                <w:sz w:val="18"/>
                <w:szCs w:val="18"/>
                <w:highlight w:val="none"/>
              </w:rPr>
              <w:t>利益相关方</w:t>
            </w:r>
          </w:p>
        </w:tc>
      </w:tr>
      <w:tr w14:paraId="1B1794EC">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57" w:type="dxa"/>
            <w:left w:w="100" w:type="dxa"/>
            <w:bottom w:w="57" w:type="dxa"/>
            <w:right w:w="100" w:type="dxa"/>
          </w:tblCellMar>
        </w:tblPrEx>
        <w:trPr>
          <w:trHeight w:val="396" w:hRule="atLeast"/>
          <w:jc w:val="center"/>
        </w:trPr>
        <w:tc>
          <w:tcPr>
            <w:tcW w:w="294" w:type="pct"/>
            <w:tcBorders>
              <w:top w:val="single" w:color="000000" w:sz="8" w:space="0"/>
              <w:bottom w:val="single" w:color="000000" w:sz="4" w:space="0"/>
              <w:right w:val="single" w:color="000000" w:sz="4" w:space="0"/>
            </w:tcBorders>
          </w:tcPr>
          <w:p w14:paraId="376A141A">
            <w:pPr>
              <w:pStyle w:val="59"/>
              <w:ind w:firstLine="0" w:firstLineChars="0"/>
              <w:jc w:val="center"/>
              <w:rPr>
                <w:color w:val="auto"/>
                <w:sz w:val="18"/>
                <w:szCs w:val="18"/>
                <w:highlight w:val="none"/>
              </w:rPr>
            </w:pPr>
            <w:r>
              <w:rPr>
                <w:color w:val="auto"/>
                <w:sz w:val="18"/>
                <w:szCs w:val="18"/>
                <w:highlight w:val="none"/>
              </w:rPr>
              <w:t>1</w:t>
            </w:r>
          </w:p>
        </w:tc>
        <w:tc>
          <w:tcPr>
            <w:tcW w:w="2299" w:type="pct"/>
            <w:tcBorders>
              <w:top w:val="single" w:color="000000" w:sz="8" w:space="0"/>
              <w:left w:val="nil"/>
              <w:bottom w:val="single" w:color="000000" w:sz="4" w:space="0"/>
              <w:right w:val="single" w:color="000000" w:sz="4" w:space="0"/>
            </w:tcBorders>
          </w:tcPr>
          <w:p w14:paraId="02198CA5">
            <w:pPr>
              <w:pStyle w:val="59"/>
              <w:ind w:firstLine="0" w:firstLineChars="0"/>
              <w:jc w:val="left"/>
              <w:rPr>
                <w:color w:val="auto"/>
                <w:sz w:val="18"/>
                <w:szCs w:val="18"/>
                <w:highlight w:val="none"/>
              </w:rPr>
            </w:pPr>
            <w:r>
              <w:rPr>
                <w:color w:val="auto"/>
                <w:sz w:val="18"/>
                <w:szCs w:val="18"/>
                <w:highlight w:val="none"/>
              </w:rPr>
              <w:t>确保建立有效的持续改进与</w:t>
            </w:r>
            <w:r>
              <w:rPr>
                <w:rFonts w:hint="eastAsia"/>
                <w:color w:val="auto"/>
                <w:sz w:val="18"/>
                <w:szCs w:val="18"/>
                <w:highlight w:val="none"/>
              </w:rPr>
              <w:t>主动</w:t>
            </w:r>
            <w:r>
              <w:rPr>
                <w:color w:val="auto"/>
                <w:sz w:val="18"/>
                <w:szCs w:val="18"/>
                <w:highlight w:val="none"/>
              </w:rPr>
              <w:t>学习发展机制，为长期城市韧性建设提供支撑</w:t>
            </w:r>
            <w:r>
              <w:rPr>
                <w:rFonts w:hint="eastAsia"/>
                <w:color w:val="auto"/>
                <w:sz w:val="18"/>
                <w:szCs w:val="18"/>
                <w:highlight w:val="none"/>
              </w:rPr>
              <w:t>。</w:t>
            </w:r>
          </w:p>
        </w:tc>
        <w:tc>
          <w:tcPr>
            <w:tcW w:w="802" w:type="pct"/>
            <w:tcBorders>
              <w:top w:val="single" w:color="000000" w:sz="8" w:space="0"/>
              <w:left w:val="nil"/>
              <w:bottom w:val="single" w:color="000000" w:sz="4" w:space="0"/>
              <w:right w:val="single" w:color="000000" w:sz="4" w:space="0"/>
            </w:tcBorders>
          </w:tcPr>
          <w:p w14:paraId="1DF59801">
            <w:pPr>
              <w:pStyle w:val="59"/>
              <w:ind w:firstLine="0" w:firstLineChars="0"/>
              <w:rPr>
                <w:color w:val="auto"/>
                <w:sz w:val="18"/>
                <w:szCs w:val="18"/>
                <w:highlight w:val="none"/>
              </w:rPr>
            </w:pPr>
            <w:r>
              <w:rPr>
                <w:color w:val="auto"/>
                <w:sz w:val="18"/>
                <w:szCs w:val="18"/>
                <w:highlight w:val="none"/>
              </w:rPr>
              <w:t>城市韧性建设领导小组</w:t>
            </w:r>
          </w:p>
        </w:tc>
        <w:tc>
          <w:tcPr>
            <w:tcW w:w="1603" w:type="pct"/>
            <w:tcBorders>
              <w:top w:val="single" w:color="000000" w:sz="8" w:space="0"/>
              <w:left w:val="nil"/>
              <w:bottom w:val="single" w:color="000000" w:sz="4" w:space="0"/>
            </w:tcBorders>
          </w:tcPr>
          <w:p w14:paraId="6C0CD83E">
            <w:pPr>
              <w:pStyle w:val="59"/>
              <w:ind w:firstLine="0" w:firstLineChars="0"/>
              <w:rPr>
                <w:color w:val="auto"/>
                <w:sz w:val="18"/>
                <w:szCs w:val="18"/>
                <w:highlight w:val="none"/>
              </w:rPr>
            </w:pPr>
            <w:r>
              <w:rPr>
                <w:color w:val="auto"/>
                <w:sz w:val="18"/>
                <w:szCs w:val="18"/>
                <w:highlight w:val="none"/>
              </w:rPr>
              <w:t>城市韧性建设领导小组组长；项目组合管理办公室；项目负责人</w:t>
            </w:r>
          </w:p>
        </w:tc>
      </w:tr>
      <w:tr w14:paraId="26F60B4F">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57" w:type="dxa"/>
            <w:left w:w="100" w:type="dxa"/>
            <w:bottom w:w="57" w:type="dxa"/>
            <w:right w:w="100" w:type="dxa"/>
          </w:tblCellMar>
        </w:tblPrEx>
        <w:trPr>
          <w:trHeight w:val="1152" w:hRule="atLeast"/>
          <w:jc w:val="center"/>
        </w:trPr>
        <w:tc>
          <w:tcPr>
            <w:tcW w:w="294" w:type="pct"/>
            <w:tcBorders>
              <w:top w:val="single" w:color="000000" w:sz="4" w:space="0"/>
              <w:bottom w:val="single" w:color="000000" w:sz="4" w:space="0"/>
              <w:right w:val="single" w:color="000000" w:sz="4" w:space="0"/>
            </w:tcBorders>
          </w:tcPr>
          <w:p w14:paraId="4613B803">
            <w:pPr>
              <w:pStyle w:val="59"/>
              <w:ind w:firstLine="0" w:firstLineChars="0"/>
              <w:jc w:val="center"/>
              <w:rPr>
                <w:color w:val="auto"/>
                <w:sz w:val="18"/>
                <w:szCs w:val="18"/>
                <w:highlight w:val="none"/>
              </w:rPr>
            </w:pPr>
            <w:r>
              <w:rPr>
                <w:color w:val="auto"/>
                <w:sz w:val="18"/>
                <w:szCs w:val="18"/>
                <w:highlight w:val="none"/>
              </w:rPr>
              <w:t>2</w:t>
            </w:r>
          </w:p>
        </w:tc>
        <w:tc>
          <w:tcPr>
            <w:tcW w:w="2299" w:type="pct"/>
            <w:tcBorders>
              <w:top w:val="single" w:color="000000" w:sz="4" w:space="0"/>
              <w:left w:val="nil"/>
              <w:bottom w:val="single" w:color="000000" w:sz="4" w:space="0"/>
              <w:right w:val="single" w:color="000000" w:sz="4" w:space="0"/>
            </w:tcBorders>
          </w:tcPr>
          <w:p w14:paraId="79AA091D">
            <w:pPr>
              <w:pStyle w:val="59"/>
              <w:ind w:firstLine="0" w:firstLineChars="0"/>
              <w:jc w:val="left"/>
              <w:rPr>
                <w:color w:val="auto"/>
                <w:sz w:val="18"/>
                <w:szCs w:val="18"/>
                <w:highlight w:val="none"/>
              </w:rPr>
            </w:pPr>
            <w:r>
              <w:rPr>
                <w:color w:val="auto"/>
                <w:sz w:val="18"/>
                <w:szCs w:val="18"/>
                <w:highlight w:val="none"/>
              </w:rPr>
              <w:t>监测：</w:t>
            </w:r>
          </w:p>
          <w:p w14:paraId="1817580E">
            <w:pPr>
              <w:pStyle w:val="59"/>
              <w:numPr>
                <w:ilvl w:val="0"/>
                <w:numId w:val="96"/>
              </w:numPr>
              <w:ind w:firstLineChars="0"/>
              <w:jc w:val="left"/>
              <w:rPr>
                <w:color w:val="auto"/>
                <w:sz w:val="18"/>
                <w:szCs w:val="18"/>
                <w:highlight w:val="none"/>
              </w:rPr>
            </w:pPr>
            <w:r>
              <w:rPr>
                <w:color w:val="auto"/>
                <w:sz w:val="18"/>
                <w:szCs w:val="18"/>
                <w:highlight w:val="none"/>
              </w:rPr>
              <w:t>通过实时数据收集增强态势感知</w:t>
            </w:r>
            <w:r>
              <w:rPr>
                <w:rFonts w:hint="eastAsia"/>
                <w:color w:val="auto"/>
                <w:sz w:val="18"/>
                <w:szCs w:val="18"/>
                <w:highlight w:val="none"/>
              </w:rPr>
              <w:t>能力；</w:t>
            </w:r>
          </w:p>
          <w:p w14:paraId="7A7D741A">
            <w:pPr>
              <w:pStyle w:val="59"/>
              <w:numPr>
                <w:ilvl w:val="0"/>
                <w:numId w:val="96"/>
              </w:numPr>
              <w:ind w:firstLineChars="0"/>
              <w:jc w:val="left"/>
              <w:rPr>
                <w:color w:val="auto"/>
                <w:sz w:val="18"/>
                <w:szCs w:val="18"/>
                <w:highlight w:val="none"/>
              </w:rPr>
            </w:pPr>
            <w:r>
              <w:rPr>
                <w:color w:val="auto"/>
                <w:sz w:val="18"/>
                <w:szCs w:val="18"/>
                <w:highlight w:val="none"/>
              </w:rPr>
              <w:t>基于与城市韧性战略影响目标相关的既定标准组合，监测进展状况</w:t>
            </w:r>
            <w:r>
              <w:rPr>
                <w:rFonts w:hint="eastAsia"/>
                <w:color w:val="auto"/>
                <w:sz w:val="18"/>
                <w:szCs w:val="18"/>
                <w:highlight w:val="none"/>
              </w:rPr>
              <w:t>；</w:t>
            </w:r>
          </w:p>
          <w:p w14:paraId="5C46C809">
            <w:pPr>
              <w:pStyle w:val="59"/>
              <w:numPr>
                <w:ilvl w:val="0"/>
                <w:numId w:val="96"/>
              </w:numPr>
              <w:ind w:firstLineChars="0"/>
              <w:jc w:val="left"/>
              <w:rPr>
                <w:color w:val="auto"/>
                <w:sz w:val="18"/>
                <w:szCs w:val="18"/>
                <w:highlight w:val="none"/>
              </w:rPr>
            </w:pPr>
            <w:r>
              <w:rPr>
                <w:color w:val="auto"/>
                <w:sz w:val="18"/>
                <w:szCs w:val="18"/>
                <w:highlight w:val="none"/>
              </w:rPr>
              <w:t>开展</w:t>
            </w:r>
            <w:r>
              <w:rPr>
                <w:rFonts w:hint="eastAsia"/>
                <w:color w:val="auto"/>
                <w:sz w:val="18"/>
                <w:szCs w:val="18"/>
                <w:highlight w:val="none"/>
              </w:rPr>
              <w:t>前瞻性风险研判</w:t>
            </w:r>
            <w:r>
              <w:rPr>
                <w:color w:val="auto"/>
                <w:sz w:val="18"/>
                <w:szCs w:val="18"/>
                <w:highlight w:val="none"/>
              </w:rPr>
              <w:t>，监测风险格局与已识别系统的潜在未来变化</w:t>
            </w:r>
            <w:r>
              <w:rPr>
                <w:rFonts w:hint="eastAsia"/>
                <w:color w:val="auto"/>
                <w:sz w:val="18"/>
                <w:szCs w:val="18"/>
                <w:highlight w:val="none"/>
              </w:rPr>
              <w:t>。</w:t>
            </w:r>
          </w:p>
        </w:tc>
        <w:tc>
          <w:tcPr>
            <w:tcW w:w="802" w:type="pct"/>
            <w:tcBorders>
              <w:top w:val="single" w:color="000000" w:sz="4" w:space="0"/>
              <w:left w:val="nil"/>
              <w:bottom w:val="single" w:color="000000" w:sz="4" w:space="0"/>
              <w:right w:val="single" w:color="000000" w:sz="4" w:space="0"/>
            </w:tcBorders>
          </w:tcPr>
          <w:p w14:paraId="4F85A0FC">
            <w:pPr>
              <w:pStyle w:val="59"/>
              <w:ind w:firstLine="0" w:firstLineChars="0"/>
              <w:rPr>
                <w:color w:val="auto"/>
                <w:sz w:val="18"/>
                <w:szCs w:val="18"/>
                <w:highlight w:val="none"/>
              </w:rPr>
            </w:pPr>
            <w:r>
              <w:rPr>
                <w:color w:val="auto"/>
                <w:sz w:val="18"/>
                <w:szCs w:val="18"/>
                <w:highlight w:val="none"/>
              </w:rPr>
              <w:t>城市韧性建设领导小组组长</w:t>
            </w:r>
          </w:p>
        </w:tc>
        <w:tc>
          <w:tcPr>
            <w:tcW w:w="1603" w:type="pct"/>
            <w:tcBorders>
              <w:top w:val="single" w:color="000000" w:sz="4" w:space="0"/>
              <w:left w:val="nil"/>
              <w:bottom w:val="single" w:color="000000" w:sz="4" w:space="0"/>
            </w:tcBorders>
          </w:tcPr>
          <w:p w14:paraId="6A955A5E">
            <w:pPr>
              <w:pStyle w:val="59"/>
              <w:ind w:firstLine="0" w:firstLineChars="0"/>
              <w:rPr>
                <w:color w:val="auto"/>
                <w:sz w:val="18"/>
                <w:szCs w:val="18"/>
                <w:highlight w:val="none"/>
              </w:rPr>
            </w:pPr>
            <w:r>
              <w:rPr>
                <w:color w:val="auto"/>
                <w:sz w:val="18"/>
                <w:szCs w:val="18"/>
                <w:highlight w:val="none"/>
              </w:rPr>
              <w:t>城市韧性建设领导小组；项目组合管理办公室；项目负责人</w:t>
            </w:r>
          </w:p>
        </w:tc>
      </w:tr>
      <w:tr w14:paraId="18D60709">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57" w:type="dxa"/>
            <w:left w:w="100" w:type="dxa"/>
            <w:bottom w:w="57" w:type="dxa"/>
            <w:right w:w="100" w:type="dxa"/>
          </w:tblCellMar>
        </w:tblPrEx>
        <w:trPr>
          <w:trHeight w:val="325" w:hRule="atLeast"/>
          <w:jc w:val="center"/>
        </w:trPr>
        <w:tc>
          <w:tcPr>
            <w:tcW w:w="294" w:type="pct"/>
            <w:tcBorders>
              <w:top w:val="single" w:color="000000" w:sz="4" w:space="0"/>
              <w:bottom w:val="single" w:color="000000" w:sz="4" w:space="0"/>
              <w:right w:val="single" w:color="000000" w:sz="4" w:space="0"/>
            </w:tcBorders>
          </w:tcPr>
          <w:p w14:paraId="6612CEF3">
            <w:pPr>
              <w:pStyle w:val="59"/>
              <w:ind w:firstLine="0" w:firstLineChars="0"/>
              <w:jc w:val="center"/>
              <w:rPr>
                <w:color w:val="auto"/>
                <w:sz w:val="18"/>
                <w:szCs w:val="18"/>
                <w:highlight w:val="none"/>
              </w:rPr>
            </w:pPr>
            <w:r>
              <w:rPr>
                <w:color w:val="auto"/>
                <w:sz w:val="18"/>
                <w:szCs w:val="18"/>
                <w:highlight w:val="none"/>
              </w:rPr>
              <w:t>3</w:t>
            </w:r>
          </w:p>
        </w:tc>
        <w:tc>
          <w:tcPr>
            <w:tcW w:w="2299" w:type="pct"/>
            <w:tcBorders>
              <w:top w:val="single" w:color="000000" w:sz="4" w:space="0"/>
              <w:left w:val="nil"/>
              <w:bottom w:val="single" w:color="000000" w:sz="4" w:space="0"/>
              <w:right w:val="single" w:color="000000" w:sz="4" w:space="0"/>
            </w:tcBorders>
          </w:tcPr>
          <w:p w14:paraId="038621E0">
            <w:pPr>
              <w:pStyle w:val="59"/>
              <w:ind w:firstLine="0" w:firstLineChars="0"/>
              <w:jc w:val="left"/>
              <w:rPr>
                <w:color w:val="auto"/>
                <w:sz w:val="18"/>
                <w:szCs w:val="18"/>
                <w:highlight w:val="none"/>
              </w:rPr>
            </w:pPr>
            <w:r>
              <w:rPr>
                <w:color w:val="auto"/>
                <w:sz w:val="18"/>
                <w:szCs w:val="18"/>
                <w:highlight w:val="none"/>
              </w:rPr>
              <w:t>报告与审计——收集用于审计、公众监督及外部验证的数据</w:t>
            </w:r>
            <w:r>
              <w:rPr>
                <w:rFonts w:hint="eastAsia"/>
                <w:color w:val="auto"/>
                <w:sz w:val="18"/>
                <w:szCs w:val="18"/>
                <w:highlight w:val="none"/>
              </w:rPr>
              <w:t>。</w:t>
            </w:r>
          </w:p>
        </w:tc>
        <w:tc>
          <w:tcPr>
            <w:tcW w:w="802" w:type="pct"/>
            <w:tcBorders>
              <w:top w:val="single" w:color="000000" w:sz="4" w:space="0"/>
              <w:left w:val="nil"/>
              <w:bottom w:val="single" w:color="000000" w:sz="4" w:space="0"/>
              <w:right w:val="single" w:color="000000" w:sz="4" w:space="0"/>
            </w:tcBorders>
          </w:tcPr>
          <w:p w14:paraId="40ABA1B3">
            <w:pPr>
              <w:pStyle w:val="59"/>
              <w:ind w:firstLine="0" w:firstLineChars="0"/>
              <w:rPr>
                <w:color w:val="auto"/>
                <w:sz w:val="18"/>
                <w:szCs w:val="18"/>
                <w:highlight w:val="none"/>
              </w:rPr>
            </w:pPr>
            <w:r>
              <w:rPr>
                <w:color w:val="auto"/>
                <w:sz w:val="18"/>
                <w:szCs w:val="18"/>
                <w:highlight w:val="none"/>
              </w:rPr>
              <w:t>城市韧性建设领导小组</w:t>
            </w:r>
          </w:p>
        </w:tc>
        <w:tc>
          <w:tcPr>
            <w:tcW w:w="1603" w:type="pct"/>
            <w:tcBorders>
              <w:top w:val="single" w:color="000000" w:sz="4" w:space="0"/>
              <w:left w:val="nil"/>
              <w:bottom w:val="single" w:color="000000" w:sz="4" w:space="0"/>
            </w:tcBorders>
          </w:tcPr>
          <w:p w14:paraId="5117CA50">
            <w:pPr>
              <w:pStyle w:val="59"/>
              <w:ind w:firstLine="0" w:firstLineChars="0"/>
              <w:rPr>
                <w:color w:val="auto"/>
                <w:sz w:val="18"/>
                <w:szCs w:val="18"/>
                <w:highlight w:val="none"/>
              </w:rPr>
            </w:pPr>
            <w:r>
              <w:rPr>
                <w:color w:val="auto"/>
                <w:sz w:val="18"/>
                <w:szCs w:val="18"/>
                <w:highlight w:val="none"/>
              </w:rPr>
              <w:t>城市韧性建设领导小组；项目组合管理办公室；项目负责人</w:t>
            </w:r>
          </w:p>
        </w:tc>
      </w:tr>
      <w:tr w14:paraId="3CDF08A7">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57" w:type="dxa"/>
            <w:left w:w="100" w:type="dxa"/>
            <w:bottom w:w="57" w:type="dxa"/>
            <w:right w:w="100" w:type="dxa"/>
          </w:tblCellMar>
        </w:tblPrEx>
        <w:trPr>
          <w:trHeight w:val="396" w:hRule="atLeast"/>
          <w:jc w:val="center"/>
        </w:trPr>
        <w:tc>
          <w:tcPr>
            <w:tcW w:w="294" w:type="pct"/>
            <w:tcBorders>
              <w:top w:val="single" w:color="000000" w:sz="4" w:space="0"/>
              <w:bottom w:val="single" w:color="000000" w:sz="4" w:space="0"/>
              <w:right w:val="single" w:color="000000" w:sz="4" w:space="0"/>
            </w:tcBorders>
          </w:tcPr>
          <w:p w14:paraId="29E612C1">
            <w:pPr>
              <w:pStyle w:val="59"/>
              <w:ind w:firstLine="0" w:firstLineChars="0"/>
              <w:jc w:val="center"/>
              <w:rPr>
                <w:color w:val="auto"/>
                <w:sz w:val="18"/>
                <w:szCs w:val="18"/>
                <w:highlight w:val="none"/>
              </w:rPr>
            </w:pPr>
            <w:r>
              <w:rPr>
                <w:color w:val="auto"/>
                <w:sz w:val="18"/>
                <w:szCs w:val="18"/>
                <w:highlight w:val="none"/>
              </w:rPr>
              <w:t>4</w:t>
            </w:r>
          </w:p>
        </w:tc>
        <w:tc>
          <w:tcPr>
            <w:tcW w:w="2299" w:type="pct"/>
            <w:tcBorders>
              <w:top w:val="single" w:color="000000" w:sz="4" w:space="0"/>
              <w:left w:val="nil"/>
              <w:bottom w:val="single" w:color="000000" w:sz="4" w:space="0"/>
              <w:right w:val="single" w:color="000000" w:sz="4" w:space="0"/>
            </w:tcBorders>
          </w:tcPr>
          <w:p w14:paraId="421003E0">
            <w:pPr>
              <w:pStyle w:val="59"/>
              <w:ind w:firstLine="0" w:firstLineChars="0"/>
              <w:jc w:val="left"/>
              <w:rPr>
                <w:color w:val="auto"/>
                <w:sz w:val="18"/>
                <w:szCs w:val="18"/>
                <w:highlight w:val="none"/>
              </w:rPr>
            </w:pPr>
            <w:r>
              <w:rPr>
                <w:color w:val="auto"/>
                <w:sz w:val="18"/>
                <w:szCs w:val="18"/>
                <w:highlight w:val="none"/>
              </w:rPr>
              <w:t>明确后续行动，审查城市韧性战略以进行改进；总结经验教训，实施新的创新与</w:t>
            </w:r>
            <w:r>
              <w:rPr>
                <w:rFonts w:hint="eastAsia"/>
                <w:color w:val="auto"/>
                <w:sz w:val="18"/>
                <w:szCs w:val="18"/>
                <w:highlight w:val="none"/>
              </w:rPr>
              <w:t>变革方案</w:t>
            </w:r>
            <w:r>
              <w:rPr>
                <w:color w:val="auto"/>
                <w:sz w:val="18"/>
                <w:szCs w:val="18"/>
                <w:highlight w:val="none"/>
              </w:rPr>
              <w:t>。</w:t>
            </w:r>
          </w:p>
        </w:tc>
        <w:tc>
          <w:tcPr>
            <w:tcW w:w="802" w:type="pct"/>
            <w:tcBorders>
              <w:top w:val="single" w:color="000000" w:sz="4" w:space="0"/>
              <w:left w:val="nil"/>
              <w:bottom w:val="single" w:color="000000" w:sz="4" w:space="0"/>
              <w:right w:val="single" w:color="000000" w:sz="4" w:space="0"/>
            </w:tcBorders>
          </w:tcPr>
          <w:p w14:paraId="4EF0FBF8">
            <w:pPr>
              <w:pStyle w:val="59"/>
              <w:ind w:firstLine="0" w:firstLineChars="0"/>
              <w:rPr>
                <w:color w:val="auto"/>
                <w:sz w:val="18"/>
                <w:szCs w:val="18"/>
                <w:highlight w:val="none"/>
              </w:rPr>
            </w:pPr>
            <w:r>
              <w:rPr>
                <w:color w:val="auto"/>
                <w:sz w:val="18"/>
                <w:szCs w:val="18"/>
                <w:highlight w:val="none"/>
              </w:rPr>
              <w:t>城市韧性建设领导小组</w:t>
            </w:r>
          </w:p>
        </w:tc>
        <w:tc>
          <w:tcPr>
            <w:tcW w:w="1603" w:type="pct"/>
            <w:tcBorders>
              <w:top w:val="single" w:color="000000" w:sz="4" w:space="0"/>
              <w:left w:val="nil"/>
              <w:bottom w:val="single" w:color="000000" w:sz="4" w:space="0"/>
            </w:tcBorders>
          </w:tcPr>
          <w:p w14:paraId="245DE5D8">
            <w:pPr>
              <w:pStyle w:val="59"/>
              <w:ind w:firstLine="0" w:firstLineChars="0"/>
              <w:rPr>
                <w:color w:val="auto"/>
                <w:sz w:val="18"/>
                <w:szCs w:val="18"/>
                <w:highlight w:val="none"/>
              </w:rPr>
            </w:pPr>
            <w:r>
              <w:rPr>
                <w:color w:val="auto"/>
                <w:sz w:val="18"/>
                <w:szCs w:val="18"/>
                <w:highlight w:val="none"/>
              </w:rPr>
              <w:t>城市韧性建设领导小组；项目组合管理办公室；项目负责人</w:t>
            </w:r>
          </w:p>
        </w:tc>
      </w:tr>
      <w:tr w14:paraId="24D2989D">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57" w:type="dxa"/>
            <w:left w:w="100" w:type="dxa"/>
            <w:bottom w:w="57" w:type="dxa"/>
            <w:right w:w="100" w:type="dxa"/>
          </w:tblCellMar>
        </w:tblPrEx>
        <w:trPr>
          <w:trHeight w:val="396" w:hRule="atLeast"/>
          <w:jc w:val="center"/>
        </w:trPr>
        <w:tc>
          <w:tcPr>
            <w:tcW w:w="294" w:type="pct"/>
            <w:tcBorders>
              <w:top w:val="single" w:color="000000" w:sz="4" w:space="0"/>
              <w:bottom w:val="single" w:color="000000" w:sz="4" w:space="0"/>
              <w:right w:val="single" w:color="000000" w:sz="4" w:space="0"/>
            </w:tcBorders>
          </w:tcPr>
          <w:p w14:paraId="7DD9F593">
            <w:pPr>
              <w:pStyle w:val="59"/>
              <w:ind w:firstLine="0" w:firstLineChars="0"/>
              <w:jc w:val="center"/>
              <w:rPr>
                <w:color w:val="auto"/>
                <w:sz w:val="18"/>
                <w:szCs w:val="18"/>
                <w:highlight w:val="none"/>
              </w:rPr>
            </w:pPr>
            <w:r>
              <w:rPr>
                <w:color w:val="auto"/>
                <w:sz w:val="18"/>
                <w:szCs w:val="18"/>
                <w:highlight w:val="none"/>
              </w:rPr>
              <w:t>5</w:t>
            </w:r>
          </w:p>
        </w:tc>
        <w:tc>
          <w:tcPr>
            <w:tcW w:w="2299" w:type="pct"/>
            <w:tcBorders>
              <w:top w:val="single" w:color="000000" w:sz="4" w:space="0"/>
              <w:left w:val="nil"/>
              <w:bottom w:val="single" w:color="000000" w:sz="4" w:space="0"/>
              <w:right w:val="single" w:color="000000" w:sz="4" w:space="0"/>
            </w:tcBorders>
          </w:tcPr>
          <w:p w14:paraId="1785D6DF">
            <w:pPr>
              <w:pStyle w:val="59"/>
              <w:ind w:firstLine="0" w:firstLineChars="0"/>
              <w:jc w:val="left"/>
              <w:rPr>
                <w:color w:val="auto"/>
                <w:sz w:val="18"/>
                <w:szCs w:val="18"/>
                <w:highlight w:val="none"/>
              </w:rPr>
            </w:pPr>
            <w:r>
              <w:rPr>
                <w:rFonts w:hint="eastAsia"/>
                <w:color w:val="auto"/>
                <w:sz w:val="18"/>
                <w:szCs w:val="18"/>
                <w:highlight w:val="none"/>
              </w:rPr>
              <w:t>定期</w:t>
            </w:r>
            <w:r>
              <w:rPr>
                <w:color w:val="auto"/>
                <w:sz w:val="18"/>
                <w:szCs w:val="18"/>
                <w:highlight w:val="none"/>
              </w:rPr>
              <w:t>评估——定期重复开展城市韧性评估，以</w:t>
            </w:r>
            <w:r>
              <w:rPr>
                <w:rFonts w:hint="eastAsia"/>
                <w:color w:val="auto"/>
                <w:sz w:val="18"/>
                <w:szCs w:val="18"/>
                <w:highlight w:val="none"/>
              </w:rPr>
              <w:t>掌握</w:t>
            </w:r>
            <w:r>
              <w:rPr>
                <w:color w:val="auto"/>
                <w:sz w:val="18"/>
                <w:szCs w:val="18"/>
                <w:highlight w:val="none"/>
              </w:rPr>
              <w:t>城市区域韧性能力的变化情况</w:t>
            </w:r>
            <w:r>
              <w:rPr>
                <w:rFonts w:hint="eastAsia"/>
                <w:color w:val="auto"/>
                <w:sz w:val="18"/>
                <w:szCs w:val="18"/>
                <w:highlight w:val="none"/>
              </w:rPr>
              <w:t>。</w:t>
            </w:r>
          </w:p>
        </w:tc>
        <w:tc>
          <w:tcPr>
            <w:tcW w:w="802" w:type="pct"/>
            <w:tcBorders>
              <w:top w:val="single" w:color="000000" w:sz="4" w:space="0"/>
              <w:left w:val="nil"/>
              <w:bottom w:val="single" w:color="000000" w:sz="4" w:space="0"/>
              <w:right w:val="single" w:color="000000" w:sz="4" w:space="0"/>
            </w:tcBorders>
          </w:tcPr>
          <w:p w14:paraId="0A520660">
            <w:pPr>
              <w:pStyle w:val="59"/>
              <w:ind w:firstLine="0" w:firstLineChars="0"/>
              <w:rPr>
                <w:color w:val="auto"/>
                <w:sz w:val="18"/>
                <w:szCs w:val="18"/>
                <w:highlight w:val="none"/>
              </w:rPr>
            </w:pPr>
            <w:r>
              <w:rPr>
                <w:color w:val="auto"/>
                <w:sz w:val="18"/>
                <w:szCs w:val="18"/>
                <w:highlight w:val="none"/>
              </w:rPr>
              <w:t>城市韧性建设领导小组组长</w:t>
            </w:r>
          </w:p>
        </w:tc>
        <w:tc>
          <w:tcPr>
            <w:tcW w:w="1603" w:type="pct"/>
            <w:tcBorders>
              <w:top w:val="single" w:color="000000" w:sz="4" w:space="0"/>
              <w:left w:val="nil"/>
              <w:bottom w:val="single" w:color="000000" w:sz="4" w:space="0"/>
            </w:tcBorders>
          </w:tcPr>
          <w:p w14:paraId="0F5C6461">
            <w:pPr>
              <w:pStyle w:val="59"/>
              <w:ind w:firstLine="0" w:firstLineChars="0"/>
              <w:rPr>
                <w:color w:val="auto"/>
                <w:sz w:val="18"/>
                <w:szCs w:val="18"/>
                <w:highlight w:val="none"/>
              </w:rPr>
            </w:pPr>
            <w:r>
              <w:rPr>
                <w:color w:val="auto"/>
                <w:sz w:val="18"/>
                <w:szCs w:val="18"/>
                <w:highlight w:val="none"/>
              </w:rPr>
              <w:t>城市韧性建设领导小组；项目组合管理办公室；项目负责人</w:t>
            </w:r>
          </w:p>
        </w:tc>
      </w:tr>
      <w:tr w14:paraId="78428217">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57" w:type="dxa"/>
            <w:left w:w="100" w:type="dxa"/>
            <w:bottom w:w="57" w:type="dxa"/>
            <w:right w:w="100" w:type="dxa"/>
          </w:tblCellMar>
        </w:tblPrEx>
        <w:trPr>
          <w:trHeight w:val="507" w:hRule="atLeast"/>
          <w:jc w:val="center"/>
        </w:trPr>
        <w:tc>
          <w:tcPr>
            <w:tcW w:w="294" w:type="pct"/>
            <w:tcBorders>
              <w:top w:val="single" w:color="000000" w:sz="4" w:space="0"/>
              <w:right w:val="single" w:color="000000" w:sz="4" w:space="0"/>
            </w:tcBorders>
          </w:tcPr>
          <w:p w14:paraId="644FCEF7">
            <w:pPr>
              <w:pStyle w:val="59"/>
              <w:ind w:firstLine="0" w:firstLineChars="0"/>
              <w:jc w:val="center"/>
              <w:rPr>
                <w:color w:val="auto"/>
                <w:sz w:val="18"/>
                <w:szCs w:val="18"/>
                <w:highlight w:val="none"/>
              </w:rPr>
            </w:pPr>
            <w:r>
              <w:rPr>
                <w:color w:val="auto"/>
                <w:sz w:val="18"/>
                <w:szCs w:val="18"/>
                <w:highlight w:val="none"/>
              </w:rPr>
              <w:t>6</w:t>
            </w:r>
          </w:p>
        </w:tc>
        <w:tc>
          <w:tcPr>
            <w:tcW w:w="2299" w:type="pct"/>
            <w:tcBorders>
              <w:top w:val="single" w:color="000000" w:sz="4" w:space="0"/>
              <w:left w:val="nil"/>
              <w:right w:val="single" w:color="000000" w:sz="4" w:space="0"/>
            </w:tcBorders>
          </w:tcPr>
          <w:p w14:paraId="51106B09">
            <w:pPr>
              <w:pStyle w:val="59"/>
              <w:ind w:firstLine="0" w:firstLineChars="0"/>
              <w:jc w:val="left"/>
              <w:rPr>
                <w:color w:val="auto"/>
                <w:sz w:val="18"/>
                <w:szCs w:val="18"/>
                <w:highlight w:val="none"/>
              </w:rPr>
            </w:pPr>
            <w:r>
              <w:rPr>
                <w:color w:val="auto"/>
                <w:sz w:val="18"/>
                <w:szCs w:val="18"/>
                <w:highlight w:val="none"/>
              </w:rPr>
              <w:t>激励城市韧性的持续提升：</w:t>
            </w:r>
          </w:p>
          <w:p w14:paraId="401D85D9">
            <w:pPr>
              <w:pStyle w:val="59"/>
              <w:numPr>
                <w:ilvl w:val="0"/>
                <w:numId w:val="97"/>
              </w:numPr>
              <w:ind w:firstLineChars="0"/>
              <w:jc w:val="left"/>
              <w:rPr>
                <w:color w:val="auto"/>
                <w:sz w:val="18"/>
                <w:szCs w:val="18"/>
                <w:highlight w:val="none"/>
              </w:rPr>
            </w:pPr>
            <w:r>
              <w:rPr>
                <w:color w:val="auto"/>
                <w:sz w:val="18"/>
                <w:szCs w:val="18"/>
                <w:highlight w:val="none"/>
              </w:rPr>
              <w:t>培育韧性文化与思维模式</w:t>
            </w:r>
            <w:r>
              <w:rPr>
                <w:rFonts w:hint="eastAsia"/>
                <w:color w:val="auto"/>
                <w:sz w:val="18"/>
                <w:szCs w:val="18"/>
                <w:highlight w:val="none"/>
              </w:rPr>
              <w:t>；</w:t>
            </w:r>
          </w:p>
          <w:p w14:paraId="7D267F50">
            <w:pPr>
              <w:pStyle w:val="59"/>
              <w:numPr>
                <w:ilvl w:val="0"/>
                <w:numId w:val="97"/>
              </w:numPr>
              <w:ind w:firstLineChars="0"/>
              <w:jc w:val="left"/>
              <w:rPr>
                <w:color w:val="auto"/>
                <w:sz w:val="18"/>
                <w:szCs w:val="18"/>
                <w:highlight w:val="none"/>
              </w:rPr>
            </w:pPr>
            <w:r>
              <w:rPr>
                <w:color w:val="auto"/>
                <w:sz w:val="18"/>
                <w:szCs w:val="18"/>
                <w:highlight w:val="none"/>
              </w:rPr>
              <w:t>制定法规、标准与激励措施</w:t>
            </w:r>
            <w:r>
              <w:rPr>
                <w:rFonts w:hint="eastAsia"/>
                <w:color w:val="auto"/>
                <w:sz w:val="18"/>
                <w:szCs w:val="18"/>
                <w:highlight w:val="none"/>
              </w:rPr>
              <w:t>。</w:t>
            </w:r>
          </w:p>
        </w:tc>
        <w:tc>
          <w:tcPr>
            <w:tcW w:w="802" w:type="pct"/>
            <w:tcBorders>
              <w:top w:val="single" w:color="000000" w:sz="4" w:space="0"/>
              <w:left w:val="nil"/>
              <w:right w:val="single" w:color="000000" w:sz="4" w:space="0"/>
            </w:tcBorders>
          </w:tcPr>
          <w:p w14:paraId="604C185A">
            <w:pPr>
              <w:pStyle w:val="59"/>
              <w:ind w:firstLine="0" w:firstLineChars="0"/>
              <w:rPr>
                <w:color w:val="auto"/>
                <w:sz w:val="18"/>
                <w:szCs w:val="18"/>
                <w:highlight w:val="none"/>
              </w:rPr>
            </w:pPr>
            <w:r>
              <w:rPr>
                <w:color w:val="auto"/>
                <w:sz w:val="18"/>
                <w:szCs w:val="18"/>
                <w:highlight w:val="none"/>
              </w:rPr>
              <w:t>城市韧性建设领导小组组长/城市韧性建设领导小组</w:t>
            </w:r>
          </w:p>
        </w:tc>
        <w:tc>
          <w:tcPr>
            <w:tcW w:w="1603" w:type="pct"/>
            <w:tcBorders>
              <w:top w:val="single" w:color="000000" w:sz="4" w:space="0"/>
              <w:left w:val="nil"/>
            </w:tcBorders>
          </w:tcPr>
          <w:p w14:paraId="1EDD9CB9">
            <w:pPr>
              <w:pStyle w:val="59"/>
              <w:ind w:firstLine="0" w:firstLineChars="0"/>
              <w:rPr>
                <w:color w:val="auto"/>
                <w:sz w:val="18"/>
                <w:szCs w:val="18"/>
                <w:highlight w:val="none"/>
              </w:rPr>
            </w:pPr>
            <w:r>
              <w:rPr>
                <w:color w:val="auto"/>
                <w:sz w:val="18"/>
                <w:szCs w:val="18"/>
                <w:highlight w:val="none"/>
              </w:rPr>
              <w:t>所有人</w:t>
            </w:r>
          </w:p>
        </w:tc>
      </w:tr>
    </w:tbl>
    <w:p w14:paraId="4856000B">
      <w:pPr>
        <w:pStyle w:val="201"/>
        <w:rPr>
          <w:rFonts w:hint="eastAsia"/>
          <w:vanish w:val="0"/>
          <w:color w:val="auto"/>
          <w:highlight w:val="none"/>
        </w:rPr>
      </w:pPr>
    </w:p>
    <w:p w14:paraId="28EB8285">
      <w:pPr>
        <w:pStyle w:val="202"/>
        <w:rPr>
          <w:vanish w:val="0"/>
          <w:color w:val="auto"/>
          <w:highlight w:val="none"/>
        </w:rPr>
        <w:sectPr>
          <w:footerReference r:id="rId16" w:type="default"/>
          <w:pgSz w:w="11906" w:h="16838"/>
          <w:pgMar w:top="1928" w:right="1134" w:bottom="1134" w:left="1134" w:header="1418" w:footer="1134" w:gutter="284"/>
          <w:pgNumType w:fmt="decimal"/>
          <w:cols w:space="425" w:num="1"/>
          <w:formProt w:val="0"/>
          <w:docGrid w:type="lines" w:linePitch="312" w:charSpace="0"/>
        </w:sectPr>
      </w:pPr>
    </w:p>
    <w:p w14:paraId="0E0831AF">
      <w:pPr>
        <w:pStyle w:val="79"/>
        <w:spacing w:after="156"/>
        <w:rPr>
          <w:color w:val="auto"/>
          <w:highlight w:val="none"/>
        </w:rPr>
      </w:pPr>
      <w:bookmarkStart w:id="248" w:name="_Toc22303"/>
      <w:r>
        <w:rPr>
          <w:color w:val="auto"/>
          <w:highlight w:val="none"/>
        </w:rPr>
        <w:br w:type="textWrapping"/>
      </w:r>
      <w:r>
        <w:rPr>
          <w:rFonts w:hint="eastAsia"/>
          <w:color w:val="auto"/>
          <w:highlight w:val="none"/>
        </w:rPr>
        <w:t>（资料性）</w:t>
      </w:r>
      <w:r>
        <w:rPr>
          <w:color w:val="auto"/>
          <w:highlight w:val="none"/>
        </w:rPr>
        <w:br w:type="textWrapping"/>
      </w:r>
      <w:r>
        <w:rPr>
          <w:rFonts w:hint="eastAsia"/>
          <w:color w:val="auto"/>
          <w:highlight w:val="none"/>
          <w:lang w:val="en-US" w:eastAsia="zh-CN"/>
        </w:rPr>
        <w:t>资金筹措方式</w:t>
      </w:r>
      <w:r>
        <w:rPr>
          <w:rFonts w:hint="eastAsia"/>
          <w:color w:val="auto"/>
          <w:highlight w:val="none"/>
        </w:rPr>
        <w:t>与激励措施</w:t>
      </w:r>
      <w:bookmarkEnd w:id="248"/>
    </w:p>
    <w:p w14:paraId="42F608B0">
      <w:pPr>
        <w:pStyle w:val="59"/>
        <w:bidi w:val="0"/>
        <w:rPr>
          <w:color w:val="auto"/>
          <w:highlight w:val="none"/>
        </w:rPr>
      </w:pPr>
      <w:r>
        <w:rPr>
          <w:color w:val="auto"/>
          <w:highlight w:val="none"/>
        </w:rPr>
        <w:t>附录</w:t>
      </w:r>
      <w:r>
        <w:rPr>
          <w:rFonts w:hint="eastAsia"/>
          <w:color w:val="auto"/>
          <w:highlight w:val="none"/>
          <w:lang w:val="en-US" w:eastAsia="zh-CN"/>
        </w:rPr>
        <w:t>B</w:t>
      </w:r>
      <w:r>
        <w:rPr>
          <w:color w:val="auto"/>
          <w:highlight w:val="none"/>
        </w:rPr>
        <w:t>为城市韧性建设</w:t>
      </w:r>
      <w:r>
        <w:rPr>
          <w:rFonts w:hint="eastAsia"/>
          <w:color w:val="auto"/>
          <w:highlight w:val="none"/>
        </w:rPr>
        <w:t>资金筹措方式</w:t>
      </w:r>
      <w:r>
        <w:rPr>
          <w:color w:val="auto"/>
          <w:highlight w:val="none"/>
        </w:rPr>
        <w:t>及保障城市区域财政韧性提供补充信息。相关内容因城市区域所在地区不同而存在差异，但仍提供了可供参考的工具与激励措施。</w:t>
      </w:r>
    </w:p>
    <w:p w14:paraId="58A23F4F">
      <w:pPr>
        <w:pStyle w:val="214"/>
        <w:rPr>
          <w:bCs/>
          <w:color w:val="auto"/>
          <w:highlight w:val="none"/>
        </w:rPr>
      </w:pPr>
      <w:r>
        <w:rPr>
          <w:rFonts w:hint="eastAsia"/>
          <w:color w:val="auto"/>
          <w:highlight w:val="none"/>
        </w:rPr>
        <w:t>资金筹措方式</w:t>
      </w:r>
    </w:p>
    <w:p w14:paraId="1336B0B3">
      <w:pPr>
        <w:pStyle w:val="59"/>
        <w:ind w:firstLine="420"/>
        <w:rPr>
          <w:color w:val="auto"/>
          <w:highlight w:val="none"/>
        </w:rPr>
      </w:pPr>
      <w:r>
        <w:rPr>
          <w:color w:val="auto"/>
          <w:highlight w:val="none"/>
        </w:rPr>
        <w:t>有多种</w:t>
      </w:r>
      <w:r>
        <w:rPr>
          <w:rFonts w:hint="eastAsia"/>
          <w:color w:val="auto"/>
          <w:highlight w:val="none"/>
        </w:rPr>
        <w:t>资金筹措方式</w:t>
      </w:r>
      <w:r>
        <w:rPr>
          <w:color w:val="auto"/>
          <w:highlight w:val="none"/>
        </w:rPr>
        <w:t>，</w:t>
      </w:r>
      <w:r>
        <w:rPr>
          <w:rFonts w:hint="eastAsia"/>
          <w:color w:val="auto"/>
          <w:highlight w:val="none"/>
          <w:lang w:val="en-US" w:eastAsia="zh-CN"/>
        </w:rPr>
        <w:t>可</w:t>
      </w:r>
      <w:r>
        <w:rPr>
          <w:color w:val="auto"/>
          <w:highlight w:val="none"/>
        </w:rPr>
        <w:t>包括：</w:t>
      </w:r>
    </w:p>
    <w:p w14:paraId="28FB21EE">
      <w:pPr>
        <w:pStyle w:val="177"/>
        <w:numPr>
          <w:ilvl w:val="0"/>
          <w:numId w:val="98"/>
        </w:numPr>
        <w:bidi w:val="0"/>
        <w:ind w:left="851" w:leftChars="0" w:hanging="426" w:firstLineChars="0"/>
        <w:rPr>
          <w:color w:val="auto"/>
          <w:highlight w:val="none"/>
        </w:rPr>
      </w:pPr>
      <w:r>
        <w:rPr>
          <w:color w:val="auto"/>
          <w:highlight w:val="none"/>
        </w:rPr>
        <w:t>巨灾债券；</w:t>
      </w:r>
    </w:p>
    <w:p w14:paraId="4724B740">
      <w:pPr>
        <w:pStyle w:val="177"/>
        <w:numPr>
          <w:ilvl w:val="0"/>
          <w:numId w:val="98"/>
        </w:numPr>
        <w:bidi w:val="0"/>
        <w:ind w:left="851" w:leftChars="0" w:hanging="426" w:firstLineChars="0"/>
        <w:rPr>
          <w:color w:val="auto"/>
          <w:highlight w:val="none"/>
        </w:rPr>
      </w:pPr>
      <w:r>
        <w:rPr>
          <w:color w:val="auto"/>
          <w:highlight w:val="none"/>
        </w:rPr>
        <w:t>保险；</w:t>
      </w:r>
    </w:p>
    <w:p w14:paraId="7AB59D06">
      <w:pPr>
        <w:pStyle w:val="177"/>
        <w:numPr>
          <w:ilvl w:val="0"/>
          <w:numId w:val="98"/>
        </w:numPr>
        <w:bidi w:val="0"/>
        <w:ind w:left="851" w:leftChars="0" w:hanging="426" w:firstLineChars="0"/>
        <w:rPr>
          <w:color w:val="auto"/>
          <w:highlight w:val="none"/>
        </w:rPr>
      </w:pPr>
      <w:r>
        <w:rPr>
          <w:color w:val="auto"/>
          <w:highlight w:val="none"/>
        </w:rPr>
        <w:t>绿色债券；</w:t>
      </w:r>
    </w:p>
    <w:p w14:paraId="0D6A9264">
      <w:pPr>
        <w:pStyle w:val="177"/>
        <w:numPr>
          <w:ilvl w:val="0"/>
          <w:numId w:val="98"/>
        </w:numPr>
        <w:bidi w:val="0"/>
        <w:ind w:left="851" w:leftChars="0" w:hanging="426" w:firstLineChars="0"/>
        <w:rPr>
          <w:color w:val="auto"/>
          <w:highlight w:val="none"/>
        </w:rPr>
      </w:pPr>
      <w:r>
        <w:rPr>
          <w:rFonts w:hint="eastAsia"/>
          <w:color w:val="auto"/>
          <w:highlight w:val="none"/>
          <w:lang w:eastAsia="zh-CN"/>
        </w:rPr>
        <w:t>政府与社会资本合作（PPP）</w:t>
      </w:r>
      <w:r>
        <w:rPr>
          <w:color w:val="auto"/>
          <w:highlight w:val="none"/>
        </w:rPr>
        <w:t>。</w:t>
      </w:r>
    </w:p>
    <w:p w14:paraId="257AF805">
      <w:pPr>
        <w:pStyle w:val="214"/>
        <w:rPr>
          <w:bCs/>
          <w:color w:val="auto"/>
          <w:highlight w:val="none"/>
        </w:rPr>
      </w:pPr>
      <w:r>
        <w:rPr>
          <w:color w:val="auto"/>
          <w:highlight w:val="none"/>
        </w:rPr>
        <w:t>激励措施</w:t>
      </w:r>
    </w:p>
    <w:p w14:paraId="4502FDD0">
      <w:pPr>
        <w:pStyle w:val="215"/>
        <w:bidi w:val="0"/>
        <w:rPr>
          <w:color w:val="auto"/>
          <w:highlight w:val="none"/>
        </w:rPr>
      </w:pPr>
      <w:r>
        <w:rPr>
          <w:color w:val="auto"/>
          <w:highlight w:val="none"/>
        </w:rPr>
        <w:t>财务激励措施示例包括：</w:t>
      </w:r>
    </w:p>
    <w:p w14:paraId="1ECBE181">
      <w:pPr>
        <w:pStyle w:val="177"/>
        <w:numPr>
          <w:ilvl w:val="0"/>
          <w:numId w:val="99"/>
        </w:numPr>
        <w:bidi w:val="0"/>
        <w:ind w:left="851" w:leftChars="0" w:hanging="426" w:firstLineChars="0"/>
        <w:rPr>
          <w:color w:val="auto"/>
          <w:highlight w:val="none"/>
        </w:rPr>
      </w:pPr>
      <w:r>
        <w:rPr>
          <w:color w:val="auto"/>
          <w:highlight w:val="none"/>
        </w:rPr>
        <w:t>赠款：涵盖政府间赠款，以及政府向个人或企业提供的赠款；</w:t>
      </w:r>
    </w:p>
    <w:p w14:paraId="2E0B3F49">
      <w:pPr>
        <w:pStyle w:val="177"/>
        <w:numPr>
          <w:ilvl w:val="0"/>
          <w:numId w:val="99"/>
        </w:numPr>
        <w:bidi w:val="0"/>
        <w:ind w:left="851" w:leftChars="0" w:hanging="426" w:firstLineChars="0"/>
        <w:rPr>
          <w:color w:val="auto"/>
          <w:highlight w:val="none"/>
        </w:rPr>
      </w:pPr>
      <w:r>
        <w:rPr>
          <w:color w:val="auto"/>
          <w:highlight w:val="none"/>
        </w:rPr>
        <w:t>个人或企业税收抵免；</w:t>
      </w:r>
    </w:p>
    <w:p w14:paraId="1BF2DA6D">
      <w:pPr>
        <w:pStyle w:val="177"/>
        <w:numPr>
          <w:ilvl w:val="0"/>
          <w:numId w:val="99"/>
        </w:numPr>
        <w:bidi w:val="0"/>
        <w:ind w:left="851" w:leftChars="0" w:hanging="426" w:firstLineChars="0"/>
        <w:rPr>
          <w:color w:val="auto"/>
          <w:highlight w:val="none"/>
        </w:rPr>
      </w:pPr>
      <w:r>
        <w:rPr>
          <w:color w:val="auto"/>
          <w:highlight w:val="none"/>
        </w:rPr>
        <w:t>个人或企业税收退税；</w:t>
      </w:r>
    </w:p>
    <w:p w14:paraId="722F0C43">
      <w:pPr>
        <w:pStyle w:val="177"/>
        <w:numPr>
          <w:ilvl w:val="0"/>
          <w:numId w:val="99"/>
        </w:numPr>
        <w:bidi w:val="0"/>
        <w:ind w:left="851" w:leftChars="0" w:hanging="426" w:firstLineChars="0"/>
        <w:rPr>
          <w:color w:val="auto"/>
          <w:highlight w:val="none"/>
        </w:rPr>
      </w:pPr>
      <w:r>
        <w:rPr>
          <w:color w:val="auto"/>
          <w:highlight w:val="none"/>
        </w:rPr>
        <w:t>补贴；</w:t>
      </w:r>
    </w:p>
    <w:p w14:paraId="6FC7D9B0">
      <w:pPr>
        <w:pStyle w:val="177"/>
        <w:numPr>
          <w:ilvl w:val="0"/>
          <w:numId w:val="99"/>
        </w:numPr>
        <w:bidi w:val="0"/>
        <w:ind w:left="851" w:leftChars="0" w:hanging="426" w:firstLineChars="0"/>
        <w:rPr>
          <w:color w:val="auto"/>
          <w:highlight w:val="none"/>
        </w:rPr>
      </w:pPr>
      <w:r>
        <w:rPr>
          <w:color w:val="auto"/>
          <w:highlight w:val="none"/>
        </w:rPr>
        <w:t>价格或保险费折扣；</w:t>
      </w:r>
    </w:p>
    <w:p w14:paraId="4408F3B1">
      <w:pPr>
        <w:pStyle w:val="177"/>
        <w:numPr>
          <w:ilvl w:val="0"/>
          <w:numId w:val="99"/>
        </w:numPr>
        <w:bidi w:val="0"/>
        <w:ind w:left="851" w:leftChars="0" w:hanging="426" w:firstLineChars="0"/>
        <w:rPr>
          <w:color w:val="auto"/>
          <w:highlight w:val="none"/>
        </w:rPr>
      </w:pPr>
      <w:r>
        <w:rPr>
          <w:color w:val="auto"/>
          <w:highlight w:val="none"/>
        </w:rPr>
        <w:t>有条件现金转移支付或代金券；</w:t>
      </w:r>
    </w:p>
    <w:p w14:paraId="467F9999">
      <w:pPr>
        <w:pStyle w:val="177"/>
        <w:numPr>
          <w:ilvl w:val="0"/>
          <w:numId w:val="99"/>
        </w:numPr>
        <w:bidi w:val="0"/>
        <w:ind w:left="851" w:leftChars="0" w:hanging="426" w:firstLineChars="0"/>
        <w:rPr>
          <w:color w:val="auto"/>
          <w:highlight w:val="none"/>
        </w:rPr>
      </w:pPr>
      <w:r>
        <w:rPr>
          <w:color w:val="auto"/>
          <w:highlight w:val="none"/>
        </w:rPr>
        <w:t>债券及担保；</w:t>
      </w:r>
    </w:p>
    <w:p w14:paraId="48E8EA4D">
      <w:pPr>
        <w:pStyle w:val="177"/>
        <w:numPr>
          <w:ilvl w:val="0"/>
          <w:numId w:val="99"/>
        </w:numPr>
        <w:bidi w:val="0"/>
        <w:ind w:left="851" w:leftChars="0" w:hanging="426" w:firstLineChars="0"/>
        <w:rPr>
          <w:color w:val="auto"/>
          <w:highlight w:val="none"/>
        </w:rPr>
      </w:pPr>
      <w:r>
        <w:rPr>
          <w:color w:val="auto"/>
          <w:highlight w:val="none"/>
        </w:rPr>
        <w:t>获取优惠贷款或信贷；</w:t>
      </w:r>
    </w:p>
    <w:p w14:paraId="4587C019">
      <w:pPr>
        <w:pStyle w:val="177"/>
        <w:numPr>
          <w:ilvl w:val="0"/>
          <w:numId w:val="99"/>
        </w:numPr>
        <w:bidi w:val="0"/>
        <w:ind w:left="851" w:leftChars="0" w:hanging="426" w:firstLineChars="0"/>
        <w:rPr>
          <w:color w:val="auto"/>
          <w:highlight w:val="none"/>
        </w:rPr>
      </w:pPr>
      <w:r>
        <w:rPr>
          <w:color w:val="auto"/>
          <w:highlight w:val="none"/>
        </w:rPr>
        <w:t>开发审批及服务费用的减免；</w:t>
      </w:r>
    </w:p>
    <w:p w14:paraId="795DAA15">
      <w:pPr>
        <w:pStyle w:val="177"/>
        <w:numPr>
          <w:ilvl w:val="0"/>
          <w:numId w:val="99"/>
        </w:numPr>
        <w:bidi w:val="0"/>
        <w:ind w:left="851" w:leftChars="0" w:hanging="426" w:firstLineChars="0"/>
        <w:rPr>
          <w:color w:val="auto"/>
          <w:highlight w:val="none"/>
        </w:rPr>
      </w:pPr>
      <w:r>
        <w:rPr>
          <w:color w:val="auto"/>
          <w:highlight w:val="none"/>
        </w:rPr>
        <w:t>鼓励韧性投资的保险。</w:t>
      </w:r>
    </w:p>
    <w:p w14:paraId="0B750D24">
      <w:pPr>
        <w:pStyle w:val="215"/>
        <w:bidi w:val="0"/>
        <w:rPr>
          <w:color w:val="auto"/>
          <w:highlight w:val="none"/>
        </w:rPr>
      </w:pPr>
      <w:r>
        <w:rPr>
          <w:color w:val="auto"/>
          <w:highlight w:val="none"/>
        </w:rPr>
        <w:t>非财务激励措施示例包括：</w:t>
      </w:r>
    </w:p>
    <w:p w14:paraId="72BEFC08">
      <w:pPr>
        <w:pStyle w:val="177"/>
        <w:numPr>
          <w:ilvl w:val="0"/>
          <w:numId w:val="100"/>
        </w:numPr>
        <w:bidi w:val="0"/>
        <w:ind w:left="851" w:leftChars="0" w:hanging="426" w:firstLineChars="0"/>
        <w:rPr>
          <w:color w:val="auto"/>
          <w:highlight w:val="none"/>
        </w:rPr>
      </w:pPr>
      <w:r>
        <w:rPr>
          <w:color w:val="auto"/>
          <w:highlight w:val="none"/>
        </w:rPr>
        <w:t>划转灾害易发区域开发权，允许高容积率开发；</w:t>
      </w:r>
    </w:p>
    <w:p w14:paraId="5112DF36">
      <w:pPr>
        <w:pStyle w:val="177"/>
        <w:numPr>
          <w:ilvl w:val="0"/>
          <w:numId w:val="100"/>
        </w:numPr>
        <w:bidi w:val="0"/>
        <w:ind w:left="851" w:leftChars="0" w:hanging="426" w:firstLineChars="0"/>
        <w:rPr>
          <w:color w:val="auto"/>
          <w:highlight w:val="none"/>
        </w:rPr>
      </w:pPr>
      <w:r>
        <w:rPr>
          <w:color w:val="auto"/>
          <w:highlight w:val="none"/>
        </w:rPr>
        <w:t>制定规划法规鼓励建设高韧性建筑，例如针对洪水易发区建筑，强制要求其机械、电气及电信设备布设于高楼层或屋面，严禁设置于底层或地下室；</w:t>
      </w:r>
    </w:p>
    <w:p w14:paraId="6281EE36">
      <w:pPr>
        <w:pStyle w:val="177"/>
        <w:numPr>
          <w:ilvl w:val="0"/>
          <w:numId w:val="100"/>
        </w:numPr>
        <w:bidi w:val="0"/>
        <w:ind w:left="851" w:leftChars="0" w:hanging="426" w:firstLineChars="0"/>
        <w:rPr>
          <w:color w:val="auto"/>
          <w:highlight w:val="none"/>
        </w:rPr>
      </w:pPr>
      <w:r>
        <w:rPr>
          <w:color w:val="auto"/>
          <w:highlight w:val="none"/>
        </w:rPr>
        <w:t>向在韧性建设工作中</w:t>
      </w:r>
      <w:r>
        <w:rPr>
          <w:rFonts w:hint="eastAsia"/>
          <w:color w:val="auto"/>
          <w:highlight w:val="none"/>
          <w:lang w:val="en-US" w:eastAsia="zh-CN"/>
        </w:rPr>
        <w:t>成效显著</w:t>
      </w:r>
      <w:r>
        <w:rPr>
          <w:color w:val="auto"/>
          <w:highlight w:val="none"/>
        </w:rPr>
        <w:t>的城市授予表彰奖项；</w:t>
      </w:r>
    </w:p>
    <w:p w14:paraId="3B983B0C">
      <w:pPr>
        <w:pStyle w:val="177"/>
        <w:numPr>
          <w:ilvl w:val="0"/>
          <w:numId w:val="100"/>
        </w:numPr>
        <w:bidi w:val="0"/>
        <w:ind w:left="851" w:leftChars="0" w:hanging="426" w:firstLineChars="0"/>
        <w:rPr>
          <w:color w:val="auto"/>
          <w:highlight w:val="none"/>
        </w:rPr>
      </w:pPr>
      <w:r>
        <w:rPr>
          <w:color w:val="auto"/>
          <w:highlight w:val="none"/>
        </w:rPr>
        <w:t>为灾害易发区住房项目提供免费设计、建造及/或改造咨询，助力打造韧性住宅；</w:t>
      </w:r>
    </w:p>
    <w:p w14:paraId="3FEACF29">
      <w:pPr>
        <w:pStyle w:val="177"/>
        <w:numPr>
          <w:ilvl w:val="0"/>
          <w:numId w:val="100"/>
        </w:numPr>
        <w:bidi w:val="0"/>
        <w:ind w:left="851" w:leftChars="0" w:hanging="426" w:firstLineChars="0"/>
        <w:rPr>
          <w:color w:val="auto"/>
          <w:highlight w:val="none"/>
        </w:rPr>
      </w:pPr>
      <w:r>
        <w:rPr>
          <w:color w:val="auto"/>
          <w:highlight w:val="none"/>
        </w:rPr>
        <w:t>针对风险敏感型土地利用规划、政策及程序的编制，提供相关指导和/或培训，推动实现风险敏感型开发；</w:t>
      </w:r>
    </w:p>
    <w:p w14:paraId="4855EDA1">
      <w:pPr>
        <w:pStyle w:val="177"/>
        <w:numPr>
          <w:ilvl w:val="0"/>
          <w:numId w:val="100"/>
        </w:numPr>
        <w:bidi w:val="0"/>
        <w:ind w:left="851" w:leftChars="0" w:hanging="426" w:firstLineChars="0"/>
        <w:rPr>
          <w:color w:val="auto"/>
          <w:highlight w:val="none"/>
        </w:rPr>
      </w:pPr>
      <w:r>
        <w:rPr>
          <w:color w:val="auto"/>
          <w:highlight w:val="none"/>
        </w:rPr>
        <w:t>开展基于能力的评估与注册，使相关主体能够获得技术熟练、知识渊博的专业人员支持（如工程师、建筑师、土地利用规划师）；</w:t>
      </w:r>
    </w:p>
    <w:p w14:paraId="0717BC8A">
      <w:pPr>
        <w:pStyle w:val="177"/>
        <w:numPr>
          <w:ilvl w:val="0"/>
          <w:numId w:val="100"/>
        </w:numPr>
        <w:bidi w:val="0"/>
        <w:ind w:left="851" w:leftChars="0" w:hanging="426" w:firstLineChars="0"/>
        <w:rPr>
          <w:color w:val="auto"/>
          <w:highlight w:val="none"/>
        </w:rPr>
      </w:pPr>
      <w:r>
        <w:rPr>
          <w:color w:val="auto"/>
          <w:highlight w:val="none"/>
        </w:rPr>
        <w:t>获取关于当前及未来风险的可靠、可信信息，为风险敏感型决策提供依据；</w:t>
      </w:r>
    </w:p>
    <w:p w14:paraId="684DBB5A">
      <w:pPr>
        <w:pStyle w:val="177"/>
        <w:numPr>
          <w:ilvl w:val="0"/>
          <w:numId w:val="100"/>
        </w:numPr>
        <w:bidi w:val="0"/>
        <w:ind w:left="851" w:leftChars="0" w:hanging="426" w:firstLineChars="0"/>
        <w:rPr>
          <w:color w:val="auto"/>
          <w:highlight w:val="none"/>
        </w:rPr>
      </w:pPr>
      <w:r>
        <w:rPr>
          <w:color w:val="auto"/>
          <w:highlight w:val="none"/>
        </w:rPr>
        <w:t>参与决策，让利益相关方有机会对决策产生正向影响。</w:t>
      </w:r>
    </w:p>
    <w:p w14:paraId="67D25312">
      <w:pPr>
        <w:pStyle w:val="214"/>
        <w:rPr>
          <w:bCs/>
          <w:color w:val="auto"/>
          <w:highlight w:val="none"/>
        </w:rPr>
      </w:pPr>
      <w:r>
        <w:rPr>
          <w:color w:val="auto"/>
          <w:highlight w:val="none"/>
        </w:rPr>
        <w:t>风险缓解金融工具</w:t>
      </w:r>
    </w:p>
    <w:p w14:paraId="2BA5EEA7">
      <w:pPr>
        <w:pStyle w:val="59"/>
        <w:ind w:firstLine="420"/>
        <w:rPr>
          <w:color w:val="auto"/>
          <w:highlight w:val="none"/>
        </w:rPr>
      </w:pPr>
      <w:r>
        <w:rPr>
          <w:color w:val="auto"/>
          <w:highlight w:val="none"/>
        </w:rPr>
        <w:t>风险缓解金融工具包括：</w:t>
      </w:r>
    </w:p>
    <w:p w14:paraId="3832DAE0">
      <w:pPr>
        <w:pStyle w:val="177"/>
        <w:numPr>
          <w:ilvl w:val="0"/>
          <w:numId w:val="101"/>
        </w:numPr>
        <w:bidi w:val="0"/>
        <w:ind w:left="851" w:leftChars="0" w:hanging="426" w:firstLineChars="0"/>
        <w:rPr>
          <w:color w:val="auto"/>
          <w:highlight w:val="none"/>
        </w:rPr>
      </w:pPr>
      <w:r>
        <w:rPr>
          <w:color w:val="auto"/>
          <w:highlight w:val="none"/>
        </w:rPr>
        <w:t>预防性储蓄：应急</w:t>
      </w:r>
      <w:r>
        <w:rPr>
          <w:rFonts w:hint="eastAsia"/>
          <w:color w:val="auto"/>
          <w:highlight w:val="none"/>
          <w:lang w:val="en-US" w:eastAsia="zh-CN"/>
        </w:rPr>
        <w:t>备用</w:t>
      </w:r>
      <w:r>
        <w:rPr>
          <w:color w:val="auto"/>
          <w:highlight w:val="none"/>
        </w:rPr>
        <w:t>金，特别是用于资本支出；</w:t>
      </w:r>
    </w:p>
    <w:p w14:paraId="46E4287B">
      <w:pPr>
        <w:pStyle w:val="177"/>
        <w:numPr>
          <w:ilvl w:val="0"/>
          <w:numId w:val="101"/>
        </w:numPr>
        <w:bidi w:val="0"/>
        <w:ind w:left="851" w:leftChars="0" w:hanging="426" w:firstLineChars="0"/>
        <w:rPr>
          <w:color w:val="auto"/>
          <w:highlight w:val="none"/>
        </w:rPr>
      </w:pPr>
      <w:r>
        <w:rPr>
          <w:color w:val="auto"/>
          <w:highlight w:val="none"/>
        </w:rPr>
        <w:t>保险：与损害或补救成本成比例的或有支付；</w:t>
      </w:r>
    </w:p>
    <w:p w14:paraId="3CDC98BE">
      <w:pPr>
        <w:pStyle w:val="177"/>
        <w:numPr>
          <w:ilvl w:val="0"/>
          <w:numId w:val="101"/>
        </w:numPr>
        <w:bidi w:val="0"/>
        <w:ind w:left="851" w:leftChars="0" w:hanging="426" w:firstLineChars="0"/>
        <w:rPr>
          <w:color w:val="auto"/>
          <w:highlight w:val="none"/>
        </w:rPr>
      </w:pPr>
      <w:r>
        <w:rPr>
          <w:color w:val="auto"/>
          <w:highlight w:val="none"/>
        </w:rPr>
        <w:t>或有合同索赔：事件的严重性触发财务转移（不一定与损害相关）；</w:t>
      </w:r>
    </w:p>
    <w:bookmarkEnd w:id="246"/>
    <w:p w14:paraId="33EDCC14">
      <w:pPr>
        <w:pStyle w:val="177"/>
        <w:numPr>
          <w:ilvl w:val="0"/>
          <w:numId w:val="101"/>
        </w:numPr>
        <w:bidi w:val="0"/>
        <w:ind w:left="851" w:leftChars="0" w:hanging="426" w:firstLineChars="0"/>
        <w:rPr>
          <w:color w:val="auto"/>
          <w:highlight w:val="none"/>
        </w:rPr>
      </w:pPr>
      <w:bookmarkStart w:id="249" w:name="BookMark6"/>
      <w:r>
        <w:rPr>
          <w:color w:val="auto"/>
          <w:highlight w:val="none"/>
        </w:rPr>
        <w:t>多元化的投资</w:t>
      </w:r>
      <w:r>
        <w:rPr>
          <w:rFonts w:hint="eastAsia"/>
          <w:color w:val="auto"/>
          <w:highlight w:val="none"/>
          <w:lang w:val="en-US" w:eastAsia="zh-CN"/>
        </w:rPr>
        <w:t>项目</w:t>
      </w:r>
      <w:r>
        <w:rPr>
          <w:color w:val="auto"/>
          <w:highlight w:val="none"/>
        </w:rPr>
        <w:t>和投资者组合；</w:t>
      </w:r>
    </w:p>
    <w:p w14:paraId="317BE009">
      <w:pPr>
        <w:pStyle w:val="177"/>
        <w:numPr>
          <w:ilvl w:val="0"/>
          <w:numId w:val="101"/>
        </w:numPr>
        <w:bidi w:val="0"/>
        <w:ind w:left="851" w:leftChars="0" w:hanging="426" w:firstLineChars="0"/>
        <w:rPr>
          <w:color w:val="auto"/>
          <w:highlight w:val="none"/>
        </w:rPr>
      </w:pPr>
      <w:r>
        <w:rPr>
          <w:color w:val="auto"/>
          <w:highlight w:val="none"/>
        </w:rPr>
        <w:t>风险汇集：若干投资者汇集其多样化的项目资产，并通过获得整体成果的份额来实现多元化；</w:t>
      </w:r>
    </w:p>
    <w:p w14:paraId="5370A07B">
      <w:pPr>
        <w:pStyle w:val="177"/>
        <w:numPr>
          <w:ilvl w:val="0"/>
          <w:numId w:val="101"/>
        </w:numPr>
        <w:bidi w:val="0"/>
        <w:ind w:left="851" w:leftChars="0" w:hanging="426" w:firstLineChars="0"/>
        <w:rPr>
          <w:color w:val="auto"/>
          <w:highlight w:val="none"/>
        </w:rPr>
      </w:pPr>
      <w:r>
        <w:rPr>
          <w:color w:val="auto"/>
          <w:highlight w:val="none"/>
        </w:rPr>
        <w:t>承诺在未来以当前指定的价格购买商品或服务；</w:t>
      </w:r>
    </w:p>
    <w:p w14:paraId="06E7EE93">
      <w:pPr>
        <w:pStyle w:val="177"/>
        <w:numPr>
          <w:ilvl w:val="0"/>
          <w:numId w:val="101"/>
        </w:numPr>
        <w:bidi w:val="0"/>
        <w:ind w:left="851" w:leftChars="0" w:hanging="426" w:firstLineChars="0"/>
        <w:rPr>
          <w:color w:val="auto"/>
          <w:highlight w:val="none"/>
        </w:rPr>
      </w:pPr>
      <w:r>
        <w:rPr>
          <w:color w:val="auto"/>
          <w:highlight w:val="none"/>
        </w:rPr>
        <w:t>互换：以一定价格将风险现金流交换为无风险现金流；</w:t>
      </w:r>
    </w:p>
    <w:p w14:paraId="1BA5BBB8">
      <w:pPr>
        <w:pStyle w:val="177"/>
        <w:numPr>
          <w:ilvl w:val="0"/>
          <w:numId w:val="101"/>
        </w:numPr>
        <w:bidi w:val="0"/>
        <w:ind w:left="851" w:leftChars="0" w:hanging="426" w:firstLineChars="0"/>
        <w:rPr>
          <w:color w:val="auto"/>
          <w:highlight w:val="none"/>
        </w:rPr>
      </w:pPr>
      <w:r>
        <w:rPr>
          <w:color w:val="auto"/>
          <w:highlight w:val="none"/>
        </w:rPr>
        <w:t>期权：获得在未来以当前预先指定的价格出售或购买的权利（但非义务）。</w:t>
      </w:r>
    </w:p>
    <w:p w14:paraId="6D9DF7F6">
      <w:pPr>
        <w:pStyle w:val="59"/>
        <w:ind w:firstLine="420"/>
        <w:rPr>
          <w:color w:val="auto"/>
          <w:highlight w:val="none"/>
        </w:rPr>
        <w:sectPr>
          <w:footerReference r:id="rId17" w:type="default"/>
          <w:pgSz w:w="11906" w:h="16838"/>
          <w:pgMar w:top="1928" w:right="1134" w:bottom="1134" w:left="1134" w:header="1418" w:footer="1134" w:gutter="284"/>
          <w:pgNumType w:fmt="decimal"/>
          <w:cols w:space="425" w:num="1"/>
          <w:formProt w:val="0"/>
          <w:docGrid w:type="lines" w:linePitch="312" w:charSpace="0"/>
        </w:sectPr>
      </w:pPr>
    </w:p>
    <w:p w14:paraId="1C469619">
      <w:pPr>
        <w:pStyle w:val="66"/>
        <w:spacing w:after="156"/>
        <w:rPr>
          <w:color w:val="auto"/>
          <w:highlight w:val="none"/>
        </w:rPr>
      </w:pPr>
      <w:bookmarkStart w:id="250" w:name="_Toc31623"/>
      <w:r>
        <w:rPr>
          <w:rFonts w:hint="eastAsia"/>
          <w:color w:val="auto"/>
          <w:spacing w:val="105"/>
          <w:highlight w:val="none"/>
        </w:rPr>
        <w:t>参考文</w:t>
      </w:r>
      <w:r>
        <w:rPr>
          <w:rFonts w:hint="eastAsia"/>
          <w:color w:val="auto"/>
          <w:highlight w:val="none"/>
        </w:rPr>
        <w:t>献</w:t>
      </w:r>
      <w:bookmarkEnd w:id="250"/>
    </w:p>
    <w:p w14:paraId="70CEF59B">
      <w:pPr>
        <w:pStyle w:val="59"/>
        <w:ind w:firstLine="420"/>
        <w:rPr>
          <w:rFonts w:hAnsi="Times New Roman" w:cs="Times New Roman"/>
          <w:color w:val="auto"/>
          <w:highlight w:val="none"/>
        </w:rPr>
      </w:pPr>
      <w:r>
        <w:rPr>
          <w:color w:val="auto"/>
          <w:highlight w:val="none"/>
        </w:rPr>
        <w:t>[</w:t>
      </w:r>
      <w:r>
        <w:rPr>
          <w:rFonts w:hint="eastAsia"/>
          <w:color w:val="auto"/>
          <w:highlight w:val="none"/>
          <w:lang w:val="en-US" w:eastAsia="zh-CN"/>
        </w:rPr>
        <w:t>1</w:t>
      </w:r>
      <w:r>
        <w:rPr>
          <w:color w:val="auto"/>
          <w:highlight w:val="none"/>
        </w:rPr>
        <w:t>]</w:t>
      </w:r>
      <w:r>
        <w:rPr>
          <w:rFonts w:hint="eastAsia"/>
          <w:color w:val="auto"/>
          <w:highlight w:val="none"/>
        </w:rPr>
        <w:t xml:space="preserve"> </w:t>
      </w:r>
      <w:r>
        <w:rPr>
          <w:rFonts w:hAnsi="Times New Roman" w:cs="Times New Roman"/>
          <w:color w:val="auto"/>
          <w:highlight w:val="none"/>
        </w:rPr>
        <w:t>ISO 22316, Security and resilience- Organizational resilience- Principles and attributes</w:t>
      </w:r>
    </w:p>
    <w:p w14:paraId="3C45B9F3">
      <w:pPr>
        <w:pStyle w:val="59"/>
        <w:ind w:firstLine="420"/>
        <w:rPr>
          <w:rFonts w:hAnsi="Times New Roman" w:cs="Times New Roman"/>
          <w:color w:val="auto"/>
          <w:highlight w:val="none"/>
        </w:rPr>
      </w:pPr>
      <w:r>
        <w:rPr>
          <w:color w:val="auto"/>
          <w:highlight w:val="none"/>
        </w:rPr>
        <w:t>[</w:t>
      </w:r>
      <w:r>
        <w:rPr>
          <w:rFonts w:hint="eastAsia"/>
          <w:color w:val="auto"/>
          <w:highlight w:val="none"/>
          <w:lang w:val="en-US" w:eastAsia="zh-CN"/>
        </w:rPr>
        <w:t>2</w:t>
      </w:r>
      <w:r>
        <w:rPr>
          <w:color w:val="auto"/>
          <w:highlight w:val="none"/>
        </w:rPr>
        <w:t>]</w:t>
      </w:r>
      <w:r>
        <w:rPr>
          <w:rFonts w:hAnsi="Times New Roman" w:cs="Times New Roman"/>
          <w:color w:val="auto"/>
          <w:highlight w:val="none"/>
        </w:rPr>
        <w:t>ISO 37000, Governance of organizations- Guidance</w:t>
      </w:r>
    </w:p>
    <w:p w14:paraId="5C44BA93">
      <w:pPr>
        <w:pStyle w:val="59"/>
        <w:ind w:firstLine="420"/>
        <w:rPr>
          <w:rFonts w:hAnsi="Times New Roman" w:cs="Times New Roman"/>
          <w:color w:val="auto"/>
          <w:highlight w:val="none"/>
        </w:rPr>
      </w:pPr>
      <w:r>
        <w:rPr>
          <w:color w:val="auto"/>
          <w:highlight w:val="none"/>
        </w:rPr>
        <w:t>[</w:t>
      </w:r>
      <w:r>
        <w:rPr>
          <w:rFonts w:hint="eastAsia"/>
          <w:color w:val="auto"/>
          <w:highlight w:val="none"/>
          <w:lang w:val="en-US" w:eastAsia="zh-CN"/>
        </w:rPr>
        <w:t>3</w:t>
      </w:r>
      <w:r>
        <w:rPr>
          <w:color w:val="auto"/>
          <w:highlight w:val="none"/>
        </w:rPr>
        <w:t>]</w:t>
      </w:r>
      <w:r>
        <w:rPr>
          <w:rFonts w:hAnsi="Times New Roman" w:cs="Times New Roman"/>
          <w:color w:val="auto"/>
          <w:highlight w:val="none"/>
        </w:rPr>
        <w:t>ISO 22395, Security and resilience - Community resilience - Guidelines for supporting vulnerable persons in an emergency</w:t>
      </w:r>
    </w:p>
    <w:p w14:paraId="258901DA">
      <w:pPr>
        <w:pStyle w:val="59"/>
        <w:ind w:firstLine="420"/>
        <w:rPr>
          <w:rFonts w:hAnsi="Times New Roman" w:cs="Times New Roman"/>
          <w:color w:val="auto"/>
          <w:highlight w:val="none"/>
        </w:rPr>
      </w:pPr>
      <w:r>
        <w:rPr>
          <w:color w:val="auto"/>
          <w:highlight w:val="none"/>
        </w:rPr>
        <w:t>[</w:t>
      </w:r>
      <w:r>
        <w:rPr>
          <w:rFonts w:hint="eastAsia"/>
          <w:color w:val="auto"/>
          <w:highlight w:val="none"/>
          <w:lang w:val="en-US" w:eastAsia="zh-CN"/>
        </w:rPr>
        <w:t>4</w:t>
      </w:r>
      <w:r>
        <w:rPr>
          <w:color w:val="auto"/>
          <w:highlight w:val="none"/>
        </w:rPr>
        <w:t>]</w:t>
      </w:r>
      <w:r>
        <w:rPr>
          <w:rFonts w:hAnsi="Times New Roman" w:cs="Times New Roman"/>
          <w:color w:val="auto"/>
          <w:highlight w:val="none"/>
        </w:rPr>
        <w:t xml:space="preserve">INTERNATIONAL ASSOCIATION OF PUBLIC PARTICIPATION.IAP2 Spectrum of Public Participation -available at: </w:t>
      </w:r>
      <w:r>
        <w:rPr>
          <w:rFonts w:hAnsi="Times New Roman" w:cs="Times New Roman"/>
          <w:color w:val="auto"/>
          <w:highlight w:val="none"/>
        </w:rPr>
        <w:fldChar w:fldCharType="begin"/>
      </w:r>
      <w:r>
        <w:rPr>
          <w:rFonts w:hAnsi="Times New Roman" w:cs="Times New Roman"/>
          <w:color w:val="auto"/>
          <w:highlight w:val="none"/>
        </w:rPr>
        <w:instrText xml:space="preserve"> HYPERLINK "http://www.iap2.orgfpagefpillars/" </w:instrText>
      </w:r>
      <w:r>
        <w:rPr>
          <w:rFonts w:hAnsi="Times New Roman" w:cs="Times New Roman"/>
          <w:color w:val="auto"/>
          <w:highlight w:val="none"/>
        </w:rPr>
        <w:fldChar w:fldCharType="separate"/>
      </w:r>
      <w:r>
        <w:rPr>
          <w:rFonts w:hAnsi="Times New Roman" w:cs="Times New Roman"/>
          <w:color w:val="auto"/>
          <w:highlight w:val="none"/>
        </w:rPr>
        <w:t>https:/fwww.iap2.org/page/pillars</w:t>
      </w:r>
      <w:r>
        <w:rPr>
          <w:rFonts w:hAnsi="Times New Roman" w:cs="Times New Roman"/>
          <w:color w:val="auto"/>
          <w:highlight w:val="none"/>
        </w:rPr>
        <w:fldChar w:fldCharType="end"/>
      </w:r>
    </w:p>
    <w:p w14:paraId="5E370D2E">
      <w:pPr>
        <w:pStyle w:val="59"/>
        <w:ind w:firstLine="420"/>
        <w:rPr>
          <w:rFonts w:hAnsi="Times New Roman" w:cs="Times New Roman"/>
          <w:color w:val="auto"/>
          <w:highlight w:val="none"/>
        </w:rPr>
      </w:pPr>
      <w:r>
        <w:rPr>
          <w:color w:val="auto"/>
          <w:highlight w:val="none"/>
        </w:rPr>
        <w:t>[</w:t>
      </w:r>
      <w:r>
        <w:rPr>
          <w:rFonts w:hint="eastAsia"/>
          <w:color w:val="auto"/>
          <w:highlight w:val="none"/>
          <w:lang w:val="en-US" w:eastAsia="zh-CN"/>
        </w:rPr>
        <w:t>5</w:t>
      </w:r>
      <w:r>
        <w:rPr>
          <w:color w:val="auto"/>
          <w:highlight w:val="none"/>
        </w:rPr>
        <w:t>]</w:t>
      </w:r>
      <w:r>
        <w:rPr>
          <w:rFonts w:hAnsi="Times New Roman" w:cs="Times New Roman"/>
          <w:color w:val="auto"/>
          <w:highlight w:val="none"/>
        </w:rPr>
        <w:t>ISO 22396, Security and resilience - Community resilience - Guidelines for information exchange between organizations</w:t>
      </w:r>
    </w:p>
    <w:p w14:paraId="34EFFE3E">
      <w:pPr>
        <w:pStyle w:val="59"/>
        <w:ind w:firstLine="420"/>
        <w:rPr>
          <w:rFonts w:hAnsi="Times New Roman" w:cs="Times New Roman"/>
          <w:color w:val="auto"/>
          <w:highlight w:val="none"/>
        </w:rPr>
      </w:pPr>
      <w:r>
        <w:rPr>
          <w:color w:val="auto"/>
          <w:highlight w:val="none"/>
        </w:rPr>
        <w:t>[</w:t>
      </w:r>
      <w:r>
        <w:rPr>
          <w:rFonts w:hint="eastAsia"/>
          <w:color w:val="auto"/>
          <w:highlight w:val="none"/>
          <w:lang w:val="en-US" w:eastAsia="zh-CN"/>
        </w:rPr>
        <w:t>6</w:t>
      </w:r>
      <w:r>
        <w:rPr>
          <w:color w:val="auto"/>
          <w:highlight w:val="none"/>
        </w:rPr>
        <w:t>]</w:t>
      </w:r>
      <w:r>
        <w:rPr>
          <w:rFonts w:hAnsi="Times New Roman" w:cs="Times New Roman"/>
          <w:color w:val="auto"/>
          <w:highlight w:val="none"/>
        </w:rPr>
        <w:t>ISO/IEC 27001, Information security, cybersecurity and privacy protection - Information security management systems- Requirements</w:t>
      </w:r>
    </w:p>
    <w:p w14:paraId="3955C047">
      <w:pPr>
        <w:pStyle w:val="59"/>
        <w:ind w:firstLine="420"/>
        <w:rPr>
          <w:rFonts w:hAnsi="Times New Roman" w:cs="Times New Roman"/>
          <w:color w:val="auto"/>
          <w:highlight w:val="none"/>
        </w:rPr>
      </w:pPr>
      <w:r>
        <w:rPr>
          <w:color w:val="auto"/>
          <w:highlight w:val="none"/>
        </w:rPr>
        <w:t>[</w:t>
      </w:r>
      <w:r>
        <w:rPr>
          <w:rFonts w:hint="eastAsia"/>
          <w:color w:val="auto"/>
          <w:highlight w:val="none"/>
          <w:lang w:val="en-US" w:eastAsia="zh-CN"/>
        </w:rPr>
        <w:t>7</w:t>
      </w:r>
      <w:r>
        <w:rPr>
          <w:color w:val="auto"/>
          <w:highlight w:val="none"/>
        </w:rPr>
        <w:t>]</w:t>
      </w:r>
      <w:r>
        <w:rPr>
          <w:rFonts w:hAnsi="Times New Roman" w:cs="Times New Roman"/>
          <w:color w:val="auto"/>
          <w:highlight w:val="none"/>
        </w:rPr>
        <w:t>BS 67000:2019, City resilience- Guide</w:t>
      </w:r>
    </w:p>
    <w:p w14:paraId="48C99EF0">
      <w:pPr>
        <w:pStyle w:val="59"/>
        <w:ind w:firstLine="420"/>
        <w:rPr>
          <w:rFonts w:hAnsi="Times New Roman" w:cs="Times New Roman"/>
          <w:color w:val="auto"/>
          <w:highlight w:val="none"/>
        </w:rPr>
      </w:pPr>
      <w:r>
        <w:rPr>
          <w:color w:val="auto"/>
          <w:highlight w:val="none"/>
        </w:rPr>
        <w:t>[</w:t>
      </w:r>
      <w:r>
        <w:rPr>
          <w:rFonts w:hint="eastAsia"/>
          <w:color w:val="auto"/>
          <w:highlight w:val="none"/>
          <w:lang w:val="en-US" w:eastAsia="zh-CN"/>
        </w:rPr>
        <w:t>8</w:t>
      </w:r>
      <w:r>
        <w:rPr>
          <w:color w:val="auto"/>
          <w:highlight w:val="none"/>
        </w:rPr>
        <w:t>]</w:t>
      </w:r>
      <w:r>
        <w:rPr>
          <w:rFonts w:hAnsi="Times New Roman" w:cs="Times New Roman"/>
          <w:color w:val="auto"/>
          <w:highlight w:val="none"/>
        </w:rPr>
        <w:t>ISO 14091, Adaptation to climate change -Guidelines on vulnerability, impacts and risk assessment</w:t>
      </w:r>
    </w:p>
    <w:p w14:paraId="16889FA4">
      <w:pPr>
        <w:pStyle w:val="59"/>
        <w:ind w:firstLine="420"/>
        <w:rPr>
          <w:rFonts w:hAnsi="Times New Roman" w:cs="Times New Roman"/>
          <w:color w:val="auto"/>
          <w:highlight w:val="none"/>
        </w:rPr>
      </w:pPr>
      <w:r>
        <w:rPr>
          <w:color w:val="auto"/>
          <w:highlight w:val="none"/>
        </w:rPr>
        <w:t>[</w:t>
      </w:r>
      <w:r>
        <w:rPr>
          <w:rFonts w:hint="eastAsia"/>
          <w:color w:val="auto"/>
          <w:highlight w:val="none"/>
          <w:lang w:val="en-US" w:eastAsia="zh-CN"/>
        </w:rPr>
        <w:t>9</w:t>
      </w:r>
      <w:r>
        <w:rPr>
          <w:color w:val="auto"/>
          <w:highlight w:val="none"/>
        </w:rPr>
        <w:t>]</w:t>
      </w:r>
      <w:r>
        <w:rPr>
          <w:rFonts w:hAnsi="Times New Roman" w:cs="Times New Roman"/>
          <w:color w:val="auto"/>
          <w:highlight w:val="none"/>
        </w:rPr>
        <w:t>ISO 22361, Security and resilience- Crisis management- Guidelines</w:t>
      </w:r>
    </w:p>
    <w:p w14:paraId="52934594">
      <w:pPr>
        <w:pStyle w:val="59"/>
        <w:ind w:firstLine="420"/>
        <w:rPr>
          <w:rFonts w:hAnsi="Times New Roman" w:cs="Times New Roman"/>
          <w:color w:val="auto"/>
          <w:highlight w:val="none"/>
        </w:rPr>
      </w:pPr>
      <w:r>
        <w:rPr>
          <w:color w:val="auto"/>
          <w:highlight w:val="none"/>
        </w:rPr>
        <w:t>[</w:t>
      </w:r>
      <w:r>
        <w:rPr>
          <w:rFonts w:hint="eastAsia"/>
          <w:color w:val="auto"/>
          <w:highlight w:val="none"/>
          <w:lang w:val="en-US" w:eastAsia="zh-CN"/>
        </w:rPr>
        <w:t>10</w:t>
      </w:r>
      <w:r>
        <w:rPr>
          <w:color w:val="auto"/>
          <w:highlight w:val="none"/>
        </w:rPr>
        <w:t>]</w:t>
      </w:r>
      <w:r>
        <w:rPr>
          <w:rFonts w:hAnsi="Times New Roman" w:cs="Times New Roman"/>
          <w:color w:val="auto"/>
          <w:highlight w:val="none"/>
        </w:rPr>
        <w:t xml:space="preserve">City resilience index. The Rockefeller Foundation | ARUP [online]. 19 June 2024.Available from: </w:t>
      </w:r>
      <w:r>
        <w:rPr>
          <w:rFonts w:hAnsi="Times New Roman" w:cs="Times New Roman"/>
          <w:color w:val="auto"/>
          <w:highlight w:val="none"/>
        </w:rPr>
        <w:fldChar w:fldCharType="begin"/>
      </w:r>
      <w:r>
        <w:rPr>
          <w:rFonts w:hAnsi="Times New Roman" w:cs="Times New Roman"/>
          <w:color w:val="auto"/>
          <w:highlight w:val="none"/>
        </w:rPr>
        <w:instrText xml:space="preserve"> HYPERLINK "http://www.arup.comfglobalassetsfdownloadsfinsightsfcity-resilience-index.pdf/" </w:instrText>
      </w:r>
      <w:r>
        <w:rPr>
          <w:rFonts w:hAnsi="Times New Roman" w:cs="Times New Roman"/>
          <w:color w:val="auto"/>
          <w:highlight w:val="none"/>
        </w:rPr>
        <w:fldChar w:fldCharType="separate"/>
      </w:r>
      <w:r>
        <w:rPr>
          <w:rFonts w:hAnsi="Times New Roman" w:cs="Times New Roman"/>
          <w:color w:val="auto"/>
          <w:highlight w:val="none"/>
        </w:rPr>
        <w:t>https://www.arup.com/globalassets/downloads/insights/city-resilience-index.pdf</w:t>
      </w:r>
      <w:r>
        <w:rPr>
          <w:rFonts w:hAnsi="Times New Roman" w:cs="Times New Roman"/>
          <w:color w:val="auto"/>
          <w:highlight w:val="none"/>
        </w:rPr>
        <w:fldChar w:fldCharType="end"/>
      </w:r>
    </w:p>
    <w:p w14:paraId="28E15CDC">
      <w:pPr>
        <w:pStyle w:val="59"/>
        <w:ind w:firstLine="420"/>
        <w:rPr>
          <w:rFonts w:hAnsi="Times New Roman" w:cs="Times New Roman"/>
          <w:color w:val="auto"/>
          <w:highlight w:val="none"/>
        </w:rPr>
      </w:pPr>
      <w:r>
        <w:rPr>
          <w:color w:val="auto"/>
          <w:highlight w:val="none"/>
        </w:rPr>
        <w:t>[</w:t>
      </w:r>
      <w:r>
        <w:rPr>
          <w:rFonts w:hint="eastAsia"/>
          <w:color w:val="auto"/>
          <w:highlight w:val="none"/>
          <w:lang w:val="en-US" w:eastAsia="zh-CN"/>
        </w:rPr>
        <w:t>11</w:t>
      </w:r>
      <w:r>
        <w:rPr>
          <w:color w:val="auto"/>
          <w:highlight w:val="none"/>
        </w:rPr>
        <w:t>]</w:t>
      </w:r>
      <w:r>
        <w:rPr>
          <w:rFonts w:hAnsi="Times New Roman" w:cs="Times New Roman"/>
          <w:color w:val="auto"/>
          <w:highlight w:val="none"/>
        </w:rPr>
        <w:t>ISO 31000, Risk management- Guidelines</w:t>
      </w:r>
    </w:p>
    <w:p w14:paraId="16E82677">
      <w:pPr>
        <w:pStyle w:val="59"/>
        <w:ind w:firstLine="420"/>
        <w:rPr>
          <w:rFonts w:hAnsi="Times New Roman" w:cs="Times New Roman"/>
          <w:color w:val="auto"/>
          <w:highlight w:val="none"/>
        </w:rPr>
      </w:pPr>
      <w:r>
        <w:rPr>
          <w:color w:val="auto"/>
          <w:highlight w:val="none"/>
        </w:rPr>
        <w:t>[</w:t>
      </w:r>
      <w:r>
        <w:rPr>
          <w:rFonts w:hint="eastAsia"/>
          <w:color w:val="auto"/>
          <w:highlight w:val="none"/>
          <w:lang w:val="en-US" w:eastAsia="zh-CN"/>
        </w:rPr>
        <w:t>12</w:t>
      </w:r>
      <w:r>
        <w:rPr>
          <w:color w:val="auto"/>
          <w:highlight w:val="none"/>
        </w:rPr>
        <w:t>]</w:t>
      </w:r>
      <w:r>
        <w:rPr>
          <w:rFonts w:hAnsi="Times New Roman" w:cs="Times New Roman"/>
          <w:color w:val="auto"/>
          <w:highlight w:val="none"/>
        </w:rPr>
        <w:t>ISO 22301, Security and resilience- Business continuity management systems- Requirements</w:t>
      </w:r>
    </w:p>
    <w:p w14:paraId="150DCC9C">
      <w:pPr>
        <w:pStyle w:val="59"/>
        <w:ind w:firstLine="420"/>
        <w:rPr>
          <w:rFonts w:hAnsi="Times New Roman" w:cs="Times New Roman"/>
          <w:color w:val="auto"/>
          <w:highlight w:val="none"/>
        </w:rPr>
      </w:pPr>
      <w:r>
        <w:rPr>
          <w:color w:val="auto"/>
          <w:highlight w:val="none"/>
        </w:rPr>
        <w:t>[</w:t>
      </w:r>
      <w:r>
        <w:rPr>
          <w:rFonts w:hint="eastAsia"/>
          <w:color w:val="auto"/>
          <w:highlight w:val="none"/>
          <w:lang w:val="en-US" w:eastAsia="zh-CN"/>
        </w:rPr>
        <w:t>13</w:t>
      </w:r>
      <w:r>
        <w:rPr>
          <w:color w:val="auto"/>
          <w:highlight w:val="none"/>
        </w:rPr>
        <w:t>]</w:t>
      </w:r>
      <w:r>
        <w:rPr>
          <w:rFonts w:hAnsi="Times New Roman" w:cs="Times New Roman"/>
          <w:color w:val="auto"/>
          <w:highlight w:val="none"/>
        </w:rPr>
        <w:t>ISO 22325, Security and resilience- Emergency management- Guidelinesfor capability assessment</w:t>
      </w:r>
    </w:p>
    <w:p w14:paraId="746FC61A">
      <w:pPr>
        <w:pStyle w:val="59"/>
        <w:ind w:firstLine="420"/>
        <w:rPr>
          <w:rFonts w:hAnsi="Times New Roman" w:cs="Times New Roman"/>
          <w:color w:val="auto"/>
          <w:highlight w:val="none"/>
        </w:rPr>
      </w:pPr>
      <w:r>
        <w:rPr>
          <w:color w:val="auto"/>
          <w:highlight w:val="none"/>
        </w:rPr>
        <w:t>[</w:t>
      </w:r>
      <w:r>
        <w:rPr>
          <w:rFonts w:hint="eastAsia"/>
          <w:color w:val="auto"/>
          <w:highlight w:val="none"/>
          <w:lang w:val="en-US" w:eastAsia="zh-CN"/>
        </w:rPr>
        <w:t>14</w:t>
      </w:r>
      <w:r>
        <w:rPr>
          <w:color w:val="auto"/>
          <w:highlight w:val="none"/>
        </w:rPr>
        <w:t>]</w:t>
      </w:r>
      <w:r>
        <w:rPr>
          <w:rFonts w:hAnsi="Times New Roman" w:cs="Times New Roman"/>
          <w:color w:val="auto"/>
          <w:highlight w:val="none"/>
        </w:rPr>
        <w:t>ISO 22393, Security and resilience- Community resilience- Guidelines for planning recovery and renewal</w:t>
      </w:r>
    </w:p>
    <w:p w14:paraId="3DDA0B9E">
      <w:pPr>
        <w:pStyle w:val="59"/>
        <w:ind w:firstLine="420"/>
        <w:rPr>
          <w:rFonts w:hAnsi="Times New Roman" w:cs="Times New Roman"/>
          <w:color w:val="auto"/>
          <w:highlight w:val="none"/>
        </w:rPr>
      </w:pPr>
      <w:r>
        <w:rPr>
          <w:color w:val="auto"/>
          <w:highlight w:val="none"/>
        </w:rPr>
        <w:t>[</w:t>
      </w:r>
      <w:r>
        <w:rPr>
          <w:rFonts w:hint="eastAsia"/>
          <w:color w:val="auto"/>
          <w:highlight w:val="none"/>
          <w:lang w:val="en-US" w:eastAsia="zh-CN"/>
        </w:rPr>
        <w:t>15</w:t>
      </w:r>
      <w:r>
        <w:rPr>
          <w:color w:val="auto"/>
          <w:highlight w:val="none"/>
        </w:rPr>
        <w:t>]</w:t>
      </w:r>
      <w:r>
        <w:rPr>
          <w:rFonts w:hint="eastAsia" w:hAnsi="Times New Roman" w:cs="Times New Roman"/>
          <w:color w:val="auto"/>
          <w:highlight w:val="none"/>
        </w:rPr>
        <w:t>HAASNOOT M, KWAKKEL J, WALKER W, et al. Dynamic adaptive policy pathways: a method for crafting robust decisions for a deeply uncertain world[J]. Global Environmental Change, 2013, 23(2): 485-498</w:t>
      </w:r>
      <w:r>
        <w:rPr>
          <w:rFonts w:hAnsi="Times New Roman" w:cs="Times New Roman"/>
          <w:color w:val="auto"/>
          <w:highlight w:val="none"/>
        </w:rPr>
        <w:t>ISO 21504, Project, programme and portfolio management- Guidance on portfolio management</w:t>
      </w:r>
    </w:p>
    <w:p w14:paraId="380A7A62">
      <w:pPr>
        <w:pStyle w:val="59"/>
        <w:ind w:firstLine="420"/>
        <w:rPr>
          <w:rFonts w:hAnsi="Times New Roman" w:cs="Times New Roman"/>
          <w:color w:val="auto"/>
          <w:highlight w:val="none"/>
        </w:rPr>
      </w:pPr>
      <w:r>
        <w:rPr>
          <w:color w:val="auto"/>
          <w:highlight w:val="none"/>
        </w:rPr>
        <w:t>[</w:t>
      </w:r>
      <w:r>
        <w:rPr>
          <w:rFonts w:hint="eastAsia"/>
          <w:color w:val="auto"/>
          <w:highlight w:val="none"/>
          <w:lang w:val="en-US" w:eastAsia="zh-CN"/>
        </w:rPr>
        <w:t>16</w:t>
      </w:r>
      <w:r>
        <w:rPr>
          <w:color w:val="auto"/>
          <w:highlight w:val="none"/>
        </w:rPr>
        <w:t>]</w:t>
      </w:r>
      <w:r>
        <w:rPr>
          <w:rFonts w:hAnsi="Times New Roman" w:cs="Times New Roman"/>
          <w:color w:val="auto"/>
          <w:highlight w:val="none"/>
        </w:rPr>
        <w:t>ISO 20400, Sustainable procurement- Guidance</w:t>
      </w:r>
    </w:p>
    <w:p w14:paraId="7EF070D5">
      <w:pPr>
        <w:pStyle w:val="59"/>
        <w:ind w:firstLine="420"/>
        <w:rPr>
          <w:rFonts w:hAnsi="Times New Roman" w:cs="Times New Roman"/>
          <w:color w:val="auto"/>
          <w:highlight w:val="none"/>
        </w:rPr>
      </w:pPr>
      <w:r>
        <w:rPr>
          <w:color w:val="auto"/>
          <w:highlight w:val="none"/>
        </w:rPr>
        <w:t>[</w:t>
      </w:r>
      <w:r>
        <w:rPr>
          <w:rFonts w:hint="eastAsia"/>
          <w:color w:val="auto"/>
          <w:highlight w:val="none"/>
          <w:lang w:val="en-US" w:eastAsia="zh-CN"/>
        </w:rPr>
        <w:t>17</w:t>
      </w:r>
      <w:r>
        <w:rPr>
          <w:color w:val="auto"/>
          <w:highlight w:val="none"/>
        </w:rPr>
        <w:t>]</w:t>
      </w:r>
      <w:r>
        <w:rPr>
          <w:rFonts w:hAnsi="Times New Roman" w:cs="Times New Roman"/>
          <w:color w:val="auto"/>
          <w:highlight w:val="none"/>
        </w:rPr>
        <w:t>ISO 22313, Security and resilience- Business continuity management systems- Guidance on the use of ISO 22301</w:t>
      </w:r>
    </w:p>
    <w:p w14:paraId="6EF35F9E">
      <w:pPr>
        <w:pStyle w:val="59"/>
        <w:ind w:firstLine="420"/>
        <w:rPr>
          <w:rFonts w:hAnsi="Times New Roman" w:cs="Times New Roman"/>
          <w:color w:val="auto"/>
          <w:highlight w:val="none"/>
        </w:rPr>
      </w:pPr>
      <w:r>
        <w:rPr>
          <w:color w:val="auto"/>
          <w:highlight w:val="none"/>
        </w:rPr>
        <w:t>[</w:t>
      </w:r>
      <w:r>
        <w:rPr>
          <w:rFonts w:hint="eastAsia"/>
          <w:color w:val="auto"/>
          <w:highlight w:val="none"/>
          <w:lang w:val="en-US" w:eastAsia="zh-CN"/>
        </w:rPr>
        <w:t>18</w:t>
      </w:r>
      <w:r>
        <w:rPr>
          <w:color w:val="auto"/>
          <w:highlight w:val="none"/>
        </w:rPr>
        <w:t>]</w:t>
      </w:r>
      <w:r>
        <w:rPr>
          <w:rFonts w:hAnsi="Times New Roman" w:cs="Times New Roman"/>
          <w:color w:val="auto"/>
          <w:highlight w:val="none"/>
        </w:rPr>
        <w:t>ISO 22320, Security and resilience- Emergency management- Guidelines for incident management</w:t>
      </w:r>
    </w:p>
    <w:p w14:paraId="2BCE633C">
      <w:pPr>
        <w:pStyle w:val="59"/>
        <w:ind w:firstLine="420"/>
        <w:rPr>
          <w:rFonts w:hAnsi="Times New Roman" w:cs="Times New Roman"/>
          <w:color w:val="auto"/>
          <w:highlight w:val="none"/>
        </w:rPr>
      </w:pPr>
      <w:r>
        <w:rPr>
          <w:color w:val="auto"/>
          <w:highlight w:val="none"/>
        </w:rPr>
        <w:t>[</w:t>
      </w:r>
      <w:r>
        <w:rPr>
          <w:rFonts w:hint="eastAsia"/>
          <w:color w:val="auto"/>
          <w:highlight w:val="none"/>
          <w:lang w:val="en-US" w:eastAsia="zh-CN"/>
        </w:rPr>
        <w:t>19</w:t>
      </w:r>
      <w:r>
        <w:rPr>
          <w:color w:val="auto"/>
          <w:highlight w:val="none"/>
        </w:rPr>
        <w:t>]</w:t>
      </w:r>
      <w:r>
        <w:rPr>
          <w:rFonts w:hAnsi="Times New Roman" w:cs="Times New Roman"/>
          <w:color w:val="auto"/>
          <w:highlight w:val="none"/>
        </w:rPr>
        <w:t>ISO 31073:2022, Risk management- Vocabulary</w:t>
      </w:r>
    </w:p>
    <w:bookmarkEnd w:id="249"/>
    <w:p w14:paraId="5BCAEDA1">
      <w:pPr>
        <w:pStyle w:val="59"/>
        <w:ind w:firstLine="0" w:firstLineChars="0"/>
        <w:jc w:val="center"/>
        <w:rPr>
          <w:color w:val="auto"/>
          <w:highlight w:val="none"/>
        </w:rPr>
      </w:pPr>
      <w:bookmarkStart w:id="251" w:name="BookMark8"/>
      <w:r>
        <w:rPr>
          <w:color w:val="auto"/>
          <w:highlight w:val="none"/>
        </w:rPr>
        <w:drawing>
          <wp:inline distT="0" distB="0" distL="0" distR="0">
            <wp:extent cx="1485900" cy="317500"/>
            <wp:effectExtent l="0" t="0" r="0" b="0"/>
            <wp:docPr id="375009379" name="图片 117"/>
            <wp:cNvGraphicFramePr/>
            <a:graphic xmlns:a="http://schemas.openxmlformats.org/drawingml/2006/main">
              <a:graphicData uri="http://schemas.openxmlformats.org/drawingml/2006/picture">
                <pic:pic xmlns:pic="http://schemas.openxmlformats.org/drawingml/2006/picture">
                  <pic:nvPicPr>
                    <pic:cNvPr id="375009379" name="图片 117"/>
                    <pic:cNvPicPr/>
                  </pic:nvPicPr>
                  <pic:blipFill>
                    <a:blip r:embed="rId26">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251"/>
    </w:p>
    <w:p w14:paraId="55E36721">
      <w:pPr>
        <w:pStyle w:val="59"/>
        <w:rPr>
          <w:color w:val="auto"/>
          <w:highlight w:val="none"/>
        </w:rPr>
      </w:pPr>
    </w:p>
    <w:sectPr>
      <w:pgSz w:w="11906" w:h="16838"/>
      <w:pgMar w:top="1928" w:right="1134" w:bottom="1134" w:left="1134" w:header="1418" w:footer="1134" w:gutter="284"/>
      <w:pgNumType w:fmt="decimal"/>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8CC94">
    <w:pPr>
      <w:pStyle w:val="18"/>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C7DC3">
    <w:pPr>
      <w:pStyle w:val="18"/>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274D6">
    <w:pPr>
      <w:pStyle w:val="5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B78FD">
    <w:pPr>
      <w:pStyle w:val="5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A26122">
                          <w:pPr>
                            <w:pStyle w:val="55"/>
                          </w:pPr>
                          <w:r>
                            <w:fldChar w:fldCharType="begin"/>
                          </w:r>
                          <w:r>
                            <w:instrText xml:space="preserve">PAGE   \* MERGEFORMAT</w:instrText>
                          </w:r>
                          <w:r>
                            <w:fldChar w:fldCharType="separate"/>
                          </w:r>
                          <w:r>
                            <w:rPr>
                              <w:lang w:val="zh-CN"/>
                            </w:rP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4A26122">
                    <w:pPr>
                      <w:pStyle w:val="55"/>
                    </w:pPr>
                    <w:r>
                      <w:fldChar w:fldCharType="begin"/>
                    </w:r>
                    <w:r>
                      <w:instrText xml:space="preserve">PAGE   \* MERGEFORMAT</w:instrText>
                    </w:r>
                    <w:r>
                      <w:fldChar w:fldCharType="separate"/>
                    </w:r>
                    <w:r>
                      <w:rPr>
                        <w:lang w:val="zh-CN"/>
                      </w:rP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0096B">
    <w:pPr>
      <w:pStyle w:val="5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B61264">
                          <w:pPr>
                            <w:pStyle w:val="55"/>
                          </w:pPr>
                          <w:r>
                            <w:fldChar w:fldCharType="begin"/>
                          </w:r>
                          <w:r>
                            <w:instrText xml:space="preserve">PAGE   \* MERGEFORMAT</w:instrText>
                          </w:r>
                          <w:r>
                            <w:fldChar w:fldCharType="separate"/>
                          </w:r>
                          <w:r>
                            <w:rPr>
                              <w:lang w:val="zh-CN"/>
                            </w:rP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CB61264">
                    <w:pPr>
                      <w:pStyle w:val="55"/>
                    </w:pPr>
                    <w:r>
                      <w:fldChar w:fldCharType="begin"/>
                    </w:r>
                    <w:r>
                      <w:instrText xml:space="preserve">PAGE   \* MERGEFORMAT</w:instrText>
                    </w:r>
                    <w:r>
                      <w:fldChar w:fldCharType="separate"/>
                    </w:r>
                    <w:r>
                      <w:rPr>
                        <w:lang w:val="zh-CN"/>
                      </w:rP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5AB5B">
    <w:pPr>
      <w:pStyle w:val="55"/>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5DB09B">
                          <w:pPr>
                            <w:pStyle w:val="55"/>
                          </w:pPr>
                          <w:r>
                            <w:fldChar w:fldCharType="begin"/>
                          </w:r>
                          <w:r>
                            <w:instrText xml:space="preserve">PAGE   \* MERGEFORMAT</w:instrText>
                          </w:r>
                          <w:r>
                            <w:fldChar w:fldCharType="separate"/>
                          </w:r>
                          <w:r>
                            <w:rPr>
                              <w:lang w:val="zh-CN"/>
                            </w:rP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135DB09B">
                    <w:pPr>
                      <w:pStyle w:val="55"/>
                    </w:pPr>
                    <w:r>
                      <w:fldChar w:fldCharType="begin"/>
                    </w:r>
                    <w:r>
                      <w:instrText xml:space="preserve">PAGE   \* MERGEFORMAT</w:instrText>
                    </w:r>
                    <w:r>
                      <w:fldChar w:fldCharType="separate"/>
                    </w:r>
                    <w:r>
                      <w:rPr>
                        <w:lang w:val="zh-CN"/>
                      </w:rP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C7774">
    <w:pPr>
      <w:pStyle w:val="5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BF0340">
                          <w:pPr>
                            <w:pStyle w:val="55"/>
                          </w:pPr>
                          <w:r>
                            <w:fldChar w:fldCharType="begin"/>
                          </w:r>
                          <w:r>
                            <w:instrText xml:space="preserve">PAGE   \* MERGEFORMAT</w:instrText>
                          </w:r>
                          <w:r>
                            <w:fldChar w:fldCharType="separate"/>
                          </w:r>
                          <w:r>
                            <w:rPr>
                              <w:lang w:val="zh-CN"/>
                            </w:rP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7BF0340">
                    <w:pPr>
                      <w:pStyle w:val="55"/>
                    </w:pPr>
                    <w:r>
                      <w:fldChar w:fldCharType="begin"/>
                    </w:r>
                    <w:r>
                      <w:instrText xml:space="preserve">PAGE   \* MERGEFORMAT</w:instrText>
                    </w:r>
                    <w:r>
                      <w:fldChar w:fldCharType="separate"/>
                    </w:r>
                    <w:r>
                      <w:rPr>
                        <w:lang w:val="zh-CN"/>
                      </w:rPr>
                      <w:t>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5CAF9">
    <w:pPr>
      <w:pStyle w:val="55"/>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54EDF1">
                          <w:pPr>
                            <w:pStyle w:val="55"/>
                          </w:pPr>
                          <w:r>
                            <w:fldChar w:fldCharType="begin"/>
                          </w:r>
                          <w:r>
                            <w:instrText xml:space="preserve">PAGE   \* MERGEFORMAT</w:instrText>
                          </w:r>
                          <w:r>
                            <w:fldChar w:fldCharType="separate"/>
                          </w:r>
                          <w:r>
                            <w:rPr>
                              <w:lang w:val="zh-CN"/>
                            </w:rP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0754EDF1">
                    <w:pPr>
                      <w:pStyle w:val="55"/>
                    </w:pPr>
                    <w:r>
                      <w:fldChar w:fldCharType="begin"/>
                    </w:r>
                    <w:r>
                      <w:instrText xml:space="preserve">PAGE   \* MERGEFORMAT</w:instrText>
                    </w:r>
                    <w:r>
                      <w:fldChar w:fldCharType="separate"/>
                    </w:r>
                    <w:r>
                      <w:rPr>
                        <w:lang w:val="zh-CN"/>
                      </w:rP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2110C">
    <w:pPr>
      <w:pStyle w:val="19"/>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37F96">
    <w:pPr>
      <w:pStyle w:val="1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ADC35">
    <w:pPr>
      <w:pStyle w:val="19"/>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281B5">
    <w:pPr>
      <w:pStyle w:val="64"/>
      <w:spacing w:after="0"/>
      <w:rPr>
        <w:rFonts w:hint="eastAsia"/>
      </w:rPr>
    </w:pPr>
    <w:r>
      <w:fldChar w:fldCharType="begin"/>
    </w:r>
    <w:r>
      <w:instrText xml:space="preserve"> STYLEREF  标准文件_文件编号  \* MERGEFORMAT </w:instrText>
    </w:r>
    <w:r>
      <w:fldChar w:fldCharType="separate"/>
    </w:r>
    <w:r>
      <w:t>GB/T XXXXX.XXXX—/ISO 22371:2024</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00B08">
    <w:pPr>
      <w:pStyle w:val="19"/>
      <w:jc w:val="right"/>
    </w:pPr>
    <w:r>
      <w:fldChar w:fldCharType="begin"/>
    </w:r>
    <w:r>
      <w:instrText xml:space="preserve"> STYLEREF  标准文件_文件编号  \* MERGEFORMAT </w:instrText>
    </w:r>
    <w:r>
      <w:fldChar w:fldCharType="separate"/>
    </w:r>
    <w:r>
      <w:t>GB/T XXXXX.XXXX—/ISO 22371:2024</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1E1AB"/>
    <w:multiLevelType w:val="singleLevel"/>
    <w:tmpl w:val="8371E1AB"/>
    <w:lvl w:ilvl="0" w:tentative="0">
      <w:start w:val="1"/>
      <w:numFmt w:val="decimal"/>
      <w:lvlText w:val="(%1)"/>
      <w:lvlJc w:val="left"/>
      <w:pPr>
        <w:ind w:left="425" w:hanging="425"/>
      </w:pPr>
      <w:rPr>
        <w:rFonts w:hint="default"/>
      </w:rPr>
    </w:lvl>
  </w:abstractNum>
  <w:abstractNum w:abstractNumId="1">
    <w:nsid w:val="87FC9150"/>
    <w:multiLevelType w:val="multilevel"/>
    <w:tmpl w:val="87FC9150"/>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
    <w:nsid w:val="8CBC6D59"/>
    <w:multiLevelType w:val="multilevel"/>
    <w:tmpl w:val="8CBC6D59"/>
    <w:lvl w:ilvl="0" w:tentative="0">
      <w:start w:val="1"/>
      <w:numFmt w:val="decimal"/>
      <w:pStyle w:val="183"/>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8D098CBE"/>
    <w:multiLevelType w:val="singleLevel"/>
    <w:tmpl w:val="8D098CBE"/>
    <w:lvl w:ilvl="0" w:tentative="0">
      <w:start w:val="1"/>
      <w:numFmt w:val="decimal"/>
      <w:lvlText w:val="(%1)"/>
      <w:lvlJc w:val="left"/>
      <w:pPr>
        <w:ind w:left="425" w:hanging="425"/>
      </w:pPr>
      <w:rPr>
        <w:rFonts w:hint="default"/>
      </w:rPr>
    </w:lvl>
  </w:abstractNum>
  <w:abstractNum w:abstractNumId="4">
    <w:nsid w:val="960291B4"/>
    <w:multiLevelType w:val="singleLevel"/>
    <w:tmpl w:val="960291B4"/>
    <w:lvl w:ilvl="0" w:tentative="0">
      <w:start w:val="1"/>
      <w:numFmt w:val="decimal"/>
      <w:lvlText w:val="(%1)"/>
      <w:lvlJc w:val="left"/>
      <w:pPr>
        <w:ind w:left="425" w:hanging="425"/>
      </w:pPr>
      <w:rPr>
        <w:rFonts w:hint="default"/>
      </w:rPr>
    </w:lvl>
  </w:abstractNum>
  <w:abstractNum w:abstractNumId="5">
    <w:nsid w:val="9630231E"/>
    <w:multiLevelType w:val="singleLevel"/>
    <w:tmpl w:val="9630231E"/>
    <w:lvl w:ilvl="0" w:tentative="0">
      <w:start w:val="1"/>
      <w:numFmt w:val="decimal"/>
      <w:lvlText w:val="(%1)"/>
      <w:lvlJc w:val="left"/>
      <w:pPr>
        <w:ind w:left="425" w:hanging="425"/>
      </w:pPr>
      <w:rPr>
        <w:rFonts w:hint="default"/>
      </w:rPr>
    </w:lvl>
  </w:abstractNum>
  <w:abstractNum w:abstractNumId="6">
    <w:nsid w:val="9B97EA5D"/>
    <w:multiLevelType w:val="multilevel"/>
    <w:tmpl w:val="9B97EA5D"/>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7">
    <w:nsid w:val="9E90EA2D"/>
    <w:multiLevelType w:val="multilevel"/>
    <w:tmpl w:val="9E90EA2D"/>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8">
    <w:nsid w:val="A1F56ECC"/>
    <w:multiLevelType w:val="multilevel"/>
    <w:tmpl w:val="A1F56ECC"/>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9">
    <w:nsid w:val="A901D6F7"/>
    <w:multiLevelType w:val="multilevel"/>
    <w:tmpl w:val="A901D6F7"/>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0">
    <w:nsid w:val="A94EA641"/>
    <w:multiLevelType w:val="multilevel"/>
    <w:tmpl w:val="A94EA641"/>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1">
    <w:nsid w:val="B2F72E85"/>
    <w:multiLevelType w:val="multilevel"/>
    <w:tmpl w:val="B2F72E85"/>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2">
    <w:nsid w:val="B97C04BF"/>
    <w:multiLevelType w:val="singleLevel"/>
    <w:tmpl w:val="B97C04BF"/>
    <w:lvl w:ilvl="0" w:tentative="0">
      <w:start w:val="1"/>
      <w:numFmt w:val="decimal"/>
      <w:lvlText w:val="(%1)"/>
      <w:lvlJc w:val="left"/>
      <w:pPr>
        <w:ind w:left="425" w:hanging="425"/>
      </w:pPr>
      <w:rPr>
        <w:rFonts w:hint="default"/>
      </w:rPr>
    </w:lvl>
  </w:abstractNum>
  <w:abstractNum w:abstractNumId="13">
    <w:nsid w:val="BA1682D9"/>
    <w:multiLevelType w:val="multilevel"/>
    <w:tmpl w:val="BA1682D9"/>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4">
    <w:nsid w:val="BB721DD9"/>
    <w:multiLevelType w:val="singleLevel"/>
    <w:tmpl w:val="BB721DD9"/>
    <w:lvl w:ilvl="0" w:tentative="0">
      <w:start w:val="1"/>
      <w:numFmt w:val="decimal"/>
      <w:lvlText w:val="(%1)"/>
      <w:lvlJc w:val="left"/>
      <w:pPr>
        <w:ind w:left="425" w:hanging="425"/>
      </w:pPr>
      <w:rPr>
        <w:rFonts w:hint="default"/>
      </w:rPr>
    </w:lvl>
  </w:abstractNum>
  <w:abstractNum w:abstractNumId="15">
    <w:nsid w:val="BD70A5B4"/>
    <w:multiLevelType w:val="multilevel"/>
    <w:tmpl w:val="BD70A5B4"/>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6">
    <w:nsid w:val="C549E8DA"/>
    <w:multiLevelType w:val="multilevel"/>
    <w:tmpl w:val="C549E8DA"/>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7">
    <w:nsid w:val="D11CB14F"/>
    <w:multiLevelType w:val="singleLevel"/>
    <w:tmpl w:val="D11CB14F"/>
    <w:lvl w:ilvl="0" w:tentative="0">
      <w:start w:val="1"/>
      <w:numFmt w:val="decimal"/>
      <w:lvlText w:val="(%1)"/>
      <w:lvlJc w:val="left"/>
      <w:pPr>
        <w:ind w:left="425" w:hanging="425"/>
      </w:pPr>
      <w:rPr>
        <w:rFonts w:hint="default"/>
      </w:rPr>
    </w:lvl>
  </w:abstractNum>
  <w:abstractNum w:abstractNumId="18">
    <w:nsid w:val="D187887A"/>
    <w:multiLevelType w:val="singleLevel"/>
    <w:tmpl w:val="D187887A"/>
    <w:lvl w:ilvl="0" w:tentative="0">
      <w:start w:val="1"/>
      <w:numFmt w:val="decimal"/>
      <w:lvlText w:val="(%1)"/>
      <w:lvlJc w:val="left"/>
      <w:pPr>
        <w:ind w:left="425" w:hanging="425"/>
      </w:pPr>
      <w:rPr>
        <w:rFonts w:hint="default"/>
      </w:rPr>
    </w:lvl>
  </w:abstractNum>
  <w:abstractNum w:abstractNumId="19">
    <w:nsid w:val="D33E417A"/>
    <w:multiLevelType w:val="multilevel"/>
    <w:tmpl w:val="D33E417A"/>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0">
    <w:nsid w:val="D421CE44"/>
    <w:multiLevelType w:val="multilevel"/>
    <w:tmpl w:val="D421CE44"/>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1">
    <w:nsid w:val="D8C61A0D"/>
    <w:multiLevelType w:val="multilevel"/>
    <w:tmpl w:val="D8C61A0D"/>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2">
    <w:nsid w:val="DA3CF98F"/>
    <w:multiLevelType w:val="multilevel"/>
    <w:tmpl w:val="DA3CF98F"/>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3">
    <w:nsid w:val="DB373A9A"/>
    <w:multiLevelType w:val="multilevel"/>
    <w:tmpl w:val="DB373A9A"/>
    <w:lvl w:ilvl="0" w:tentative="0">
      <w:start w:val="1"/>
      <w:numFmt w:val="decimal"/>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24">
    <w:nsid w:val="DE5788B3"/>
    <w:multiLevelType w:val="multilevel"/>
    <w:tmpl w:val="DE5788B3"/>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5">
    <w:nsid w:val="E05FF26E"/>
    <w:multiLevelType w:val="multilevel"/>
    <w:tmpl w:val="E05FF26E"/>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6">
    <w:nsid w:val="EF382A8E"/>
    <w:multiLevelType w:val="multilevel"/>
    <w:tmpl w:val="EF382A8E"/>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7">
    <w:nsid w:val="F073661A"/>
    <w:multiLevelType w:val="multilevel"/>
    <w:tmpl w:val="F073661A"/>
    <w:lvl w:ilvl="0" w:tentative="0">
      <w:start w:val="1"/>
      <w:numFmt w:val="lowerLetter"/>
      <w:pStyle w:val="177"/>
      <w:lvlText w:val="%1)"/>
      <w:lvlJc w:val="left"/>
      <w:pPr>
        <w:tabs>
          <w:tab w:val="left" w:pos="851"/>
        </w:tabs>
        <w:ind w:left="851" w:hanging="426"/>
      </w:pPr>
      <w:rPr>
        <w:rFonts w:hint="eastAsia" w:ascii="宋体" w:hAnsi="Times New Roman" w:eastAsia="宋体"/>
        <w:sz w:val="21"/>
      </w:rPr>
    </w:lvl>
    <w:lvl w:ilvl="1" w:tentative="0">
      <w:start w:val="1"/>
      <w:numFmt w:val="decimal"/>
      <w:pStyle w:val="112"/>
      <w:lvlText w:val="%2)"/>
      <w:lvlJc w:val="left"/>
      <w:pPr>
        <w:tabs>
          <w:tab w:val="left" w:pos="1276"/>
        </w:tabs>
        <w:ind w:left="1276" w:hanging="425"/>
      </w:pPr>
      <w:rPr>
        <w:rFonts w:hint="eastAsia" w:ascii="宋体" w:hAnsi="Times New Roman" w:eastAsia="宋体"/>
        <w:sz w:val="21"/>
      </w:rPr>
    </w:lvl>
    <w:lvl w:ilvl="2" w:tentative="0">
      <w:start w:val="1"/>
      <w:numFmt w:val="decimal"/>
      <w:pStyle w:val="120"/>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8">
    <w:nsid w:val="F32A8E0F"/>
    <w:multiLevelType w:val="multilevel"/>
    <w:tmpl w:val="F32A8E0F"/>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9">
    <w:nsid w:val="F6967F90"/>
    <w:multiLevelType w:val="singleLevel"/>
    <w:tmpl w:val="F6967F90"/>
    <w:lvl w:ilvl="0" w:tentative="0">
      <w:start w:val="1"/>
      <w:numFmt w:val="decimal"/>
      <w:lvlText w:val="(%1)"/>
      <w:lvlJc w:val="left"/>
      <w:pPr>
        <w:ind w:left="425" w:hanging="425"/>
      </w:pPr>
      <w:rPr>
        <w:rFonts w:hint="default"/>
      </w:rPr>
    </w:lvl>
  </w:abstractNum>
  <w:abstractNum w:abstractNumId="30">
    <w:nsid w:val="F7039678"/>
    <w:multiLevelType w:val="multilevel"/>
    <w:tmpl w:val="F7039678"/>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1">
    <w:nsid w:val="F81A990A"/>
    <w:multiLevelType w:val="multilevel"/>
    <w:tmpl w:val="F81A990A"/>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2">
    <w:nsid w:val="F953F319"/>
    <w:multiLevelType w:val="multilevel"/>
    <w:tmpl w:val="F953F319"/>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3">
    <w:nsid w:val="02837933"/>
    <w:multiLevelType w:val="multilevel"/>
    <w:tmpl w:val="02837933"/>
    <w:lvl w:ilvl="0" w:tentative="0">
      <w:start w:val="1"/>
      <w:numFmt w:val="decimal"/>
      <w:pStyle w:val="67"/>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34">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2"/>
      <w:suff w:val="nothing"/>
      <w:lvlText w:val="%1%2.%3　"/>
      <w:lvlJc w:val="left"/>
      <w:pPr>
        <w:ind w:left="0" w:firstLine="0"/>
      </w:pPr>
    </w:lvl>
    <w:lvl w:ilvl="3" w:tentative="0">
      <w:start w:val="1"/>
      <w:numFmt w:val="decimal"/>
      <w:pStyle w:val="121"/>
      <w:suff w:val="nothing"/>
      <w:lvlText w:val="%1%2.%3.%4　"/>
      <w:lvlJc w:val="left"/>
      <w:pPr>
        <w:ind w:left="0" w:firstLine="0"/>
      </w:pPr>
    </w:lvl>
    <w:lvl w:ilvl="4" w:tentative="0">
      <w:start w:val="1"/>
      <w:numFmt w:val="decimal"/>
      <w:pStyle w:val="156"/>
      <w:suff w:val="nothing"/>
      <w:lvlText w:val="%1%2.%3.%4.%5　"/>
      <w:lvlJc w:val="left"/>
      <w:pPr>
        <w:ind w:left="0" w:firstLine="0"/>
      </w:pPr>
    </w:lvl>
    <w:lvl w:ilvl="5" w:tentative="0">
      <w:start w:val="1"/>
      <w:numFmt w:val="decimal"/>
      <w:pStyle w:val="158"/>
      <w:suff w:val="nothing"/>
      <w:lvlText w:val="%1%2.%3.%4.%5.%6　"/>
      <w:lvlJc w:val="left"/>
      <w:pPr>
        <w:ind w:left="0" w:firstLine="0"/>
      </w:pPr>
    </w:lvl>
    <w:lvl w:ilvl="6" w:tentative="0">
      <w:start w:val="1"/>
      <w:numFmt w:val="decimal"/>
      <w:pStyle w:val="161"/>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5">
    <w:nsid w:val="0661074F"/>
    <w:multiLevelType w:val="multilevel"/>
    <w:tmpl w:val="0661074F"/>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6">
    <w:nsid w:val="077737F8"/>
    <w:multiLevelType w:val="multilevel"/>
    <w:tmpl w:val="077737F8"/>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7">
    <w:nsid w:val="07ED3FEA"/>
    <w:multiLevelType w:val="multilevel"/>
    <w:tmpl w:val="07ED3FEA"/>
    <w:lvl w:ilvl="0" w:tentative="0">
      <w:start w:val="1"/>
      <w:numFmt w:val="none"/>
      <w:pStyle w:val="92"/>
      <w:lvlText w:val="%1"/>
      <w:lvlJc w:val="left"/>
      <w:pPr>
        <w:ind w:left="425" w:hanging="425"/>
      </w:pPr>
      <w:rPr>
        <w:rFonts w:hint="eastAsia"/>
      </w:rPr>
    </w:lvl>
    <w:lvl w:ilvl="1" w:tentative="0">
      <w:start w:val="1"/>
      <w:numFmt w:val="decimal"/>
      <w:pStyle w:val="203"/>
      <w:suff w:val="nothing"/>
      <w:lvlText w:val="%10.%2 "/>
      <w:lvlJc w:val="left"/>
      <w:pPr>
        <w:ind w:left="0" w:firstLine="0"/>
      </w:pPr>
      <w:rPr>
        <w:rFonts w:hint="eastAsia" w:ascii="黑体" w:eastAsia="黑体" w:hAnsiTheme="minorHAnsi"/>
        <w:b w:val="0"/>
        <w:i w:val="0"/>
        <w:sz w:val="21"/>
      </w:rPr>
    </w:lvl>
    <w:lvl w:ilvl="2" w:tentative="0">
      <w:start w:val="1"/>
      <w:numFmt w:val="decimal"/>
      <w:pStyle w:val="204"/>
      <w:suff w:val="nothing"/>
      <w:lvlText w:val="%10.%2.%3 "/>
      <w:lvlJc w:val="left"/>
      <w:pPr>
        <w:ind w:left="0" w:firstLine="0"/>
      </w:pPr>
      <w:rPr>
        <w:rFonts w:hint="eastAsia" w:ascii="黑体" w:eastAsia="黑体" w:hAnsiTheme="minorHAnsi"/>
        <w:b w:val="0"/>
        <w:i w:val="0"/>
        <w:sz w:val="21"/>
      </w:rPr>
    </w:lvl>
    <w:lvl w:ilvl="3" w:tentative="0">
      <w:start w:val="1"/>
      <w:numFmt w:val="decimal"/>
      <w:pStyle w:val="205"/>
      <w:suff w:val="nothing"/>
      <w:lvlText w:val="%10.%2.%3.%4 "/>
      <w:lvlJc w:val="left"/>
      <w:pPr>
        <w:ind w:left="0" w:firstLine="0"/>
      </w:pPr>
      <w:rPr>
        <w:rFonts w:hint="eastAsia" w:ascii="黑体" w:eastAsia="黑体" w:hAnsiTheme="minorHAnsi"/>
        <w:b w:val="0"/>
        <w:i w:val="0"/>
        <w:sz w:val="21"/>
      </w:rPr>
    </w:lvl>
    <w:lvl w:ilvl="4" w:tentative="0">
      <w:start w:val="1"/>
      <w:numFmt w:val="decimal"/>
      <w:pStyle w:val="206"/>
      <w:suff w:val="nothing"/>
      <w:lvlText w:val="%10.%2.%3.%4.%5 "/>
      <w:lvlJc w:val="left"/>
      <w:pPr>
        <w:ind w:left="0" w:firstLine="0"/>
      </w:pPr>
      <w:rPr>
        <w:rFonts w:hint="eastAsia" w:ascii="黑体" w:eastAsia="黑体" w:hAnsiTheme="minorHAnsi"/>
        <w:b w:val="0"/>
        <w:i w:val="0"/>
        <w:sz w:val="21"/>
      </w:rPr>
    </w:lvl>
    <w:lvl w:ilvl="5" w:tentative="0">
      <w:start w:val="1"/>
      <w:numFmt w:val="decimal"/>
      <w:pStyle w:val="207"/>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8">
    <w:nsid w:val="09702534"/>
    <w:multiLevelType w:val="multilevel"/>
    <w:tmpl w:val="09702534"/>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9">
    <w:nsid w:val="0AE367E9"/>
    <w:multiLevelType w:val="multilevel"/>
    <w:tmpl w:val="0AE367E9"/>
    <w:lvl w:ilvl="0" w:tentative="0">
      <w:start w:val="1"/>
      <w:numFmt w:val="none"/>
      <w:pStyle w:val="184"/>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40">
    <w:nsid w:val="0BDC1670"/>
    <w:multiLevelType w:val="multilevel"/>
    <w:tmpl w:val="0BDC1670"/>
    <w:lvl w:ilvl="0" w:tentative="0">
      <w:start w:val="1"/>
      <w:numFmt w:val="decimal"/>
      <w:pStyle w:val="70"/>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1">
    <w:nsid w:val="0D051F45"/>
    <w:multiLevelType w:val="multilevel"/>
    <w:tmpl w:val="0D051F45"/>
    <w:lvl w:ilvl="0" w:tentative="0">
      <w:start w:val="1"/>
      <w:numFmt w:val="lowerRoman"/>
      <w:pStyle w:val="172"/>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42">
    <w:nsid w:val="121764B2"/>
    <w:multiLevelType w:val="singleLevel"/>
    <w:tmpl w:val="121764B2"/>
    <w:lvl w:ilvl="0" w:tentative="0">
      <w:start w:val="1"/>
      <w:numFmt w:val="decimal"/>
      <w:lvlText w:val="(%1)"/>
      <w:lvlJc w:val="left"/>
      <w:pPr>
        <w:ind w:left="425" w:hanging="425"/>
      </w:pPr>
      <w:rPr>
        <w:rFonts w:hint="default"/>
      </w:rPr>
    </w:lvl>
  </w:abstractNum>
  <w:abstractNum w:abstractNumId="43">
    <w:nsid w:val="12CC4C1A"/>
    <w:multiLevelType w:val="multilevel"/>
    <w:tmpl w:val="12CC4C1A"/>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4">
    <w:nsid w:val="12F6F4A1"/>
    <w:multiLevelType w:val="singleLevel"/>
    <w:tmpl w:val="12F6F4A1"/>
    <w:lvl w:ilvl="0" w:tentative="0">
      <w:start w:val="1"/>
      <w:numFmt w:val="decimal"/>
      <w:lvlText w:val="(%1)"/>
      <w:lvlJc w:val="left"/>
      <w:pPr>
        <w:ind w:left="425" w:hanging="425"/>
      </w:pPr>
      <w:rPr>
        <w:rFonts w:hint="default"/>
      </w:rPr>
    </w:lvl>
  </w:abstractNum>
  <w:abstractNum w:abstractNumId="45">
    <w:nsid w:val="189B9E32"/>
    <w:multiLevelType w:val="singleLevel"/>
    <w:tmpl w:val="189B9E32"/>
    <w:lvl w:ilvl="0" w:tentative="0">
      <w:start w:val="1"/>
      <w:numFmt w:val="decimal"/>
      <w:lvlText w:val="(%1)"/>
      <w:lvlJc w:val="left"/>
      <w:pPr>
        <w:ind w:left="425" w:hanging="425"/>
      </w:pPr>
      <w:rPr>
        <w:rFonts w:hint="default"/>
      </w:rPr>
    </w:lvl>
  </w:abstractNum>
  <w:abstractNum w:abstractNumId="46">
    <w:nsid w:val="18E04483"/>
    <w:multiLevelType w:val="multilevel"/>
    <w:tmpl w:val="18E04483"/>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7">
    <w:nsid w:val="19378FAD"/>
    <w:multiLevelType w:val="multilevel"/>
    <w:tmpl w:val="19378FAD"/>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8">
    <w:nsid w:val="194059B0"/>
    <w:multiLevelType w:val="multilevel"/>
    <w:tmpl w:val="194059B0"/>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9">
    <w:nsid w:val="19F5A1EF"/>
    <w:multiLevelType w:val="multilevel"/>
    <w:tmpl w:val="19F5A1EF"/>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50">
    <w:nsid w:val="1AD20F90"/>
    <w:multiLevelType w:val="multilevel"/>
    <w:tmpl w:val="1AD20F90"/>
    <w:lvl w:ilvl="0" w:tentative="0">
      <w:start w:val="1"/>
      <w:numFmt w:val="none"/>
      <w:pStyle w:val="113"/>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1">
    <w:nsid w:val="1AF15012"/>
    <w:multiLevelType w:val="multilevel"/>
    <w:tmpl w:val="1AF15012"/>
    <w:lvl w:ilvl="0" w:tentative="0">
      <w:start w:val="1"/>
      <w:numFmt w:val="upperLetter"/>
      <w:pStyle w:val="88"/>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52">
    <w:nsid w:val="1D148172"/>
    <w:multiLevelType w:val="multilevel"/>
    <w:tmpl w:val="1D148172"/>
    <w:lvl w:ilvl="0" w:tentative="0">
      <w:start w:val="1"/>
      <w:numFmt w:val="decimal"/>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53">
    <w:nsid w:val="1EAA1992"/>
    <w:multiLevelType w:val="multilevel"/>
    <w:tmpl w:val="1EAA1992"/>
    <w:lvl w:ilvl="0" w:tentative="0">
      <w:start w:val="1"/>
      <w:numFmt w:val="none"/>
      <w:pStyle w:val="95"/>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54">
    <w:nsid w:val="1EF969A3"/>
    <w:multiLevelType w:val="multilevel"/>
    <w:tmpl w:val="1EF969A3"/>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55">
    <w:nsid w:val="2132DFD3"/>
    <w:multiLevelType w:val="multilevel"/>
    <w:tmpl w:val="2132DFD3"/>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56">
    <w:nsid w:val="29CC6FC7"/>
    <w:multiLevelType w:val="singleLevel"/>
    <w:tmpl w:val="29CC6FC7"/>
    <w:lvl w:ilvl="0" w:tentative="0">
      <w:start w:val="1"/>
      <w:numFmt w:val="decimal"/>
      <w:lvlText w:val="(%1)"/>
      <w:lvlJc w:val="left"/>
      <w:pPr>
        <w:ind w:left="425" w:hanging="425"/>
      </w:pPr>
      <w:rPr>
        <w:rFonts w:hint="default"/>
      </w:rPr>
    </w:lvl>
  </w:abstractNum>
  <w:abstractNum w:abstractNumId="57">
    <w:nsid w:val="2C5917C3"/>
    <w:multiLevelType w:val="multilevel"/>
    <w:tmpl w:val="2C5917C3"/>
    <w:lvl w:ilvl="0" w:tentative="0">
      <w:start w:val="1"/>
      <w:numFmt w:val="none"/>
      <w:pStyle w:val="135"/>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0"/>
      <w:lvlText w:val=""/>
      <w:lvlJc w:val="left"/>
      <w:pPr>
        <w:ind w:left="851" w:hanging="431"/>
      </w:pPr>
      <w:rPr>
        <w:rFonts w:hint="default" w:ascii="Symbol" w:hAnsi="Symbol"/>
        <w:sz w:val="21"/>
      </w:rPr>
    </w:lvl>
    <w:lvl w:ilvl="2" w:tentative="0">
      <w:start w:val="1"/>
      <w:numFmt w:val="bullet"/>
      <w:pStyle w:val="175"/>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58">
    <w:nsid w:val="32F04FB2"/>
    <w:multiLevelType w:val="multilevel"/>
    <w:tmpl w:val="32F04FB2"/>
    <w:lvl w:ilvl="0" w:tentative="0">
      <w:start w:val="1"/>
      <w:numFmt w:val="lowerLetter"/>
      <w:pStyle w:val="104"/>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59">
    <w:nsid w:val="3ECABA70"/>
    <w:multiLevelType w:val="multilevel"/>
    <w:tmpl w:val="3ECABA70"/>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60">
    <w:nsid w:val="401D7836"/>
    <w:multiLevelType w:val="multilevel"/>
    <w:tmpl w:val="401D7836"/>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61">
    <w:nsid w:val="410AC325"/>
    <w:multiLevelType w:val="singleLevel"/>
    <w:tmpl w:val="410AC325"/>
    <w:lvl w:ilvl="0" w:tentative="0">
      <w:start w:val="1"/>
      <w:numFmt w:val="decimal"/>
      <w:lvlText w:val="(%1)"/>
      <w:lvlJc w:val="left"/>
      <w:pPr>
        <w:ind w:left="425" w:hanging="425"/>
      </w:pPr>
      <w:rPr>
        <w:rFonts w:hint="default"/>
      </w:rPr>
    </w:lvl>
  </w:abstractNum>
  <w:abstractNum w:abstractNumId="62">
    <w:nsid w:val="41D24773"/>
    <w:multiLevelType w:val="multilevel"/>
    <w:tmpl w:val="41D24773"/>
    <w:lvl w:ilvl="0" w:tentative="0">
      <w:start w:val="1"/>
      <w:numFmt w:val="decimal"/>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63">
    <w:nsid w:val="438D3E14"/>
    <w:multiLevelType w:val="multilevel"/>
    <w:tmpl w:val="438D3E14"/>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64">
    <w:nsid w:val="48802D1C"/>
    <w:multiLevelType w:val="multilevel"/>
    <w:tmpl w:val="48802D1C"/>
    <w:lvl w:ilvl="0" w:tentative="0">
      <w:start w:val="1"/>
      <w:numFmt w:val="upperLetter"/>
      <w:pStyle w:val="201"/>
      <w:lvlText w:val="%1"/>
      <w:lvlJc w:val="left"/>
      <w:pPr>
        <w:ind w:left="420" w:hanging="420"/>
      </w:pPr>
      <w:rPr>
        <w:rFonts w:hint="eastAsia"/>
      </w:rPr>
    </w:lvl>
    <w:lvl w:ilvl="1" w:tentative="0">
      <w:start w:val="1"/>
      <w:numFmt w:val="decimal"/>
      <w:pStyle w:val="86"/>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65">
    <w:nsid w:val="4966590B"/>
    <w:multiLevelType w:val="multilevel"/>
    <w:tmpl w:val="4966590B"/>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66">
    <w:nsid w:val="4B733A5F"/>
    <w:multiLevelType w:val="multilevel"/>
    <w:tmpl w:val="4B733A5F"/>
    <w:lvl w:ilvl="0" w:tentative="0">
      <w:start w:val="1"/>
      <w:numFmt w:val="decimal"/>
      <w:pStyle w:val="186"/>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67">
    <w:nsid w:val="4E5D0534"/>
    <w:multiLevelType w:val="multilevel"/>
    <w:tmpl w:val="4E5D0534"/>
    <w:lvl w:ilvl="0" w:tentative="0">
      <w:start w:val="1"/>
      <w:numFmt w:val="decimal"/>
      <w:pStyle w:val="119"/>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68">
    <w:nsid w:val="54632751"/>
    <w:multiLevelType w:val="multilevel"/>
    <w:tmpl w:val="54632751"/>
    <w:lvl w:ilvl="0" w:tentative="0">
      <w:start w:val="1"/>
      <w:numFmt w:val="none"/>
      <w:pStyle w:val="96"/>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69">
    <w:nsid w:val="557C2AF5"/>
    <w:multiLevelType w:val="multilevel"/>
    <w:tmpl w:val="557C2AF5"/>
    <w:lvl w:ilvl="0" w:tentative="0">
      <w:start w:val="1"/>
      <w:numFmt w:val="decimal"/>
      <w:pStyle w:val="117"/>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70">
    <w:nsid w:val="5603797C"/>
    <w:multiLevelType w:val="multilevel"/>
    <w:tmpl w:val="5603797C"/>
    <w:lvl w:ilvl="0" w:tentative="0">
      <w:start w:val="1"/>
      <w:numFmt w:val="upperLetter"/>
      <w:pStyle w:val="202"/>
      <w:suff w:val="space"/>
      <w:lvlText w:val="%1"/>
      <w:lvlJc w:val="left"/>
      <w:pPr>
        <w:ind w:left="425" w:hanging="425"/>
      </w:pPr>
      <w:rPr>
        <w:rFonts w:hint="eastAsia"/>
      </w:rPr>
    </w:lvl>
    <w:lvl w:ilvl="1" w:tentative="0">
      <w:start w:val="1"/>
      <w:numFmt w:val="decimal"/>
      <w:pStyle w:val="80"/>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71">
    <w:nsid w:val="564D2089"/>
    <w:multiLevelType w:val="multilevel"/>
    <w:tmpl w:val="564D2089"/>
    <w:lvl w:ilvl="0" w:tentative="0">
      <w:start w:val="1"/>
      <w:numFmt w:val="none"/>
      <w:pStyle w:val="114"/>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2">
    <w:nsid w:val="5AF4E160"/>
    <w:multiLevelType w:val="singleLevel"/>
    <w:tmpl w:val="5AF4E160"/>
    <w:lvl w:ilvl="0" w:tentative="0">
      <w:start w:val="1"/>
      <w:numFmt w:val="decimal"/>
      <w:lvlText w:val="(%1)"/>
      <w:lvlJc w:val="left"/>
      <w:pPr>
        <w:ind w:left="425" w:hanging="425"/>
      </w:pPr>
      <w:rPr>
        <w:rFonts w:hint="default"/>
      </w:rPr>
    </w:lvl>
  </w:abstractNum>
  <w:abstractNum w:abstractNumId="73">
    <w:nsid w:val="5D75627C"/>
    <w:multiLevelType w:val="multilevel"/>
    <w:tmpl w:val="5D75627C"/>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74">
    <w:nsid w:val="61A08298"/>
    <w:multiLevelType w:val="multilevel"/>
    <w:tmpl w:val="61A08298"/>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75">
    <w:nsid w:val="644622F9"/>
    <w:multiLevelType w:val="multilevel"/>
    <w:tmpl w:val="644622F9"/>
    <w:lvl w:ilvl="0" w:tentative="0">
      <w:start w:val="1"/>
      <w:numFmt w:val="upperRoman"/>
      <w:pStyle w:val="171"/>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76">
    <w:nsid w:val="646260FA"/>
    <w:multiLevelType w:val="multilevel"/>
    <w:tmpl w:val="646260FA"/>
    <w:lvl w:ilvl="0" w:tentative="0">
      <w:start w:val="1"/>
      <w:numFmt w:val="decimal"/>
      <w:pStyle w:val="115"/>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77">
    <w:nsid w:val="654A26C9"/>
    <w:multiLevelType w:val="multilevel"/>
    <w:tmpl w:val="654A26C9"/>
    <w:lvl w:ilvl="0" w:tentative="0">
      <w:start w:val="1"/>
      <w:numFmt w:val="none"/>
      <w:pStyle w:val="192"/>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78">
    <w:nsid w:val="657D3FBC"/>
    <w:multiLevelType w:val="multilevel"/>
    <w:tmpl w:val="657D3FBC"/>
    <w:lvl w:ilvl="0" w:tentative="0">
      <w:start w:val="1"/>
      <w:numFmt w:val="upperLetter"/>
      <w:pStyle w:val="79"/>
      <w:suff w:val="nothing"/>
      <w:lvlText w:val="附录%1"/>
      <w:lvlJc w:val="left"/>
      <w:pPr>
        <w:ind w:left="0" w:firstLine="0"/>
      </w:pPr>
      <w:rPr>
        <w:rFonts w:hint="eastAsia"/>
        <w:spacing w:val="100"/>
      </w:rPr>
    </w:lvl>
    <w:lvl w:ilvl="1" w:tentative="0">
      <w:start w:val="1"/>
      <w:numFmt w:val="decimal"/>
      <w:pStyle w:val="81"/>
      <w:suff w:val="nothing"/>
      <w:lvlText w:val="%1.%2　"/>
      <w:lvlJc w:val="left"/>
      <w:pPr>
        <w:ind w:left="0" w:firstLine="0"/>
      </w:pPr>
      <w:rPr>
        <w:rFonts w:hint="eastAsia" w:ascii="黑体" w:eastAsia="黑体"/>
        <w:b w:val="0"/>
        <w:i w:val="0"/>
        <w:sz w:val="21"/>
      </w:rPr>
    </w:lvl>
    <w:lvl w:ilvl="2" w:tentative="0">
      <w:start w:val="1"/>
      <w:numFmt w:val="decimal"/>
      <w:pStyle w:val="82"/>
      <w:suff w:val="nothing"/>
      <w:lvlText w:val="%1.%2.%3　"/>
      <w:lvlJc w:val="left"/>
      <w:pPr>
        <w:ind w:left="0" w:firstLine="0"/>
      </w:pPr>
      <w:rPr>
        <w:rFonts w:hint="eastAsia" w:ascii="黑体" w:eastAsia="黑体"/>
        <w:b w:val="0"/>
        <w:i w:val="0"/>
        <w:sz w:val="21"/>
      </w:rPr>
    </w:lvl>
    <w:lvl w:ilvl="3" w:tentative="0">
      <w:start w:val="1"/>
      <w:numFmt w:val="decimal"/>
      <w:pStyle w:val="84"/>
      <w:suff w:val="nothing"/>
      <w:lvlText w:val="%1.%2.%3.%4　"/>
      <w:lvlJc w:val="left"/>
      <w:pPr>
        <w:ind w:left="0" w:firstLine="0"/>
      </w:pPr>
      <w:rPr>
        <w:rFonts w:hint="eastAsia" w:ascii="黑体" w:eastAsia="黑体"/>
        <w:b w:val="0"/>
        <w:i w:val="0"/>
        <w:sz w:val="21"/>
      </w:rPr>
    </w:lvl>
    <w:lvl w:ilvl="4" w:tentative="0">
      <w:start w:val="1"/>
      <w:numFmt w:val="decimal"/>
      <w:pStyle w:val="85"/>
      <w:suff w:val="nothing"/>
      <w:lvlText w:val="%1.%2.%3.%4.%5　"/>
      <w:lvlJc w:val="left"/>
      <w:pPr>
        <w:ind w:left="0" w:firstLine="0"/>
      </w:pPr>
      <w:rPr>
        <w:rFonts w:hint="eastAsia" w:ascii="黑体" w:eastAsia="黑体"/>
        <w:b w:val="0"/>
        <w:i w:val="0"/>
        <w:sz w:val="21"/>
      </w:rPr>
    </w:lvl>
    <w:lvl w:ilvl="5" w:tentative="0">
      <w:start w:val="1"/>
      <w:numFmt w:val="decimal"/>
      <w:pStyle w:val="87"/>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79">
    <w:nsid w:val="65F3F140"/>
    <w:multiLevelType w:val="multilevel"/>
    <w:tmpl w:val="65F3F140"/>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80">
    <w:nsid w:val="671527B7"/>
    <w:multiLevelType w:val="multilevel"/>
    <w:tmpl w:val="671527B7"/>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81">
    <w:nsid w:val="68448D1E"/>
    <w:multiLevelType w:val="multilevel"/>
    <w:tmpl w:val="68448D1E"/>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82">
    <w:nsid w:val="69506ABF"/>
    <w:multiLevelType w:val="multilevel"/>
    <w:tmpl w:val="69506ABF"/>
    <w:lvl w:ilvl="0" w:tentative="0">
      <w:start w:val="1"/>
      <w:numFmt w:val="bullet"/>
      <w:pStyle w:val="191"/>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83">
    <w:nsid w:val="6AD2C65C"/>
    <w:multiLevelType w:val="multilevel"/>
    <w:tmpl w:val="6AD2C65C"/>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84">
    <w:nsid w:val="6CA41985"/>
    <w:multiLevelType w:val="multilevel"/>
    <w:tmpl w:val="6CA41985"/>
    <w:lvl w:ilvl="0" w:tentative="0">
      <w:start w:val="1"/>
      <w:numFmt w:val="decimal"/>
      <w:pStyle w:val="100"/>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5">
    <w:nsid w:val="6CE42AC1"/>
    <w:multiLevelType w:val="multilevel"/>
    <w:tmpl w:val="6CE42AC1"/>
    <w:lvl w:ilvl="0" w:tentative="0">
      <w:start w:val="1"/>
      <w:numFmt w:val="lowerLetter"/>
      <w:pStyle w:val="176"/>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6">
    <w:nsid w:val="6CEA2025"/>
    <w:multiLevelType w:val="multilevel"/>
    <w:tmpl w:val="6CEA2025"/>
    <w:lvl w:ilvl="0" w:tentative="0">
      <w:start w:val="1"/>
      <w:numFmt w:val="none"/>
      <w:pStyle w:val="155"/>
      <w:suff w:val="nothing"/>
      <w:lvlText w:val="%1"/>
      <w:lvlJc w:val="left"/>
      <w:pPr>
        <w:ind w:left="0" w:firstLine="0"/>
      </w:pPr>
      <w:rPr>
        <w:rFonts w:hint="eastAsia"/>
      </w:rPr>
    </w:lvl>
    <w:lvl w:ilvl="1" w:tentative="0">
      <w:start w:val="1"/>
      <w:numFmt w:val="decimal"/>
      <w:pStyle w:val="107"/>
      <w:suff w:val="nothing"/>
      <w:lvlText w:val="%1%2　"/>
      <w:lvlJc w:val="left"/>
      <w:pPr>
        <w:ind w:left="0" w:firstLine="0"/>
      </w:pPr>
      <w:rPr>
        <w:rFonts w:hint="eastAsia" w:ascii="黑体" w:eastAsia="黑体"/>
        <w:b w:val="0"/>
        <w:i w:val="0"/>
        <w:sz w:val="21"/>
      </w:rPr>
    </w:lvl>
    <w:lvl w:ilvl="2" w:tentative="0">
      <w:start w:val="1"/>
      <w:numFmt w:val="decimal"/>
      <w:pStyle w:val="108"/>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8"/>
      <w:suff w:val="nothing"/>
      <w:lvlText w:val="%1%2.%3.%4　"/>
      <w:lvlJc w:val="left"/>
      <w:pPr>
        <w:ind w:left="0" w:firstLine="0"/>
      </w:pPr>
      <w:rPr>
        <w:rFonts w:hint="eastAsia" w:ascii="黑体" w:eastAsia="黑体"/>
        <w:b w:val="0"/>
        <w:i w:val="0"/>
        <w:sz w:val="21"/>
      </w:rPr>
    </w:lvl>
    <w:lvl w:ilvl="4" w:tentative="0">
      <w:start w:val="1"/>
      <w:numFmt w:val="decimal"/>
      <w:pStyle w:val="97"/>
      <w:suff w:val="nothing"/>
      <w:lvlText w:val="%1%2.%3.%4.%5　"/>
      <w:lvlJc w:val="left"/>
      <w:pPr>
        <w:ind w:left="0" w:firstLine="0"/>
      </w:pPr>
      <w:rPr>
        <w:rFonts w:hint="eastAsia" w:ascii="黑体" w:eastAsia="黑体"/>
        <w:b w:val="0"/>
        <w:i w:val="0"/>
        <w:sz w:val="21"/>
      </w:rPr>
    </w:lvl>
    <w:lvl w:ilvl="5" w:tentative="0">
      <w:start w:val="1"/>
      <w:numFmt w:val="decimal"/>
      <w:pStyle w:val="101"/>
      <w:suff w:val="nothing"/>
      <w:lvlText w:val="%1%2.%3.%4.%5.%6　"/>
      <w:lvlJc w:val="left"/>
      <w:pPr>
        <w:ind w:left="0" w:firstLine="0"/>
      </w:pPr>
      <w:rPr>
        <w:rFonts w:hint="eastAsia" w:ascii="黑体" w:eastAsia="黑体"/>
        <w:b w:val="0"/>
        <w:i w:val="0"/>
        <w:sz w:val="21"/>
      </w:rPr>
    </w:lvl>
    <w:lvl w:ilvl="6" w:tentative="0">
      <w:start w:val="1"/>
      <w:numFmt w:val="decimal"/>
      <w:pStyle w:val="106"/>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87">
    <w:nsid w:val="6DBF04F4"/>
    <w:multiLevelType w:val="multilevel"/>
    <w:tmpl w:val="6DBF04F4"/>
    <w:lvl w:ilvl="0" w:tentative="0">
      <w:start w:val="1"/>
      <w:numFmt w:val="none"/>
      <w:pStyle w:val="182"/>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88">
    <w:nsid w:val="6DF35F19"/>
    <w:multiLevelType w:val="multilevel"/>
    <w:tmpl w:val="6DF35F19"/>
    <w:lvl w:ilvl="0" w:tentative="0">
      <w:start w:val="1"/>
      <w:numFmt w:val="decimal"/>
      <w:pStyle w:val="118"/>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89">
    <w:nsid w:val="72FCB6FF"/>
    <w:multiLevelType w:val="multilevel"/>
    <w:tmpl w:val="72FCB6FF"/>
    <w:lvl w:ilvl="0" w:tentative="0">
      <w:start w:val="1"/>
      <w:numFmt w:val="decimal"/>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90">
    <w:nsid w:val="76933334"/>
    <w:multiLevelType w:val="multilevel"/>
    <w:tmpl w:val="76933334"/>
    <w:lvl w:ilvl="0" w:tentative="0">
      <w:start w:val="1"/>
      <w:numFmt w:val="none"/>
      <w:pStyle w:val="142"/>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1">
    <w:nsid w:val="77209EAD"/>
    <w:multiLevelType w:val="multilevel"/>
    <w:tmpl w:val="77209EAD"/>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num w:numId="1">
    <w:abstractNumId w:val="33"/>
  </w:num>
  <w:num w:numId="2">
    <w:abstractNumId w:val="86"/>
  </w:num>
  <w:num w:numId="3">
    <w:abstractNumId w:val="40"/>
  </w:num>
  <w:num w:numId="4">
    <w:abstractNumId w:val="78"/>
  </w:num>
  <w:num w:numId="5">
    <w:abstractNumId w:val="70"/>
  </w:num>
  <w:num w:numId="6">
    <w:abstractNumId w:val="64"/>
  </w:num>
  <w:num w:numId="7">
    <w:abstractNumId w:val="51"/>
  </w:num>
  <w:num w:numId="8">
    <w:abstractNumId w:val="37"/>
  </w:num>
  <w:num w:numId="9">
    <w:abstractNumId w:val="53"/>
  </w:num>
  <w:num w:numId="10">
    <w:abstractNumId w:val="68"/>
  </w:num>
  <w:num w:numId="11">
    <w:abstractNumId w:val="84"/>
  </w:num>
  <w:num w:numId="12">
    <w:abstractNumId w:val="58"/>
  </w:num>
  <w:num w:numId="13">
    <w:abstractNumId w:val="27"/>
  </w:num>
  <w:num w:numId="14">
    <w:abstractNumId w:val="50"/>
  </w:num>
  <w:num w:numId="15">
    <w:abstractNumId w:val="71"/>
  </w:num>
  <w:num w:numId="16">
    <w:abstractNumId w:val="76"/>
  </w:num>
  <w:num w:numId="17">
    <w:abstractNumId w:val="69"/>
  </w:num>
  <w:num w:numId="18">
    <w:abstractNumId w:val="88"/>
  </w:num>
  <w:num w:numId="19">
    <w:abstractNumId w:val="67"/>
  </w:num>
  <w:num w:numId="20">
    <w:abstractNumId w:val="34"/>
  </w:num>
  <w:num w:numId="21">
    <w:abstractNumId w:val="57"/>
  </w:num>
  <w:num w:numId="22">
    <w:abstractNumId w:val="90"/>
  </w:num>
  <w:num w:numId="23">
    <w:abstractNumId w:val="75"/>
  </w:num>
  <w:num w:numId="24">
    <w:abstractNumId w:val="41"/>
  </w:num>
  <w:num w:numId="25">
    <w:abstractNumId w:val="85"/>
  </w:num>
  <w:num w:numId="26">
    <w:abstractNumId w:val="87"/>
  </w:num>
  <w:num w:numId="27">
    <w:abstractNumId w:val="2"/>
  </w:num>
  <w:num w:numId="28">
    <w:abstractNumId w:val="39"/>
  </w:num>
  <w:num w:numId="29">
    <w:abstractNumId w:val="66"/>
  </w:num>
  <w:num w:numId="30">
    <w:abstractNumId w:val="82"/>
  </w:num>
  <w:num w:numId="31">
    <w:abstractNumId w:val="77"/>
  </w:num>
  <w:num w:numId="3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5"/>
  </w:num>
  <w:num w:numId="41">
    <w:abstractNumId w:val="91"/>
  </w:num>
  <w:num w:numId="42">
    <w:abstractNumId w:val="8"/>
  </w:num>
  <w:num w:numId="43">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5"/>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73"/>
  </w:num>
  <w:num w:numId="4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6"/>
  </w:num>
  <w:num w:numId="51">
    <w:abstractNumId w:val="63"/>
  </w:num>
  <w:num w:numId="52">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0"/>
  </w:num>
  <w:num w:numId="54">
    <w:abstractNumId w:val="19"/>
  </w:num>
  <w:num w:numId="55">
    <w:abstractNumId w:val="38"/>
  </w:num>
  <w:num w:numId="56">
    <w:abstractNumId w:val="15"/>
  </w:num>
  <w:num w:numId="5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0"/>
  </w:num>
  <w:num w:numId="59">
    <w:abstractNumId w:val="42"/>
  </w:num>
  <w:num w:numId="60">
    <w:abstractNumId w:val="29"/>
  </w:num>
  <w:num w:numId="61">
    <w:abstractNumId w:val="72"/>
  </w:num>
  <w:num w:numId="62">
    <w:abstractNumId w:val="56"/>
  </w:num>
  <w:num w:numId="63">
    <w:abstractNumId w:val="61"/>
  </w:num>
  <w:num w:numId="64">
    <w:abstractNumId w:val="31"/>
  </w:num>
  <w:num w:numId="65">
    <w:abstractNumId w:val="1"/>
  </w:num>
  <w:num w:numId="66">
    <w:abstractNumId w:val="60"/>
  </w:num>
  <w:num w:numId="67">
    <w:abstractNumId w:val="43"/>
  </w:num>
  <w:num w:numId="68">
    <w:abstractNumId w:val="13"/>
  </w:num>
  <w:num w:numId="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65"/>
  </w:num>
  <w:num w:numId="71">
    <w:abstractNumId w:val="81"/>
  </w:num>
  <w:num w:numId="72">
    <w:abstractNumId w:val="49"/>
  </w:num>
  <w:num w:numId="73">
    <w:abstractNumId w:val="79"/>
  </w:num>
  <w:num w:numId="74">
    <w:abstractNumId w:val="80"/>
  </w:num>
  <w:num w:numId="75">
    <w:abstractNumId w:val="48"/>
  </w:num>
  <w:num w:numId="76">
    <w:abstractNumId w:val="6"/>
  </w:num>
  <w:num w:numId="77">
    <w:abstractNumId w:val="11"/>
  </w:num>
  <w:num w:numId="78">
    <w:abstractNumId w:val="9"/>
  </w:num>
  <w:num w:numId="79">
    <w:abstractNumId w:val="28"/>
  </w:num>
  <w:num w:numId="80">
    <w:abstractNumId w:val="36"/>
  </w:num>
  <w:num w:numId="81">
    <w:abstractNumId w:val="55"/>
  </w:num>
  <w:num w:numId="82">
    <w:abstractNumId w:val="47"/>
  </w:num>
  <w:num w:numId="83">
    <w:abstractNumId w:val="54"/>
  </w:num>
  <w:num w:numId="84">
    <w:abstractNumId w:val="20"/>
  </w:num>
  <w:num w:numId="85">
    <w:abstractNumId w:val="59"/>
  </w:num>
  <w:num w:numId="86">
    <w:abstractNumId w:val="46"/>
  </w:num>
  <w:num w:numId="87">
    <w:abstractNumId w:val="24"/>
  </w:num>
  <w:num w:numId="8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44"/>
  </w:num>
  <w:num w:numId="90">
    <w:abstractNumId w:val="17"/>
  </w:num>
  <w:num w:numId="91">
    <w:abstractNumId w:val="3"/>
  </w:num>
  <w:num w:numId="92">
    <w:abstractNumId w:val="14"/>
  </w:num>
  <w:num w:numId="93">
    <w:abstractNumId w:val="5"/>
  </w:num>
  <w:num w:numId="94">
    <w:abstractNumId w:val="18"/>
  </w:num>
  <w:num w:numId="95">
    <w:abstractNumId w:val="45"/>
  </w:num>
  <w:num w:numId="96">
    <w:abstractNumId w:val="4"/>
  </w:num>
  <w:num w:numId="97">
    <w:abstractNumId w:val="12"/>
  </w:num>
  <w:num w:numId="98">
    <w:abstractNumId w:val="21"/>
  </w:num>
  <w:num w:numId="99">
    <w:abstractNumId w:val="83"/>
  </w:num>
  <w:num w:numId="100">
    <w:abstractNumId w:val="22"/>
  </w:num>
  <w:num w:numId="1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dit="forms"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40A"/>
    <w:rsid w:val="00000A94"/>
    <w:rsid w:val="00001972"/>
    <w:rsid w:val="00001D9A"/>
    <w:rsid w:val="00007B3A"/>
    <w:rsid w:val="000107E0"/>
    <w:rsid w:val="00011FDE"/>
    <w:rsid w:val="00012FFD"/>
    <w:rsid w:val="00014162"/>
    <w:rsid w:val="00014340"/>
    <w:rsid w:val="00016A9C"/>
    <w:rsid w:val="00020BF8"/>
    <w:rsid w:val="00022184"/>
    <w:rsid w:val="00022762"/>
    <w:rsid w:val="000238E0"/>
    <w:rsid w:val="000249DB"/>
    <w:rsid w:val="0002595E"/>
    <w:rsid w:val="000303C3"/>
    <w:rsid w:val="000331D3"/>
    <w:rsid w:val="000346A5"/>
    <w:rsid w:val="000359C3"/>
    <w:rsid w:val="00035A7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2FBD"/>
    <w:rsid w:val="000C3E10"/>
    <w:rsid w:val="000C4B41"/>
    <w:rsid w:val="000C53DE"/>
    <w:rsid w:val="000C57D6"/>
    <w:rsid w:val="000C7666"/>
    <w:rsid w:val="000D0A9C"/>
    <w:rsid w:val="000D1795"/>
    <w:rsid w:val="000D329A"/>
    <w:rsid w:val="000D4B9C"/>
    <w:rsid w:val="000D4EB6"/>
    <w:rsid w:val="000D753B"/>
    <w:rsid w:val="000E4C9E"/>
    <w:rsid w:val="000E6FD7"/>
    <w:rsid w:val="000F06E1"/>
    <w:rsid w:val="000F0E3C"/>
    <w:rsid w:val="000F19D5"/>
    <w:rsid w:val="000F2E41"/>
    <w:rsid w:val="000F4AEA"/>
    <w:rsid w:val="000F6501"/>
    <w:rsid w:val="000F67E9"/>
    <w:rsid w:val="001016A7"/>
    <w:rsid w:val="00104926"/>
    <w:rsid w:val="00113B1E"/>
    <w:rsid w:val="0011711C"/>
    <w:rsid w:val="00124E4F"/>
    <w:rsid w:val="001260B7"/>
    <w:rsid w:val="001265CB"/>
    <w:rsid w:val="001321C6"/>
    <w:rsid w:val="001325C4"/>
    <w:rsid w:val="00133010"/>
    <w:rsid w:val="001337A1"/>
    <w:rsid w:val="001338EE"/>
    <w:rsid w:val="00133AAE"/>
    <w:rsid w:val="00135323"/>
    <w:rsid w:val="001356C4"/>
    <w:rsid w:val="0013792F"/>
    <w:rsid w:val="00141114"/>
    <w:rsid w:val="00142969"/>
    <w:rsid w:val="001457E7"/>
    <w:rsid w:val="00145D9D"/>
    <w:rsid w:val="00146388"/>
    <w:rsid w:val="001529E5"/>
    <w:rsid w:val="00153C7E"/>
    <w:rsid w:val="00155BBB"/>
    <w:rsid w:val="00156B25"/>
    <w:rsid w:val="00156E1A"/>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348F"/>
    <w:rsid w:val="00193A07"/>
    <w:rsid w:val="00194C95"/>
    <w:rsid w:val="00195C34"/>
    <w:rsid w:val="001A1A53"/>
    <w:rsid w:val="001A234A"/>
    <w:rsid w:val="001B06E8"/>
    <w:rsid w:val="001B71D0"/>
    <w:rsid w:val="001B71EE"/>
    <w:rsid w:val="001C04A8"/>
    <w:rsid w:val="001C2C03"/>
    <w:rsid w:val="001C42F7"/>
    <w:rsid w:val="001C49E5"/>
    <w:rsid w:val="001C680C"/>
    <w:rsid w:val="001C7FEA"/>
    <w:rsid w:val="001D0499"/>
    <w:rsid w:val="001D0BBE"/>
    <w:rsid w:val="001D0ED4"/>
    <w:rsid w:val="001D1C53"/>
    <w:rsid w:val="001D212F"/>
    <w:rsid w:val="001D29D7"/>
    <w:rsid w:val="001D2CB9"/>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107D"/>
    <w:rsid w:val="00202AA4"/>
    <w:rsid w:val="002031F7"/>
    <w:rsid w:val="002040E6"/>
    <w:rsid w:val="0020527B"/>
    <w:rsid w:val="00210B15"/>
    <w:rsid w:val="00212109"/>
    <w:rsid w:val="002142EA"/>
    <w:rsid w:val="002204BB"/>
    <w:rsid w:val="00221B79"/>
    <w:rsid w:val="00221C6B"/>
    <w:rsid w:val="002253A1"/>
    <w:rsid w:val="00225CF8"/>
    <w:rsid w:val="0022794E"/>
    <w:rsid w:val="00233D64"/>
    <w:rsid w:val="0023482A"/>
    <w:rsid w:val="002359CB"/>
    <w:rsid w:val="002375D9"/>
    <w:rsid w:val="00243540"/>
    <w:rsid w:val="0024497B"/>
    <w:rsid w:val="0024515B"/>
    <w:rsid w:val="00246021"/>
    <w:rsid w:val="0024666E"/>
    <w:rsid w:val="00247F52"/>
    <w:rsid w:val="00250B25"/>
    <w:rsid w:val="00250BBE"/>
    <w:rsid w:val="0025194F"/>
    <w:rsid w:val="0026148A"/>
    <w:rsid w:val="00262696"/>
    <w:rsid w:val="002643C3"/>
    <w:rsid w:val="00264A0C"/>
    <w:rsid w:val="00267EF4"/>
    <w:rsid w:val="00270CB8"/>
    <w:rsid w:val="00272B08"/>
    <w:rsid w:val="00281BB8"/>
    <w:rsid w:val="00281E9E"/>
    <w:rsid w:val="00285170"/>
    <w:rsid w:val="00285361"/>
    <w:rsid w:val="00292D60"/>
    <w:rsid w:val="00294D34"/>
    <w:rsid w:val="00294E3B"/>
    <w:rsid w:val="00296193"/>
    <w:rsid w:val="00296BC6"/>
    <w:rsid w:val="00296C66"/>
    <w:rsid w:val="00296EBE"/>
    <w:rsid w:val="002974E3"/>
    <w:rsid w:val="002A084B"/>
    <w:rsid w:val="002A1260"/>
    <w:rsid w:val="002A1589"/>
    <w:rsid w:val="002A1608"/>
    <w:rsid w:val="002A25DC"/>
    <w:rsid w:val="002A3AAB"/>
    <w:rsid w:val="002A4CEA"/>
    <w:rsid w:val="002A5117"/>
    <w:rsid w:val="002A5977"/>
    <w:rsid w:val="002A5A13"/>
    <w:rsid w:val="002A7F44"/>
    <w:rsid w:val="002B0C40"/>
    <w:rsid w:val="002B1966"/>
    <w:rsid w:val="002B4508"/>
    <w:rsid w:val="002B5779"/>
    <w:rsid w:val="002B7332"/>
    <w:rsid w:val="002B7F51"/>
    <w:rsid w:val="002C09E7"/>
    <w:rsid w:val="002C1B28"/>
    <w:rsid w:val="002C3F07"/>
    <w:rsid w:val="002C5278"/>
    <w:rsid w:val="002C7EBB"/>
    <w:rsid w:val="002D06C1"/>
    <w:rsid w:val="002D42B5"/>
    <w:rsid w:val="002D4F1A"/>
    <w:rsid w:val="002D6EC6"/>
    <w:rsid w:val="002D79AC"/>
    <w:rsid w:val="002E039D"/>
    <w:rsid w:val="002E4D5A"/>
    <w:rsid w:val="002E60CC"/>
    <w:rsid w:val="002E6326"/>
    <w:rsid w:val="002F30E0"/>
    <w:rsid w:val="002F35E4"/>
    <w:rsid w:val="002F3730"/>
    <w:rsid w:val="002F38E1"/>
    <w:rsid w:val="002F7AF6"/>
    <w:rsid w:val="00300E63"/>
    <w:rsid w:val="00302F5F"/>
    <w:rsid w:val="0030441D"/>
    <w:rsid w:val="00306063"/>
    <w:rsid w:val="00313B85"/>
    <w:rsid w:val="00314BDF"/>
    <w:rsid w:val="00317988"/>
    <w:rsid w:val="003221B4"/>
    <w:rsid w:val="00322E62"/>
    <w:rsid w:val="00324EDD"/>
    <w:rsid w:val="0033056B"/>
    <w:rsid w:val="00336C64"/>
    <w:rsid w:val="00337162"/>
    <w:rsid w:val="0034194F"/>
    <w:rsid w:val="00344605"/>
    <w:rsid w:val="003474AA"/>
    <w:rsid w:val="00350D1D"/>
    <w:rsid w:val="00352C83"/>
    <w:rsid w:val="003615D2"/>
    <w:rsid w:val="0036429C"/>
    <w:rsid w:val="00364A53"/>
    <w:rsid w:val="003654CB"/>
    <w:rsid w:val="00365F86"/>
    <w:rsid w:val="00365F87"/>
    <w:rsid w:val="003705F4"/>
    <w:rsid w:val="00370D58"/>
    <w:rsid w:val="00371316"/>
    <w:rsid w:val="00376713"/>
    <w:rsid w:val="00381815"/>
    <w:rsid w:val="003819AF"/>
    <w:rsid w:val="003820E9"/>
    <w:rsid w:val="00382DE7"/>
    <w:rsid w:val="00384FFC"/>
    <w:rsid w:val="003872FC"/>
    <w:rsid w:val="00387ADC"/>
    <w:rsid w:val="00390020"/>
    <w:rsid w:val="003903D6"/>
    <w:rsid w:val="003906E5"/>
    <w:rsid w:val="00390EE6"/>
    <w:rsid w:val="0039118F"/>
    <w:rsid w:val="00392AD7"/>
    <w:rsid w:val="00392C1E"/>
    <w:rsid w:val="003938D9"/>
    <w:rsid w:val="00394376"/>
    <w:rsid w:val="003943FF"/>
    <w:rsid w:val="003974EB"/>
    <w:rsid w:val="00397CC5"/>
    <w:rsid w:val="003A1582"/>
    <w:rsid w:val="003A4077"/>
    <w:rsid w:val="003B09AD"/>
    <w:rsid w:val="003B1F18"/>
    <w:rsid w:val="003B5BF0"/>
    <w:rsid w:val="003B60BF"/>
    <w:rsid w:val="003B6BE3"/>
    <w:rsid w:val="003C010C"/>
    <w:rsid w:val="003C0A6C"/>
    <w:rsid w:val="003C0F13"/>
    <w:rsid w:val="003C5A43"/>
    <w:rsid w:val="003D0519"/>
    <w:rsid w:val="003D0FF6"/>
    <w:rsid w:val="003D262C"/>
    <w:rsid w:val="003D6D61"/>
    <w:rsid w:val="003E091D"/>
    <w:rsid w:val="003E1C53"/>
    <w:rsid w:val="003E2A69"/>
    <w:rsid w:val="003E2D49"/>
    <w:rsid w:val="003E2FD4"/>
    <w:rsid w:val="003E49F6"/>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47D3"/>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7E1E"/>
    <w:rsid w:val="00484936"/>
    <w:rsid w:val="00485C89"/>
    <w:rsid w:val="00486BE3"/>
    <w:rsid w:val="004905E4"/>
    <w:rsid w:val="00490A89"/>
    <w:rsid w:val="00490AB4"/>
    <w:rsid w:val="00492F02"/>
    <w:rsid w:val="004939AE"/>
    <w:rsid w:val="004A12DF"/>
    <w:rsid w:val="004A1BA8"/>
    <w:rsid w:val="004A4B57"/>
    <w:rsid w:val="004A63FA"/>
    <w:rsid w:val="004B2701"/>
    <w:rsid w:val="004B2E1B"/>
    <w:rsid w:val="004B3E93"/>
    <w:rsid w:val="004C1FBC"/>
    <w:rsid w:val="004C3F1D"/>
    <w:rsid w:val="004C458D"/>
    <w:rsid w:val="004C5CFD"/>
    <w:rsid w:val="004C7556"/>
    <w:rsid w:val="004C7E9D"/>
    <w:rsid w:val="004C7F67"/>
    <w:rsid w:val="004D076D"/>
    <w:rsid w:val="004D0EF1"/>
    <w:rsid w:val="004D2253"/>
    <w:rsid w:val="004D4406"/>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07644"/>
    <w:rsid w:val="00510A7B"/>
    <w:rsid w:val="00512F6E"/>
    <w:rsid w:val="00513038"/>
    <w:rsid w:val="00514174"/>
    <w:rsid w:val="00514DF9"/>
    <w:rsid w:val="00516088"/>
    <w:rsid w:val="00516B0B"/>
    <w:rsid w:val="005220EC"/>
    <w:rsid w:val="00523461"/>
    <w:rsid w:val="00523F95"/>
    <w:rsid w:val="00524D65"/>
    <w:rsid w:val="00525B16"/>
    <w:rsid w:val="00533D04"/>
    <w:rsid w:val="00534804"/>
    <w:rsid w:val="00534BDF"/>
    <w:rsid w:val="005354EA"/>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66049"/>
    <w:rsid w:val="00573D9E"/>
    <w:rsid w:val="005801E3"/>
    <w:rsid w:val="00581802"/>
    <w:rsid w:val="005836A8"/>
    <w:rsid w:val="00584262"/>
    <w:rsid w:val="00586630"/>
    <w:rsid w:val="00587ADD"/>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6897"/>
    <w:rsid w:val="005C7156"/>
    <w:rsid w:val="005D0BB4"/>
    <w:rsid w:val="005D0C75"/>
    <w:rsid w:val="005D4171"/>
    <w:rsid w:val="005D6A95"/>
    <w:rsid w:val="005D6B2C"/>
    <w:rsid w:val="005D6D9C"/>
    <w:rsid w:val="005E2335"/>
    <w:rsid w:val="005E34CA"/>
    <w:rsid w:val="005E3C18"/>
    <w:rsid w:val="005E7881"/>
    <w:rsid w:val="005E78E0"/>
    <w:rsid w:val="005F0D9C"/>
    <w:rsid w:val="005F284E"/>
    <w:rsid w:val="006002B2"/>
    <w:rsid w:val="006015CE"/>
    <w:rsid w:val="00604784"/>
    <w:rsid w:val="00606419"/>
    <w:rsid w:val="00607D29"/>
    <w:rsid w:val="00612952"/>
    <w:rsid w:val="00614CC1"/>
    <w:rsid w:val="00615A9D"/>
    <w:rsid w:val="0061625C"/>
    <w:rsid w:val="006162BE"/>
    <w:rsid w:val="00616BBB"/>
    <w:rsid w:val="00617387"/>
    <w:rsid w:val="006252D8"/>
    <w:rsid w:val="006259BC"/>
    <w:rsid w:val="0062636B"/>
    <w:rsid w:val="00626922"/>
    <w:rsid w:val="00632182"/>
    <w:rsid w:val="00632AE0"/>
    <w:rsid w:val="00633C17"/>
    <w:rsid w:val="00636E3E"/>
    <w:rsid w:val="006379F7"/>
    <w:rsid w:val="00637E4D"/>
    <w:rsid w:val="00640620"/>
    <w:rsid w:val="00641A1F"/>
    <w:rsid w:val="00645904"/>
    <w:rsid w:val="00646AB4"/>
    <w:rsid w:val="00651ACB"/>
    <w:rsid w:val="00651C47"/>
    <w:rsid w:val="00652AB2"/>
    <w:rsid w:val="00654EC0"/>
    <w:rsid w:val="0065525B"/>
    <w:rsid w:val="00655D4F"/>
    <w:rsid w:val="006640E5"/>
    <w:rsid w:val="006646F1"/>
    <w:rsid w:val="00664929"/>
    <w:rsid w:val="00664F62"/>
    <w:rsid w:val="006655E1"/>
    <w:rsid w:val="00672060"/>
    <w:rsid w:val="00672BFD"/>
    <w:rsid w:val="006770F4"/>
    <w:rsid w:val="00677A84"/>
    <w:rsid w:val="0068026D"/>
    <w:rsid w:val="00680A27"/>
    <w:rsid w:val="006816A4"/>
    <w:rsid w:val="006819B8"/>
    <w:rsid w:val="00681B62"/>
    <w:rsid w:val="006840A6"/>
    <w:rsid w:val="006850CD"/>
    <w:rsid w:val="00685AAB"/>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5DEE"/>
    <w:rsid w:val="006F03A8"/>
    <w:rsid w:val="006F0ED7"/>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5949"/>
    <w:rsid w:val="00727FA2"/>
    <w:rsid w:val="007322D9"/>
    <w:rsid w:val="00732BC0"/>
    <w:rsid w:val="0073720F"/>
    <w:rsid w:val="00737796"/>
    <w:rsid w:val="0074165C"/>
    <w:rsid w:val="007432CA"/>
    <w:rsid w:val="007439EB"/>
    <w:rsid w:val="00743CB4"/>
    <w:rsid w:val="00743F0A"/>
    <w:rsid w:val="007444E8"/>
    <w:rsid w:val="0074548E"/>
    <w:rsid w:val="00745773"/>
    <w:rsid w:val="00746800"/>
    <w:rsid w:val="007501A8"/>
    <w:rsid w:val="00750EE1"/>
    <w:rsid w:val="00752B4D"/>
    <w:rsid w:val="00755402"/>
    <w:rsid w:val="00756B26"/>
    <w:rsid w:val="00756EDF"/>
    <w:rsid w:val="007609A2"/>
    <w:rsid w:val="00765C43"/>
    <w:rsid w:val="00765EFB"/>
    <w:rsid w:val="007671CA"/>
    <w:rsid w:val="00767C61"/>
    <w:rsid w:val="0077008A"/>
    <w:rsid w:val="00773C1F"/>
    <w:rsid w:val="00774DA4"/>
    <w:rsid w:val="00776599"/>
    <w:rsid w:val="00777B6D"/>
    <w:rsid w:val="0078114B"/>
    <w:rsid w:val="00781DD2"/>
    <w:rsid w:val="00783ECF"/>
    <w:rsid w:val="0078413A"/>
    <w:rsid w:val="00790CA3"/>
    <w:rsid w:val="00790E01"/>
    <w:rsid w:val="007959E8"/>
    <w:rsid w:val="00795E9C"/>
    <w:rsid w:val="007A0521"/>
    <w:rsid w:val="007A061E"/>
    <w:rsid w:val="007A2E12"/>
    <w:rsid w:val="007A3475"/>
    <w:rsid w:val="007A41C8"/>
    <w:rsid w:val="007A54CE"/>
    <w:rsid w:val="007A6118"/>
    <w:rsid w:val="007A7FFA"/>
    <w:rsid w:val="007B04EB"/>
    <w:rsid w:val="007B0D4F"/>
    <w:rsid w:val="007B5A3D"/>
    <w:rsid w:val="007B5B95"/>
    <w:rsid w:val="007B68EA"/>
    <w:rsid w:val="007C19E8"/>
    <w:rsid w:val="007C2D89"/>
    <w:rsid w:val="007C4593"/>
    <w:rsid w:val="007C5309"/>
    <w:rsid w:val="007C6069"/>
    <w:rsid w:val="007D06C4"/>
    <w:rsid w:val="007D1352"/>
    <w:rsid w:val="007D2508"/>
    <w:rsid w:val="007D346A"/>
    <w:rsid w:val="007D3BE2"/>
    <w:rsid w:val="007D6518"/>
    <w:rsid w:val="007D76BD"/>
    <w:rsid w:val="007E0BF1"/>
    <w:rsid w:val="007F0ED8"/>
    <w:rsid w:val="007F0F63"/>
    <w:rsid w:val="007F75CE"/>
    <w:rsid w:val="008013A4"/>
    <w:rsid w:val="008027CE"/>
    <w:rsid w:val="00802F42"/>
    <w:rsid w:val="00804383"/>
    <w:rsid w:val="00804BB7"/>
    <w:rsid w:val="00810257"/>
    <w:rsid w:val="008104F5"/>
    <w:rsid w:val="00811072"/>
    <w:rsid w:val="00811369"/>
    <w:rsid w:val="00814E50"/>
    <w:rsid w:val="00815419"/>
    <w:rsid w:val="008163C8"/>
    <w:rsid w:val="00817325"/>
    <w:rsid w:val="008209E6"/>
    <w:rsid w:val="00823303"/>
    <w:rsid w:val="008233B2"/>
    <w:rsid w:val="00823A9F"/>
    <w:rsid w:val="00823C85"/>
    <w:rsid w:val="00825138"/>
    <w:rsid w:val="008269DD"/>
    <w:rsid w:val="00830621"/>
    <w:rsid w:val="0083348C"/>
    <w:rsid w:val="008373D3"/>
    <w:rsid w:val="00840617"/>
    <w:rsid w:val="00842A47"/>
    <w:rsid w:val="00843C13"/>
    <w:rsid w:val="008454F8"/>
    <w:rsid w:val="00851342"/>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8DC"/>
    <w:rsid w:val="00893FD1"/>
    <w:rsid w:val="00894836"/>
    <w:rsid w:val="00895172"/>
    <w:rsid w:val="00895680"/>
    <w:rsid w:val="00896DFF"/>
    <w:rsid w:val="0089762C"/>
    <w:rsid w:val="008A1893"/>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1673D"/>
    <w:rsid w:val="009245F5"/>
    <w:rsid w:val="009249EC"/>
    <w:rsid w:val="009273B3"/>
    <w:rsid w:val="009305B5"/>
    <w:rsid w:val="00934C12"/>
    <w:rsid w:val="009429D5"/>
    <w:rsid w:val="00942BF1"/>
    <w:rsid w:val="00945180"/>
    <w:rsid w:val="00945428"/>
    <w:rsid w:val="0094607B"/>
    <w:rsid w:val="00952244"/>
    <w:rsid w:val="00952C52"/>
    <w:rsid w:val="00953604"/>
    <w:rsid w:val="009610DC"/>
    <w:rsid w:val="00961490"/>
    <w:rsid w:val="0096381A"/>
    <w:rsid w:val="00965E04"/>
    <w:rsid w:val="009674AD"/>
    <w:rsid w:val="0097094E"/>
    <w:rsid w:val="00970CDC"/>
    <w:rsid w:val="00977010"/>
    <w:rsid w:val="00977D02"/>
    <w:rsid w:val="009809BB"/>
    <w:rsid w:val="00982D22"/>
    <w:rsid w:val="0098364B"/>
    <w:rsid w:val="00983BF9"/>
    <w:rsid w:val="009911AF"/>
    <w:rsid w:val="00991875"/>
    <w:rsid w:val="00991F92"/>
    <w:rsid w:val="00992985"/>
    <w:rsid w:val="00993889"/>
    <w:rsid w:val="0099551B"/>
    <w:rsid w:val="00997BF1"/>
    <w:rsid w:val="009A089C"/>
    <w:rsid w:val="009A118E"/>
    <w:rsid w:val="009A21CD"/>
    <w:rsid w:val="009A278C"/>
    <w:rsid w:val="009A2BC2"/>
    <w:rsid w:val="009A3EEC"/>
    <w:rsid w:val="009A42C1"/>
    <w:rsid w:val="009A5429"/>
    <w:rsid w:val="009A72AD"/>
    <w:rsid w:val="009B09E0"/>
    <w:rsid w:val="009B0BC5"/>
    <w:rsid w:val="009B1247"/>
    <w:rsid w:val="009B6029"/>
    <w:rsid w:val="009B6971"/>
    <w:rsid w:val="009C27F1"/>
    <w:rsid w:val="009C3152"/>
    <w:rsid w:val="009C4CFA"/>
    <w:rsid w:val="009C5070"/>
    <w:rsid w:val="009D112C"/>
    <w:rsid w:val="009D47FA"/>
    <w:rsid w:val="009D50D2"/>
    <w:rsid w:val="009D6BCA"/>
    <w:rsid w:val="009E0F62"/>
    <w:rsid w:val="009E4A58"/>
    <w:rsid w:val="009E5A2D"/>
    <w:rsid w:val="009E5AB2"/>
    <w:rsid w:val="009E6219"/>
    <w:rsid w:val="009F03B3"/>
    <w:rsid w:val="00A01757"/>
    <w:rsid w:val="00A028C0"/>
    <w:rsid w:val="00A02BAE"/>
    <w:rsid w:val="00A06A6B"/>
    <w:rsid w:val="00A07E47"/>
    <w:rsid w:val="00A129D0"/>
    <w:rsid w:val="00A12C33"/>
    <w:rsid w:val="00A138BA"/>
    <w:rsid w:val="00A14C8E"/>
    <w:rsid w:val="00A153D9"/>
    <w:rsid w:val="00A15F09"/>
    <w:rsid w:val="00A169B6"/>
    <w:rsid w:val="00A2271D"/>
    <w:rsid w:val="00A236E5"/>
    <w:rsid w:val="00A237D5"/>
    <w:rsid w:val="00A24F7B"/>
    <w:rsid w:val="00A30EFC"/>
    <w:rsid w:val="00A31984"/>
    <w:rsid w:val="00A32D73"/>
    <w:rsid w:val="00A32ECE"/>
    <w:rsid w:val="00A3367B"/>
    <w:rsid w:val="00A3597D"/>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5595"/>
    <w:rsid w:val="00A963F7"/>
    <w:rsid w:val="00A96AD8"/>
    <w:rsid w:val="00AA052C"/>
    <w:rsid w:val="00AA1E45"/>
    <w:rsid w:val="00AA2A24"/>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2278"/>
    <w:rsid w:val="00AD3367"/>
    <w:rsid w:val="00AD4126"/>
    <w:rsid w:val="00AD421C"/>
    <w:rsid w:val="00AD44FA"/>
    <w:rsid w:val="00AD56FB"/>
    <w:rsid w:val="00AE070A"/>
    <w:rsid w:val="00AE101C"/>
    <w:rsid w:val="00AF0C18"/>
    <w:rsid w:val="00AF47C5"/>
    <w:rsid w:val="00AF5398"/>
    <w:rsid w:val="00B049AF"/>
    <w:rsid w:val="00B07242"/>
    <w:rsid w:val="00B10534"/>
    <w:rsid w:val="00B113DB"/>
    <w:rsid w:val="00B11D8A"/>
    <w:rsid w:val="00B12981"/>
    <w:rsid w:val="00B147DD"/>
    <w:rsid w:val="00B156FD"/>
    <w:rsid w:val="00B21F61"/>
    <w:rsid w:val="00B22B13"/>
    <w:rsid w:val="00B23045"/>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2120"/>
    <w:rsid w:val="00B54ABC"/>
    <w:rsid w:val="00B56FBE"/>
    <w:rsid w:val="00B62B58"/>
    <w:rsid w:val="00B65149"/>
    <w:rsid w:val="00B66567"/>
    <w:rsid w:val="00B66F52"/>
    <w:rsid w:val="00B66FE5"/>
    <w:rsid w:val="00B675B7"/>
    <w:rsid w:val="00B72880"/>
    <w:rsid w:val="00B758BF"/>
    <w:rsid w:val="00B827A6"/>
    <w:rsid w:val="00B831CE"/>
    <w:rsid w:val="00B86677"/>
    <w:rsid w:val="00B87131"/>
    <w:rsid w:val="00B9127B"/>
    <w:rsid w:val="00B91566"/>
    <w:rsid w:val="00B9320C"/>
    <w:rsid w:val="00B939B1"/>
    <w:rsid w:val="00B96D40"/>
    <w:rsid w:val="00B97386"/>
    <w:rsid w:val="00BA263B"/>
    <w:rsid w:val="00BA42B2"/>
    <w:rsid w:val="00BA58D4"/>
    <w:rsid w:val="00BA5B9E"/>
    <w:rsid w:val="00BA7C9A"/>
    <w:rsid w:val="00BB380E"/>
    <w:rsid w:val="00BB5F8F"/>
    <w:rsid w:val="00BB657A"/>
    <w:rsid w:val="00BC1A4E"/>
    <w:rsid w:val="00BC5DC7"/>
    <w:rsid w:val="00BC6B8B"/>
    <w:rsid w:val="00BC73D8"/>
    <w:rsid w:val="00BD52D7"/>
    <w:rsid w:val="00BD5AD2"/>
    <w:rsid w:val="00BD6082"/>
    <w:rsid w:val="00BE22F3"/>
    <w:rsid w:val="00BE49EE"/>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14D87"/>
    <w:rsid w:val="00C21540"/>
    <w:rsid w:val="00C21906"/>
    <w:rsid w:val="00C21BFA"/>
    <w:rsid w:val="00C235ED"/>
    <w:rsid w:val="00C24C8D"/>
    <w:rsid w:val="00C25FE2"/>
    <w:rsid w:val="00C26B53"/>
    <w:rsid w:val="00C279B2"/>
    <w:rsid w:val="00C33E50"/>
    <w:rsid w:val="00C34C20"/>
    <w:rsid w:val="00C35A3E"/>
    <w:rsid w:val="00C42130"/>
    <w:rsid w:val="00C423A4"/>
    <w:rsid w:val="00C44BF5"/>
    <w:rsid w:val="00C55232"/>
    <w:rsid w:val="00C553A4"/>
    <w:rsid w:val="00C55A06"/>
    <w:rsid w:val="00C55D03"/>
    <w:rsid w:val="00C568A8"/>
    <w:rsid w:val="00C601BC"/>
    <w:rsid w:val="00C6329F"/>
    <w:rsid w:val="00C63340"/>
    <w:rsid w:val="00C643F9"/>
    <w:rsid w:val="00C64E95"/>
    <w:rsid w:val="00C655FD"/>
    <w:rsid w:val="00C71372"/>
    <w:rsid w:val="00C72410"/>
    <w:rsid w:val="00C7287F"/>
    <w:rsid w:val="00C72F0E"/>
    <w:rsid w:val="00C80CB8"/>
    <w:rsid w:val="00C819F8"/>
    <w:rsid w:val="00C8248C"/>
    <w:rsid w:val="00C84E33"/>
    <w:rsid w:val="00C86D6F"/>
    <w:rsid w:val="00C905FC"/>
    <w:rsid w:val="00C92D03"/>
    <w:rsid w:val="00C9319C"/>
    <w:rsid w:val="00C9435D"/>
    <w:rsid w:val="00C9517F"/>
    <w:rsid w:val="00C96741"/>
    <w:rsid w:val="00CA076B"/>
    <w:rsid w:val="00CA2D1B"/>
    <w:rsid w:val="00CA482B"/>
    <w:rsid w:val="00CA662A"/>
    <w:rsid w:val="00CA7AFD"/>
    <w:rsid w:val="00CA7C3C"/>
    <w:rsid w:val="00CB0189"/>
    <w:rsid w:val="00CB0BA2"/>
    <w:rsid w:val="00CB10E3"/>
    <w:rsid w:val="00CB1A42"/>
    <w:rsid w:val="00CB1B0C"/>
    <w:rsid w:val="00CB2C0B"/>
    <w:rsid w:val="00CB517D"/>
    <w:rsid w:val="00CC038D"/>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44B1"/>
    <w:rsid w:val="00CF686F"/>
    <w:rsid w:val="00CF6E60"/>
    <w:rsid w:val="00CF7BCA"/>
    <w:rsid w:val="00D008FD"/>
    <w:rsid w:val="00D02E93"/>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32719"/>
    <w:rsid w:val="00D33333"/>
    <w:rsid w:val="00D352A2"/>
    <w:rsid w:val="00D40A83"/>
    <w:rsid w:val="00D4162B"/>
    <w:rsid w:val="00D4514F"/>
    <w:rsid w:val="00D451E2"/>
    <w:rsid w:val="00D4545E"/>
    <w:rsid w:val="00D45E89"/>
    <w:rsid w:val="00D45E8D"/>
    <w:rsid w:val="00D466AE"/>
    <w:rsid w:val="00D4734F"/>
    <w:rsid w:val="00D51BF3"/>
    <w:rsid w:val="00D63276"/>
    <w:rsid w:val="00D66846"/>
    <w:rsid w:val="00D675FB"/>
    <w:rsid w:val="00D71F25"/>
    <w:rsid w:val="00D77031"/>
    <w:rsid w:val="00D84941"/>
    <w:rsid w:val="00D84FA1"/>
    <w:rsid w:val="00D851F0"/>
    <w:rsid w:val="00D86DB7"/>
    <w:rsid w:val="00D926D0"/>
    <w:rsid w:val="00D93030"/>
    <w:rsid w:val="00D950E1"/>
    <w:rsid w:val="00D952A6"/>
    <w:rsid w:val="00D97F99"/>
    <w:rsid w:val="00DA19E7"/>
    <w:rsid w:val="00DA1E08"/>
    <w:rsid w:val="00DA24F8"/>
    <w:rsid w:val="00DA28E8"/>
    <w:rsid w:val="00DA38D3"/>
    <w:rsid w:val="00DA3932"/>
    <w:rsid w:val="00DA64F8"/>
    <w:rsid w:val="00DA6C15"/>
    <w:rsid w:val="00DA7370"/>
    <w:rsid w:val="00DB38EE"/>
    <w:rsid w:val="00DB498B"/>
    <w:rsid w:val="00DB66CA"/>
    <w:rsid w:val="00DB6BCA"/>
    <w:rsid w:val="00DC0321"/>
    <w:rsid w:val="00DC3067"/>
    <w:rsid w:val="00DC370B"/>
    <w:rsid w:val="00DC5B90"/>
    <w:rsid w:val="00DD00F2"/>
    <w:rsid w:val="00DD00FF"/>
    <w:rsid w:val="00DD0619"/>
    <w:rsid w:val="00DD07FB"/>
    <w:rsid w:val="00DD25C6"/>
    <w:rsid w:val="00DD54B0"/>
    <w:rsid w:val="00DD57EE"/>
    <w:rsid w:val="00DD6BCC"/>
    <w:rsid w:val="00DE0A4B"/>
    <w:rsid w:val="00DE2410"/>
    <w:rsid w:val="00DE2939"/>
    <w:rsid w:val="00DE51F0"/>
    <w:rsid w:val="00DE6E81"/>
    <w:rsid w:val="00DE703F"/>
    <w:rsid w:val="00DE7595"/>
    <w:rsid w:val="00DF15BE"/>
    <w:rsid w:val="00DF1961"/>
    <w:rsid w:val="00DF44DE"/>
    <w:rsid w:val="00E01138"/>
    <w:rsid w:val="00E02DFB"/>
    <w:rsid w:val="00E030F9"/>
    <w:rsid w:val="00E0311A"/>
    <w:rsid w:val="00E03138"/>
    <w:rsid w:val="00E06404"/>
    <w:rsid w:val="00E11A85"/>
    <w:rsid w:val="00E12495"/>
    <w:rsid w:val="00E15CCD"/>
    <w:rsid w:val="00E202EF"/>
    <w:rsid w:val="00E20878"/>
    <w:rsid w:val="00E210B5"/>
    <w:rsid w:val="00E2552F"/>
    <w:rsid w:val="00E3137A"/>
    <w:rsid w:val="00E32CCF"/>
    <w:rsid w:val="00E34A98"/>
    <w:rsid w:val="00E35D1E"/>
    <w:rsid w:val="00E364F9"/>
    <w:rsid w:val="00E365FA"/>
    <w:rsid w:val="00E37775"/>
    <w:rsid w:val="00E40C94"/>
    <w:rsid w:val="00E44A83"/>
    <w:rsid w:val="00E502C1"/>
    <w:rsid w:val="00E502DD"/>
    <w:rsid w:val="00E50D3A"/>
    <w:rsid w:val="00E51387"/>
    <w:rsid w:val="00E51E68"/>
    <w:rsid w:val="00E52EFD"/>
    <w:rsid w:val="00E5408A"/>
    <w:rsid w:val="00E56800"/>
    <w:rsid w:val="00E60CD7"/>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1679"/>
    <w:rsid w:val="00EA58D1"/>
    <w:rsid w:val="00EA61BC"/>
    <w:rsid w:val="00EA681A"/>
    <w:rsid w:val="00EA735B"/>
    <w:rsid w:val="00EB1E69"/>
    <w:rsid w:val="00EB2086"/>
    <w:rsid w:val="00EB5EDF"/>
    <w:rsid w:val="00EB60FE"/>
    <w:rsid w:val="00EB74DB"/>
    <w:rsid w:val="00EC17ED"/>
    <w:rsid w:val="00EC5359"/>
    <w:rsid w:val="00EC562A"/>
    <w:rsid w:val="00ED067A"/>
    <w:rsid w:val="00ED2B50"/>
    <w:rsid w:val="00EE0350"/>
    <w:rsid w:val="00EE0719"/>
    <w:rsid w:val="00EE0E80"/>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46BD"/>
    <w:rsid w:val="00F157A9"/>
    <w:rsid w:val="00F25BB6"/>
    <w:rsid w:val="00F26B7E"/>
    <w:rsid w:val="00F27A3B"/>
    <w:rsid w:val="00F33817"/>
    <w:rsid w:val="00F420D5"/>
    <w:rsid w:val="00F42671"/>
    <w:rsid w:val="00F451EA"/>
    <w:rsid w:val="00F45447"/>
    <w:rsid w:val="00F456C6"/>
    <w:rsid w:val="00F4577B"/>
    <w:rsid w:val="00F46496"/>
    <w:rsid w:val="00F474D0"/>
    <w:rsid w:val="00F50179"/>
    <w:rsid w:val="00F56511"/>
    <w:rsid w:val="00F6194E"/>
    <w:rsid w:val="00F623AC"/>
    <w:rsid w:val="00F6412A"/>
    <w:rsid w:val="00F65893"/>
    <w:rsid w:val="00F66A4A"/>
    <w:rsid w:val="00F71E22"/>
    <w:rsid w:val="00F72142"/>
    <w:rsid w:val="00F72AE7"/>
    <w:rsid w:val="00F84934"/>
    <w:rsid w:val="00F84FD0"/>
    <w:rsid w:val="00F859A8"/>
    <w:rsid w:val="00F9108B"/>
    <w:rsid w:val="00F91349"/>
    <w:rsid w:val="00F93A8A"/>
    <w:rsid w:val="00F95248"/>
    <w:rsid w:val="00F956A9"/>
    <w:rsid w:val="00F963ED"/>
    <w:rsid w:val="00F966CF"/>
    <w:rsid w:val="00F96CAE"/>
    <w:rsid w:val="00F97C99"/>
    <w:rsid w:val="00FA662D"/>
    <w:rsid w:val="00FA73B1"/>
    <w:rsid w:val="00FB0CB9"/>
    <w:rsid w:val="00FB45F1"/>
    <w:rsid w:val="00FB4A72"/>
    <w:rsid w:val="00FB54E8"/>
    <w:rsid w:val="00FB7054"/>
    <w:rsid w:val="00FC17B7"/>
    <w:rsid w:val="00FC2CB7"/>
    <w:rsid w:val="00FC4090"/>
    <w:rsid w:val="00FC55B4"/>
    <w:rsid w:val="00FD00E6"/>
    <w:rsid w:val="00FD09A1"/>
    <w:rsid w:val="00FD1E3F"/>
    <w:rsid w:val="00FD2A7C"/>
    <w:rsid w:val="00FD59EB"/>
    <w:rsid w:val="00FD7299"/>
    <w:rsid w:val="00FE1FBE"/>
    <w:rsid w:val="00FE3901"/>
    <w:rsid w:val="00FE4BCE"/>
    <w:rsid w:val="00FE54AE"/>
    <w:rsid w:val="00FE576A"/>
    <w:rsid w:val="00FE61CF"/>
    <w:rsid w:val="00FE7E79"/>
    <w:rsid w:val="00FF3E7D"/>
    <w:rsid w:val="00FF5B99"/>
    <w:rsid w:val="00FF730C"/>
    <w:rsid w:val="00FF73F4"/>
    <w:rsid w:val="00FF7CE4"/>
    <w:rsid w:val="00FF7E39"/>
    <w:rsid w:val="04594E26"/>
    <w:rsid w:val="05863F2C"/>
    <w:rsid w:val="05D1531A"/>
    <w:rsid w:val="06320837"/>
    <w:rsid w:val="07B93C8A"/>
    <w:rsid w:val="07CE3B6C"/>
    <w:rsid w:val="0A8D59B6"/>
    <w:rsid w:val="0EBE4E06"/>
    <w:rsid w:val="0EE2481C"/>
    <w:rsid w:val="10BA53FD"/>
    <w:rsid w:val="11E608FC"/>
    <w:rsid w:val="13FB2106"/>
    <w:rsid w:val="141A1D9D"/>
    <w:rsid w:val="15712750"/>
    <w:rsid w:val="170D582F"/>
    <w:rsid w:val="17303DFA"/>
    <w:rsid w:val="178F0FE3"/>
    <w:rsid w:val="18247692"/>
    <w:rsid w:val="18512847"/>
    <w:rsid w:val="191904C5"/>
    <w:rsid w:val="19FE255B"/>
    <w:rsid w:val="1BF73705"/>
    <w:rsid w:val="1E2545AF"/>
    <w:rsid w:val="21F8186C"/>
    <w:rsid w:val="22214BE8"/>
    <w:rsid w:val="23FE1AD5"/>
    <w:rsid w:val="24CA2841"/>
    <w:rsid w:val="28F05023"/>
    <w:rsid w:val="2BF10ADF"/>
    <w:rsid w:val="2D9D1A45"/>
    <w:rsid w:val="2FAB31A0"/>
    <w:rsid w:val="30617EEA"/>
    <w:rsid w:val="31FB58A6"/>
    <w:rsid w:val="344E4A69"/>
    <w:rsid w:val="34B10C3F"/>
    <w:rsid w:val="35050112"/>
    <w:rsid w:val="35133103"/>
    <w:rsid w:val="36CA0711"/>
    <w:rsid w:val="388F0F9F"/>
    <w:rsid w:val="3AC07539"/>
    <w:rsid w:val="3ADC0074"/>
    <w:rsid w:val="3AE9766A"/>
    <w:rsid w:val="3D4E4D1E"/>
    <w:rsid w:val="3E401B6B"/>
    <w:rsid w:val="3E672C0E"/>
    <w:rsid w:val="3EB07A18"/>
    <w:rsid w:val="3ECB0AF2"/>
    <w:rsid w:val="3ED951C1"/>
    <w:rsid w:val="4093314D"/>
    <w:rsid w:val="41BD2B78"/>
    <w:rsid w:val="42834CC6"/>
    <w:rsid w:val="43133189"/>
    <w:rsid w:val="43D63A7D"/>
    <w:rsid w:val="452847AC"/>
    <w:rsid w:val="458A2D71"/>
    <w:rsid w:val="45AF27D7"/>
    <w:rsid w:val="48B808B5"/>
    <w:rsid w:val="49353AF4"/>
    <w:rsid w:val="494C77FD"/>
    <w:rsid w:val="4989333F"/>
    <w:rsid w:val="49956188"/>
    <w:rsid w:val="4A3E717D"/>
    <w:rsid w:val="4ADE4FE3"/>
    <w:rsid w:val="4C52210E"/>
    <w:rsid w:val="4C692296"/>
    <w:rsid w:val="4C7958ED"/>
    <w:rsid w:val="4C9753AE"/>
    <w:rsid w:val="4E39484D"/>
    <w:rsid w:val="4E8307E0"/>
    <w:rsid w:val="4F8915EF"/>
    <w:rsid w:val="508B7785"/>
    <w:rsid w:val="50B67110"/>
    <w:rsid w:val="52E26C7E"/>
    <w:rsid w:val="53021890"/>
    <w:rsid w:val="5474311E"/>
    <w:rsid w:val="548337AD"/>
    <w:rsid w:val="54BD68DC"/>
    <w:rsid w:val="563A1CA9"/>
    <w:rsid w:val="56E32186"/>
    <w:rsid w:val="572F590D"/>
    <w:rsid w:val="58775B87"/>
    <w:rsid w:val="5987789B"/>
    <w:rsid w:val="5D870FD6"/>
    <w:rsid w:val="6214756D"/>
    <w:rsid w:val="65AB66C0"/>
    <w:rsid w:val="678D5B25"/>
    <w:rsid w:val="694E3F32"/>
    <w:rsid w:val="69EB79D2"/>
    <w:rsid w:val="6A8B3798"/>
    <w:rsid w:val="6BAF2C82"/>
    <w:rsid w:val="6BED2987"/>
    <w:rsid w:val="6C8668C2"/>
    <w:rsid w:val="6EEC2B40"/>
    <w:rsid w:val="6F547E75"/>
    <w:rsid w:val="712D4229"/>
    <w:rsid w:val="7258372B"/>
    <w:rsid w:val="734E2D80"/>
    <w:rsid w:val="73F3040C"/>
    <w:rsid w:val="743B75F4"/>
    <w:rsid w:val="746F5099"/>
    <w:rsid w:val="74D231A8"/>
    <w:rsid w:val="75952EE8"/>
    <w:rsid w:val="778B00FF"/>
    <w:rsid w:val="77BC29AE"/>
    <w:rsid w:val="79D441CE"/>
    <w:rsid w:val="7A4E3666"/>
    <w:rsid w:val="7AFB303D"/>
    <w:rsid w:val="7B4C246F"/>
    <w:rsid w:val="7E226BB4"/>
    <w:rsid w:val="7E877E1C"/>
    <w:rsid w:val="7F9171B4"/>
    <w:rsid w:val="7FA40C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8"/>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9"/>
    <w:qFormat/>
    <w:uiPriority w:val="0"/>
    <w:pPr>
      <w:keepNext/>
      <w:keepLines/>
      <w:spacing w:before="260" w:after="260" w:line="416" w:lineRule="auto"/>
      <w:outlineLvl w:val="2"/>
    </w:pPr>
    <w:rPr>
      <w:b/>
      <w:bCs/>
      <w:sz w:val="32"/>
      <w:szCs w:val="32"/>
    </w:rPr>
  </w:style>
  <w:style w:type="paragraph" w:styleId="5">
    <w:name w:val="heading 4"/>
    <w:basedOn w:val="1"/>
    <w:next w:val="1"/>
    <w:link w:val="40"/>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1"/>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2"/>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3"/>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4"/>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5"/>
    <w:qFormat/>
    <w:uiPriority w:val="0"/>
    <w:pPr>
      <w:keepNext/>
      <w:keepLines/>
      <w:adjustRightInd/>
      <w:spacing w:before="240" w:after="64" w:line="320" w:lineRule="auto"/>
      <w:outlineLvl w:val="8"/>
    </w:pPr>
    <w:rPr>
      <w:rFonts w:ascii="Arial" w:hAnsi="Arial" w:eastAsia="黑体"/>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annotation text"/>
    <w:basedOn w:val="1"/>
    <w:semiHidden/>
    <w:unhideWhenUsed/>
    <w:qFormat/>
    <w:uiPriority w:val="99"/>
    <w:pPr>
      <w:jc w:val="left"/>
    </w:pPr>
  </w:style>
  <w:style w:type="paragraph" w:styleId="14">
    <w:name w:val="Body Text"/>
    <w:basedOn w:val="1"/>
    <w:link w:val="89"/>
    <w:qFormat/>
    <w:uiPriority w:val="0"/>
    <w:pPr>
      <w:spacing w:after="120"/>
    </w:pPr>
  </w:style>
  <w:style w:type="paragraph" w:styleId="15">
    <w:name w:val="toc 5"/>
    <w:basedOn w:val="1"/>
    <w:next w:val="1"/>
    <w:autoRedefine/>
    <w:unhideWhenUsed/>
    <w:qFormat/>
    <w:uiPriority w:val="39"/>
    <w:pPr>
      <w:ind w:left="839"/>
    </w:pPr>
    <w:rPr>
      <w:rFonts w:ascii="宋体"/>
    </w:rPr>
  </w:style>
  <w:style w:type="paragraph" w:styleId="16">
    <w:name w:val="toc 3"/>
    <w:basedOn w:val="1"/>
    <w:next w:val="1"/>
    <w:autoRedefine/>
    <w:unhideWhenUsed/>
    <w:qFormat/>
    <w:uiPriority w:val="39"/>
    <w:pPr>
      <w:spacing w:line="300" w:lineRule="exact"/>
      <w:ind w:left="420"/>
    </w:pPr>
    <w:rPr>
      <w:rFonts w:ascii="宋体"/>
    </w:rPr>
  </w:style>
  <w:style w:type="paragraph" w:styleId="17">
    <w:name w:val="Balloon Text"/>
    <w:basedOn w:val="1"/>
    <w:link w:val="48"/>
    <w:semiHidden/>
    <w:unhideWhenUsed/>
    <w:qFormat/>
    <w:uiPriority w:val="99"/>
    <w:rPr>
      <w:sz w:val="18"/>
      <w:szCs w:val="18"/>
    </w:rPr>
  </w:style>
  <w:style w:type="paragraph" w:styleId="18">
    <w:name w:val="footer"/>
    <w:basedOn w:val="1"/>
    <w:link w:val="47"/>
    <w:qFormat/>
    <w:uiPriority w:val="99"/>
    <w:pPr>
      <w:tabs>
        <w:tab w:val="center" w:pos="4153"/>
        <w:tab w:val="right" w:pos="8306"/>
      </w:tabs>
      <w:adjustRightInd/>
      <w:snapToGrid w:val="0"/>
      <w:spacing w:line="240" w:lineRule="auto"/>
      <w:jc w:val="right"/>
    </w:pPr>
    <w:rPr>
      <w:rFonts w:ascii="宋体"/>
      <w:sz w:val="18"/>
      <w:szCs w:val="18"/>
    </w:rPr>
  </w:style>
  <w:style w:type="paragraph" w:styleId="19">
    <w:name w:val="header"/>
    <w:basedOn w:val="1"/>
    <w:link w:val="46"/>
    <w:qFormat/>
    <w:uiPriority w:val="99"/>
    <w:pPr>
      <w:tabs>
        <w:tab w:val="center" w:pos="4153"/>
        <w:tab w:val="right" w:pos="8306"/>
      </w:tabs>
      <w:adjustRightInd/>
      <w:snapToGrid w:val="0"/>
      <w:jc w:val="center"/>
    </w:pPr>
    <w:rPr>
      <w:sz w:val="18"/>
      <w:szCs w:val="18"/>
    </w:rPr>
  </w:style>
  <w:style w:type="paragraph" w:styleId="20">
    <w:name w:val="toc 1"/>
    <w:basedOn w:val="1"/>
    <w:next w:val="1"/>
    <w:autoRedefine/>
    <w:unhideWhenUsed/>
    <w:qFormat/>
    <w:uiPriority w:val="39"/>
    <w:rPr>
      <w:rFonts w:ascii="宋体"/>
    </w:rPr>
  </w:style>
  <w:style w:type="paragraph" w:styleId="21">
    <w:name w:val="toc 4"/>
    <w:basedOn w:val="1"/>
    <w:next w:val="1"/>
    <w:autoRedefine/>
    <w:unhideWhenUsed/>
    <w:qFormat/>
    <w:uiPriority w:val="39"/>
    <w:pPr>
      <w:tabs>
        <w:tab w:val="right" w:leader="dot" w:pos="9344"/>
      </w:tabs>
      <w:spacing w:line="300" w:lineRule="exact"/>
      <w:ind w:left="629"/>
    </w:pPr>
    <w:rPr>
      <w:rFonts w:ascii="宋体"/>
    </w:rPr>
  </w:style>
  <w:style w:type="paragraph" w:styleId="22">
    <w:name w:val="footnote text"/>
    <w:basedOn w:val="1"/>
    <w:next w:val="1"/>
    <w:link w:val="102"/>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3">
    <w:name w:val="toc 6"/>
    <w:basedOn w:val="1"/>
    <w:next w:val="1"/>
    <w:autoRedefine/>
    <w:unhideWhenUsed/>
    <w:qFormat/>
    <w:uiPriority w:val="39"/>
    <w:pPr>
      <w:spacing w:line="300" w:lineRule="exact"/>
      <w:ind w:left="1049"/>
    </w:pPr>
    <w:rPr>
      <w:rFonts w:ascii="宋体"/>
    </w:rPr>
  </w:style>
  <w:style w:type="paragraph" w:styleId="24">
    <w:name w:val="table of figures"/>
    <w:basedOn w:val="1"/>
    <w:next w:val="1"/>
    <w:semiHidden/>
    <w:qFormat/>
    <w:uiPriority w:val="0"/>
    <w:pPr>
      <w:adjustRightInd/>
      <w:spacing w:line="240" w:lineRule="auto"/>
      <w:jc w:val="left"/>
    </w:pPr>
    <w:rPr>
      <w:szCs w:val="24"/>
    </w:rPr>
  </w:style>
  <w:style w:type="paragraph" w:styleId="25">
    <w:name w:val="toc 2"/>
    <w:basedOn w:val="1"/>
    <w:next w:val="1"/>
    <w:autoRedefine/>
    <w:unhideWhenUsed/>
    <w:qFormat/>
    <w:uiPriority w:val="39"/>
    <w:pPr>
      <w:tabs>
        <w:tab w:val="right" w:leader="dot" w:pos="9344"/>
      </w:tabs>
      <w:spacing w:line="300" w:lineRule="exact"/>
      <w:ind w:left="210"/>
    </w:pPr>
    <w:rPr>
      <w:rFonts w:ascii="宋体"/>
    </w:rPr>
  </w:style>
  <w:style w:type="paragraph" w:styleId="26">
    <w:name w:val="Title"/>
    <w:basedOn w:val="1"/>
    <w:link w:val="51"/>
    <w:qFormat/>
    <w:uiPriority w:val="0"/>
    <w:pPr>
      <w:spacing w:before="240" w:after="60"/>
      <w:jc w:val="center"/>
      <w:outlineLvl w:val="0"/>
    </w:pPr>
    <w:rPr>
      <w:rFonts w:ascii="Arial" w:hAnsi="Arial" w:cs="Arial"/>
      <w:b/>
      <w:bCs/>
      <w:sz w:val="32"/>
      <w:szCs w:val="32"/>
    </w:rPr>
  </w:style>
  <w:style w:type="table" w:styleId="28">
    <w:name w:val="Table Grid"/>
    <w:basedOn w:val="2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qFormat/>
    <w:uiPriority w:val="22"/>
    <w:rPr>
      <w:b/>
      <w:bCs/>
    </w:rPr>
  </w:style>
  <w:style w:type="character" w:styleId="31">
    <w:name w:val="page number"/>
    <w:qFormat/>
    <w:uiPriority w:val="0"/>
    <w:rPr>
      <w:rFonts w:ascii="宋体" w:hAnsi="Times New Roman" w:eastAsia="宋体"/>
      <w:sz w:val="18"/>
    </w:rPr>
  </w:style>
  <w:style w:type="character" w:styleId="32">
    <w:name w:val="FollowedHyperlink"/>
    <w:basedOn w:val="29"/>
    <w:unhideWhenUsed/>
    <w:qFormat/>
    <w:uiPriority w:val="99"/>
    <w:rPr>
      <w:color w:val="800080"/>
      <w:u w:val="single"/>
    </w:rPr>
  </w:style>
  <w:style w:type="character" w:styleId="33">
    <w:name w:val="Emphasis"/>
    <w:qFormat/>
    <w:uiPriority w:val="20"/>
    <w:rPr>
      <w:i/>
      <w:iCs/>
    </w:rPr>
  </w:style>
  <w:style w:type="character" w:styleId="34">
    <w:name w:val="Hyperlink"/>
    <w:qFormat/>
    <w:uiPriority w:val="99"/>
    <w:rPr>
      <w:rFonts w:ascii="宋体" w:hAnsi="Times New Roman" w:eastAsia="宋体"/>
      <w:color w:val="auto"/>
      <w:spacing w:val="0"/>
      <w:w w:val="100"/>
      <w:position w:val="0"/>
      <w:sz w:val="21"/>
      <w:u w:val="none"/>
      <w:vertAlign w:val="baseline"/>
    </w:rPr>
  </w:style>
  <w:style w:type="character" w:styleId="35">
    <w:name w:val="annotation reference"/>
    <w:basedOn w:val="29"/>
    <w:semiHidden/>
    <w:unhideWhenUsed/>
    <w:qFormat/>
    <w:uiPriority w:val="99"/>
    <w:rPr>
      <w:sz w:val="21"/>
      <w:szCs w:val="21"/>
    </w:rPr>
  </w:style>
  <w:style w:type="character" w:styleId="36">
    <w:name w:val="footnote reference"/>
    <w:semiHidden/>
    <w:qFormat/>
    <w:uiPriority w:val="0"/>
    <w:rPr>
      <w:rFonts w:ascii="宋体" w:hAnsi="宋体" w:eastAsia="宋体" w:cs="Times New Roman"/>
      <w:spacing w:val="0"/>
      <w:sz w:val="18"/>
      <w:vertAlign w:val="superscript"/>
    </w:rPr>
  </w:style>
  <w:style w:type="character" w:customStyle="1" w:styleId="37">
    <w:name w:val="标题 1 字符"/>
    <w:link w:val="2"/>
    <w:qFormat/>
    <w:uiPriority w:val="0"/>
    <w:rPr>
      <w:rFonts w:ascii="Times New Roman" w:hAnsi="Times New Roman" w:eastAsia="宋体" w:cs="Times New Roman"/>
      <w:b/>
      <w:bCs/>
      <w:kern w:val="44"/>
      <w:sz w:val="44"/>
      <w:szCs w:val="44"/>
    </w:rPr>
  </w:style>
  <w:style w:type="character" w:customStyle="1" w:styleId="38">
    <w:name w:val="标题 2 字符"/>
    <w:link w:val="3"/>
    <w:qFormat/>
    <w:uiPriority w:val="0"/>
    <w:rPr>
      <w:rFonts w:ascii="Arial" w:hAnsi="Arial" w:eastAsia="黑体" w:cs="Times New Roman"/>
      <w:b/>
      <w:bCs/>
      <w:sz w:val="32"/>
      <w:szCs w:val="32"/>
    </w:rPr>
  </w:style>
  <w:style w:type="character" w:customStyle="1" w:styleId="39">
    <w:name w:val="标题 3 字符"/>
    <w:link w:val="4"/>
    <w:qFormat/>
    <w:uiPriority w:val="0"/>
    <w:rPr>
      <w:rFonts w:ascii="Times New Roman" w:hAnsi="Times New Roman" w:eastAsia="宋体" w:cs="Times New Roman"/>
      <w:b/>
      <w:bCs/>
      <w:sz w:val="32"/>
      <w:szCs w:val="32"/>
    </w:rPr>
  </w:style>
  <w:style w:type="character" w:customStyle="1" w:styleId="40">
    <w:name w:val="标题 4 字符"/>
    <w:link w:val="5"/>
    <w:qFormat/>
    <w:uiPriority w:val="0"/>
    <w:rPr>
      <w:rFonts w:ascii="Arial" w:hAnsi="Arial" w:eastAsia="黑体" w:cs="Times New Roman"/>
      <w:b/>
      <w:bCs/>
      <w:sz w:val="28"/>
      <w:szCs w:val="28"/>
    </w:rPr>
  </w:style>
  <w:style w:type="character" w:customStyle="1" w:styleId="41">
    <w:name w:val="标题 5 字符"/>
    <w:link w:val="6"/>
    <w:qFormat/>
    <w:uiPriority w:val="0"/>
    <w:rPr>
      <w:rFonts w:ascii="Times New Roman" w:hAnsi="Times New Roman" w:eastAsia="宋体" w:cs="Times New Roman"/>
      <w:b/>
      <w:bCs/>
      <w:sz w:val="28"/>
      <w:szCs w:val="28"/>
    </w:rPr>
  </w:style>
  <w:style w:type="character" w:customStyle="1" w:styleId="42">
    <w:name w:val="标题 6 字符"/>
    <w:link w:val="7"/>
    <w:qFormat/>
    <w:uiPriority w:val="0"/>
    <w:rPr>
      <w:rFonts w:ascii="Arial" w:hAnsi="Arial" w:eastAsia="黑体" w:cs="Times New Roman"/>
      <w:b/>
      <w:bCs/>
      <w:sz w:val="24"/>
      <w:szCs w:val="24"/>
    </w:rPr>
  </w:style>
  <w:style w:type="character" w:customStyle="1" w:styleId="43">
    <w:name w:val="标题 7 字符"/>
    <w:link w:val="8"/>
    <w:qFormat/>
    <w:uiPriority w:val="0"/>
    <w:rPr>
      <w:rFonts w:ascii="Times New Roman" w:hAnsi="Times New Roman" w:eastAsia="宋体" w:cs="Times New Roman"/>
      <w:b/>
      <w:bCs/>
      <w:sz w:val="24"/>
      <w:szCs w:val="24"/>
    </w:rPr>
  </w:style>
  <w:style w:type="character" w:customStyle="1" w:styleId="44">
    <w:name w:val="标题 8 字符"/>
    <w:link w:val="9"/>
    <w:qFormat/>
    <w:uiPriority w:val="0"/>
    <w:rPr>
      <w:rFonts w:ascii="Arial" w:hAnsi="Arial" w:eastAsia="黑体" w:cs="Times New Roman"/>
      <w:sz w:val="24"/>
      <w:szCs w:val="24"/>
    </w:rPr>
  </w:style>
  <w:style w:type="character" w:customStyle="1" w:styleId="45">
    <w:name w:val="标题 9 字符"/>
    <w:link w:val="10"/>
    <w:qFormat/>
    <w:uiPriority w:val="0"/>
    <w:rPr>
      <w:rFonts w:ascii="Arial" w:hAnsi="Arial" w:eastAsia="黑体" w:cs="Times New Roman"/>
      <w:szCs w:val="21"/>
    </w:rPr>
  </w:style>
  <w:style w:type="character" w:customStyle="1" w:styleId="46">
    <w:name w:val="页眉 字符"/>
    <w:link w:val="19"/>
    <w:qFormat/>
    <w:uiPriority w:val="99"/>
    <w:rPr>
      <w:rFonts w:ascii="Times New Roman" w:hAnsi="Times New Roman" w:eastAsia="宋体" w:cs="Times New Roman"/>
      <w:sz w:val="18"/>
      <w:szCs w:val="18"/>
    </w:rPr>
  </w:style>
  <w:style w:type="character" w:customStyle="1" w:styleId="47">
    <w:name w:val="页脚 字符"/>
    <w:link w:val="18"/>
    <w:qFormat/>
    <w:uiPriority w:val="99"/>
    <w:rPr>
      <w:rFonts w:ascii="宋体" w:hAnsi="Times New Roman" w:eastAsia="宋体" w:cs="Times New Roman"/>
      <w:sz w:val="18"/>
      <w:szCs w:val="18"/>
    </w:rPr>
  </w:style>
  <w:style w:type="character" w:customStyle="1" w:styleId="48">
    <w:name w:val="批注框文本 字符"/>
    <w:link w:val="17"/>
    <w:semiHidden/>
    <w:qFormat/>
    <w:uiPriority w:val="99"/>
    <w:rPr>
      <w:sz w:val="18"/>
      <w:szCs w:val="18"/>
    </w:rPr>
  </w:style>
  <w:style w:type="paragraph" w:styleId="49">
    <w:name w:val="Quote"/>
    <w:basedOn w:val="1"/>
    <w:next w:val="1"/>
    <w:link w:val="50"/>
    <w:qFormat/>
    <w:uiPriority w:val="29"/>
    <w:rPr>
      <w:i/>
      <w:iCs/>
      <w:color w:val="000000"/>
    </w:rPr>
  </w:style>
  <w:style w:type="character" w:customStyle="1" w:styleId="50">
    <w:name w:val="引用 字符"/>
    <w:link w:val="49"/>
    <w:qFormat/>
    <w:uiPriority w:val="29"/>
    <w:rPr>
      <w:i/>
      <w:iCs/>
      <w:color w:val="000000"/>
    </w:rPr>
  </w:style>
  <w:style w:type="character" w:customStyle="1" w:styleId="51">
    <w:name w:val="标题 字符"/>
    <w:link w:val="26"/>
    <w:qFormat/>
    <w:uiPriority w:val="0"/>
    <w:rPr>
      <w:rFonts w:ascii="Arial" w:hAnsi="Arial" w:eastAsia="宋体" w:cs="Arial"/>
      <w:b/>
      <w:bCs/>
      <w:sz w:val="32"/>
      <w:szCs w:val="32"/>
    </w:rPr>
  </w:style>
  <w:style w:type="paragraph" w:customStyle="1" w:styleId="52">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3">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4">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5">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6">
    <w:name w:val="标准书眉一"/>
    <w:qFormat/>
    <w:uiPriority w:val="0"/>
    <w:pPr>
      <w:jc w:val="both"/>
    </w:pPr>
    <w:rPr>
      <w:rFonts w:ascii="Times New Roman" w:hAnsi="Times New Roman" w:eastAsia="宋体" w:cs="Times New Roman"/>
      <w:lang w:val="en-US" w:eastAsia="zh-CN" w:bidi="ar-SA"/>
    </w:rPr>
  </w:style>
  <w:style w:type="paragraph" w:customStyle="1" w:styleId="57">
    <w:name w:val="标准文件_ICS"/>
    <w:basedOn w:val="1"/>
    <w:qFormat/>
    <w:uiPriority w:val="0"/>
    <w:pPr>
      <w:spacing w:line="0" w:lineRule="atLeast"/>
    </w:pPr>
    <w:rPr>
      <w:rFonts w:ascii="黑体" w:hAnsi="宋体" w:eastAsia="黑体"/>
    </w:rPr>
  </w:style>
  <w:style w:type="paragraph" w:customStyle="1" w:styleId="58">
    <w:name w:val="标准文件_标准正文"/>
    <w:basedOn w:val="1"/>
    <w:next w:val="59"/>
    <w:qFormat/>
    <w:uiPriority w:val="0"/>
    <w:pPr>
      <w:snapToGrid w:val="0"/>
      <w:ind w:firstLine="200" w:firstLineChars="200"/>
    </w:pPr>
    <w:rPr>
      <w:kern w:val="0"/>
    </w:rPr>
  </w:style>
  <w:style w:type="paragraph" w:customStyle="1" w:styleId="59">
    <w:name w:val="标准文件_段"/>
    <w:link w:val="187"/>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0">
    <w:name w:val="标准文件_版本"/>
    <w:basedOn w:val="58"/>
    <w:qFormat/>
    <w:uiPriority w:val="0"/>
    <w:pPr>
      <w:adjustRightInd/>
      <w:snapToGrid/>
      <w:ind w:firstLine="0" w:firstLineChars="0"/>
    </w:pPr>
    <w:rPr>
      <w:rFonts w:ascii="宋体" w:hAnsi="宋体"/>
      <w:kern w:val="2"/>
    </w:rPr>
  </w:style>
  <w:style w:type="paragraph" w:customStyle="1" w:styleId="61">
    <w:name w:val="标准文件_标准部门"/>
    <w:basedOn w:val="1"/>
    <w:qFormat/>
    <w:uiPriority w:val="0"/>
    <w:pPr>
      <w:jc w:val="center"/>
    </w:pPr>
    <w:rPr>
      <w:rFonts w:ascii="黑体" w:eastAsia="黑体"/>
      <w:kern w:val="0"/>
      <w:sz w:val="44"/>
    </w:rPr>
  </w:style>
  <w:style w:type="paragraph" w:customStyle="1" w:styleId="62">
    <w:name w:val="标准文件_标准代替"/>
    <w:basedOn w:val="1"/>
    <w:next w:val="1"/>
    <w:qFormat/>
    <w:uiPriority w:val="0"/>
    <w:pPr>
      <w:spacing w:line="310" w:lineRule="exact"/>
      <w:jc w:val="right"/>
    </w:pPr>
    <w:rPr>
      <w:rFonts w:ascii="宋体" w:hAnsi="宋体"/>
      <w:kern w:val="0"/>
    </w:rPr>
  </w:style>
  <w:style w:type="paragraph" w:customStyle="1" w:styleId="63">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4">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5">
    <w:name w:val="标准文件_页眉偶数页"/>
    <w:basedOn w:val="64"/>
    <w:next w:val="1"/>
    <w:qFormat/>
    <w:uiPriority w:val="0"/>
    <w:pPr>
      <w:jc w:val="left"/>
    </w:pPr>
  </w:style>
  <w:style w:type="paragraph" w:customStyle="1" w:styleId="66">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7">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8">
    <w:name w:val="标准文件_二级条标题"/>
    <w:next w:val="59"/>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9">
    <w:name w:val="标准文件_发布"/>
    <w:qFormat/>
    <w:uiPriority w:val="0"/>
    <w:rPr>
      <w:rFonts w:ascii="黑体" w:eastAsia="黑体"/>
      <w:spacing w:val="0"/>
      <w:w w:val="100"/>
      <w:position w:val="3"/>
      <w:sz w:val="28"/>
    </w:rPr>
  </w:style>
  <w:style w:type="paragraph" w:customStyle="1" w:styleId="70">
    <w:name w:val="标准文件_方框数字列项"/>
    <w:basedOn w:val="59"/>
    <w:qFormat/>
    <w:uiPriority w:val="0"/>
    <w:pPr>
      <w:numPr>
        <w:ilvl w:val="0"/>
        <w:numId w:val="3"/>
      </w:numPr>
      <w:ind w:firstLine="0" w:firstLineChars="0"/>
    </w:pPr>
  </w:style>
  <w:style w:type="paragraph" w:customStyle="1" w:styleId="71">
    <w:name w:val="标准文件_封面标准编号"/>
    <w:basedOn w:val="1"/>
    <w:next w:val="62"/>
    <w:qFormat/>
    <w:uiPriority w:val="0"/>
    <w:pPr>
      <w:spacing w:line="310" w:lineRule="exact"/>
      <w:jc w:val="right"/>
    </w:pPr>
    <w:rPr>
      <w:rFonts w:ascii="黑体" w:eastAsia="黑体"/>
      <w:kern w:val="0"/>
      <w:sz w:val="28"/>
    </w:rPr>
  </w:style>
  <w:style w:type="paragraph" w:customStyle="1" w:styleId="72">
    <w:name w:val="标准文件_封面标准分类号"/>
    <w:basedOn w:val="1"/>
    <w:qFormat/>
    <w:uiPriority w:val="0"/>
    <w:rPr>
      <w:rFonts w:ascii="黑体" w:eastAsia="黑体"/>
      <w:b/>
      <w:kern w:val="0"/>
      <w:sz w:val="28"/>
    </w:rPr>
  </w:style>
  <w:style w:type="paragraph" w:customStyle="1" w:styleId="73">
    <w:name w:val="标准文件_封面标准名称"/>
    <w:basedOn w:val="1"/>
    <w:qFormat/>
    <w:uiPriority w:val="0"/>
    <w:pPr>
      <w:spacing w:line="240" w:lineRule="auto"/>
      <w:jc w:val="center"/>
    </w:pPr>
    <w:rPr>
      <w:rFonts w:ascii="黑体" w:eastAsia="黑体"/>
      <w:kern w:val="0"/>
      <w:sz w:val="52"/>
    </w:rPr>
  </w:style>
  <w:style w:type="paragraph" w:customStyle="1" w:styleId="74">
    <w:name w:val="标准文件_封面标准英文名称"/>
    <w:basedOn w:val="1"/>
    <w:qFormat/>
    <w:uiPriority w:val="0"/>
    <w:pPr>
      <w:spacing w:line="240" w:lineRule="auto"/>
      <w:jc w:val="center"/>
    </w:pPr>
    <w:rPr>
      <w:rFonts w:ascii="黑体" w:eastAsia="黑体"/>
      <w:b/>
      <w:sz w:val="28"/>
    </w:rPr>
  </w:style>
  <w:style w:type="paragraph" w:customStyle="1" w:styleId="75">
    <w:name w:val="标准文件_封面发布日期"/>
    <w:basedOn w:val="1"/>
    <w:qFormat/>
    <w:uiPriority w:val="0"/>
    <w:pPr>
      <w:spacing w:line="310" w:lineRule="exact"/>
    </w:pPr>
    <w:rPr>
      <w:rFonts w:ascii="黑体" w:eastAsia="黑体"/>
      <w:kern w:val="0"/>
      <w:sz w:val="28"/>
    </w:rPr>
  </w:style>
  <w:style w:type="paragraph" w:customStyle="1" w:styleId="76">
    <w:name w:val="标准文件_封面密级"/>
    <w:basedOn w:val="1"/>
    <w:qFormat/>
    <w:uiPriority w:val="0"/>
    <w:rPr>
      <w:rFonts w:eastAsia="黑体"/>
      <w:sz w:val="32"/>
    </w:rPr>
  </w:style>
  <w:style w:type="paragraph" w:customStyle="1" w:styleId="77">
    <w:name w:val="标准文件_封面实施日期"/>
    <w:basedOn w:val="1"/>
    <w:qFormat/>
    <w:uiPriority w:val="0"/>
    <w:pPr>
      <w:spacing w:line="310" w:lineRule="exact"/>
      <w:jc w:val="right"/>
    </w:pPr>
    <w:rPr>
      <w:rFonts w:ascii="黑体" w:eastAsia="黑体"/>
      <w:sz w:val="28"/>
    </w:rPr>
  </w:style>
  <w:style w:type="paragraph" w:customStyle="1" w:styleId="78">
    <w:name w:val="标准文件_封面抬头"/>
    <w:basedOn w:val="59"/>
    <w:qFormat/>
    <w:uiPriority w:val="0"/>
    <w:pPr>
      <w:adjustRightInd w:val="0"/>
      <w:spacing w:line="800" w:lineRule="exact"/>
      <w:ind w:firstLine="0" w:firstLineChars="0"/>
      <w:jc w:val="distribute"/>
    </w:pPr>
    <w:rPr>
      <w:rFonts w:ascii="黑体" w:eastAsia="黑体"/>
      <w:b/>
      <w:sz w:val="64"/>
    </w:rPr>
  </w:style>
  <w:style w:type="paragraph" w:customStyle="1" w:styleId="79">
    <w:name w:val="标准文件_附录标识"/>
    <w:next w:val="59"/>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80">
    <w:name w:val="标准文件_附录表标题"/>
    <w:next w:val="59"/>
    <w:qFormat/>
    <w:uiPriority w:val="0"/>
    <w:pPr>
      <w:numPr>
        <w:ilvl w:val="1"/>
        <w:numId w:val="5"/>
      </w:numPr>
      <w:adjustRightInd w:val="0"/>
      <w:snapToGrid w:val="0"/>
      <w:spacing w:before="50" w:beforeLines="50" w:after="50" w:afterLines="50"/>
      <w:ind w:firstLine="420"/>
      <w:jc w:val="center"/>
      <w:textAlignment w:val="baseline"/>
    </w:pPr>
    <w:rPr>
      <w:rFonts w:ascii="黑体" w:hAnsi="Times New Roman" w:eastAsia="黑体" w:cs="Times New Roman"/>
      <w:kern w:val="21"/>
      <w:sz w:val="21"/>
      <w:lang w:val="en-US" w:eastAsia="zh-CN" w:bidi="ar-SA"/>
    </w:rPr>
  </w:style>
  <w:style w:type="paragraph" w:customStyle="1" w:styleId="81">
    <w:name w:val="标准文件_附录一级条标题"/>
    <w:next w:val="59"/>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2">
    <w:name w:val="标准文件_附录二级条标题"/>
    <w:basedOn w:val="81"/>
    <w:next w:val="59"/>
    <w:qFormat/>
    <w:uiPriority w:val="0"/>
    <w:pPr>
      <w:widowControl/>
      <w:numPr>
        <w:ilvl w:val="2"/>
      </w:numPr>
      <w:wordWrap w:val="0"/>
      <w:overflowPunct w:val="0"/>
      <w:autoSpaceDE w:val="0"/>
      <w:autoSpaceDN w:val="0"/>
      <w:textAlignment w:val="baseline"/>
      <w:outlineLvl w:val="3"/>
    </w:pPr>
  </w:style>
  <w:style w:type="paragraph" w:customStyle="1" w:styleId="83">
    <w:name w:val="标准文件_附录公式"/>
    <w:basedOn w:val="58"/>
    <w:next w:val="58"/>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4">
    <w:name w:val="标准文件_附录三级条标题"/>
    <w:next w:val="59"/>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5">
    <w:name w:val="标准文件_附录四级条标题"/>
    <w:next w:val="59"/>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6">
    <w:name w:val="标准文件_附录图标题"/>
    <w:next w:val="59"/>
    <w:qFormat/>
    <w:uiPriority w:val="0"/>
    <w:pPr>
      <w:numPr>
        <w:ilvl w:val="1"/>
        <w:numId w:val="6"/>
      </w:numPr>
      <w:adjustRightInd w:val="0"/>
      <w:snapToGrid w:val="0"/>
      <w:spacing w:before="50" w:beforeLines="50" w:after="50" w:afterLines="50"/>
      <w:ind w:firstLine="420"/>
      <w:jc w:val="center"/>
    </w:pPr>
    <w:rPr>
      <w:rFonts w:ascii="黑体" w:hAnsi="Times New Roman" w:eastAsia="黑体" w:cs="Times New Roman"/>
      <w:sz w:val="21"/>
      <w:lang w:val="en-US" w:eastAsia="zh-CN" w:bidi="ar-SA"/>
    </w:rPr>
  </w:style>
  <w:style w:type="paragraph" w:customStyle="1" w:styleId="87">
    <w:name w:val="标准文件_附录五级条标题"/>
    <w:next w:val="59"/>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8">
    <w:name w:val="标准文件_附录英文标识"/>
    <w:next w:val="14"/>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9">
    <w:name w:val="正文文本 字符"/>
    <w:link w:val="14"/>
    <w:qFormat/>
    <w:uiPriority w:val="0"/>
    <w:rPr>
      <w:rFonts w:ascii="Times New Roman" w:hAnsi="Times New Roman" w:eastAsia="宋体" w:cs="Times New Roman"/>
      <w:szCs w:val="20"/>
    </w:rPr>
  </w:style>
  <w:style w:type="paragraph" w:customStyle="1" w:styleId="90">
    <w:name w:val="标准文件_附录章标题"/>
    <w:next w:val="59"/>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1">
    <w:name w:val="标准文件_公式后的破折号"/>
    <w:basedOn w:val="59"/>
    <w:next w:val="59"/>
    <w:qFormat/>
    <w:uiPriority w:val="0"/>
    <w:pPr>
      <w:ind w:left="488" w:leftChars="200" w:hanging="289" w:hangingChars="290"/>
    </w:pPr>
  </w:style>
  <w:style w:type="paragraph" w:customStyle="1" w:styleId="92">
    <w:name w:val="标准文件_前言、引言标题"/>
    <w:next w:val="1"/>
    <w:qFormat/>
    <w:uiPriority w:val="0"/>
    <w:pPr>
      <w:numPr>
        <w:ilvl w:val="0"/>
        <w:numId w:val="8"/>
      </w:numPr>
      <w:shd w:val="clear" w:color="FFFFFF" w:fill="FFFFFF"/>
      <w:spacing w:before="480" w:after="150" w:afterLines="150"/>
      <w:ind w:left="0" w:firstLine="0"/>
      <w:jc w:val="center"/>
      <w:outlineLvl w:val="0"/>
    </w:pPr>
    <w:rPr>
      <w:rFonts w:ascii="黑体" w:hAnsi="Times New Roman" w:eastAsia="黑体" w:cs="Times New Roman"/>
      <w:sz w:val="32"/>
      <w:lang w:val="en-US" w:eastAsia="zh-CN" w:bidi="ar-SA"/>
    </w:rPr>
  </w:style>
  <w:style w:type="paragraph" w:customStyle="1" w:styleId="93">
    <w:name w:val="标准文件_目次、标准名称标题"/>
    <w:basedOn w:val="92"/>
    <w:next w:val="59"/>
    <w:qFormat/>
    <w:uiPriority w:val="0"/>
    <w:pPr>
      <w:spacing w:line="460" w:lineRule="exact"/>
    </w:pPr>
  </w:style>
  <w:style w:type="paragraph" w:customStyle="1" w:styleId="94">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5">
    <w:name w:val="标准文件_破折号列项"/>
    <w:qFormat/>
    <w:uiPriority w:val="0"/>
    <w:pPr>
      <w:numPr>
        <w:ilvl w:val="0"/>
        <w:numId w:val="9"/>
      </w:numPr>
      <w:adjustRightInd w:val="0"/>
      <w:snapToGrid w:val="0"/>
      <w:ind w:left="0" w:firstLine="200" w:firstLineChars="200"/>
    </w:pPr>
    <w:rPr>
      <w:rFonts w:ascii="Times New Roman" w:hAnsi="Times New Roman" w:eastAsia="宋体" w:cs="Times New Roman"/>
      <w:sz w:val="21"/>
      <w:lang w:val="en-US" w:eastAsia="zh-CN" w:bidi="ar-SA"/>
    </w:rPr>
  </w:style>
  <w:style w:type="paragraph" w:customStyle="1" w:styleId="96">
    <w:name w:val="标准文件_破折号列项（二级）"/>
    <w:basedOn w:val="95"/>
    <w:qFormat/>
    <w:uiPriority w:val="0"/>
    <w:pPr>
      <w:numPr>
        <w:numId w:val="10"/>
      </w:numPr>
      <w:ind w:left="0" w:firstLine="200"/>
    </w:pPr>
  </w:style>
  <w:style w:type="paragraph" w:customStyle="1" w:styleId="97">
    <w:name w:val="标准文件_三级条标题"/>
    <w:basedOn w:val="68"/>
    <w:next w:val="59"/>
    <w:qFormat/>
    <w:uiPriority w:val="0"/>
    <w:pPr>
      <w:widowControl/>
      <w:numPr>
        <w:ilvl w:val="4"/>
      </w:numPr>
      <w:outlineLvl w:val="3"/>
    </w:pPr>
  </w:style>
  <w:style w:type="character" w:customStyle="1" w:styleId="98">
    <w:name w:val="不明显参考1"/>
    <w:qFormat/>
    <w:uiPriority w:val="31"/>
    <w:rPr>
      <w:smallCaps/>
      <w:color w:val="C0504D"/>
      <w:u w:val="single"/>
    </w:rPr>
  </w:style>
  <w:style w:type="paragraph" w:customStyle="1" w:styleId="99">
    <w:name w:val="标准文件_示例后续"/>
    <w:basedOn w:val="1"/>
    <w:qFormat/>
    <w:uiPriority w:val="0"/>
    <w:pPr>
      <w:adjustRightInd/>
      <w:spacing w:line="240" w:lineRule="auto"/>
      <w:ind w:firstLine="200" w:firstLineChars="200"/>
    </w:pPr>
    <w:rPr>
      <w:sz w:val="18"/>
      <w:szCs w:val="24"/>
    </w:rPr>
  </w:style>
  <w:style w:type="paragraph" w:customStyle="1" w:styleId="100">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1">
    <w:name w:val="标准文件_四级条标题"/>
    <w:next w:val="59"/>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2">
    <w:name w:val="脚注文本 字符"/>
    <w:link w:val="22"/>
    <w:semiHidden/>
    <w:qFormat/>
    <w:uiPriority w:val="0"/>
    <w:rPr>
      <w:rFonts w:ascii="宋体" w:hAnsi="Times New Roman" w:eastAsia="宋体" w:cs="Times New Roman"/>
      <w:sz w:val="18"/>
      <w:szCs w:val="18"/>
    </w:rPr>
  </w:style>
  <w:style w:type="paragraph" w:customStyle="1" w:styleId="103">
    <w:name w:val="标准文件_条文脚注"/>
    <w:basedOn w:val="22"/>
    <w:qFormat/>
    <w:uiPriority w:val="0"/>
    <w:pPr>
      <w:adjustRightInd w:val="0"/>
      <w:spacing w:line="240" w:lineRule="auto"/>
      <w:ind w:left="0" w:leftChars="0" w:firstLine="200" w:firstLineChars="200"/>
      <w:jc w:val="both"/>
    </w:pPr>
    <w:rPr>
      <w:rFonts w:hAnsi="宋体"/>
    </w:rPr>
  </w:style>
  <w:style w:type="paragraph" w:customStyle="1" w:styleId="104">
    <w:name w:val="标准文件_图表脚注"/>
    <w:basedOn w:val="1"/>
    <w:next w:val="59"/>
    <w:qFormat/>
    <w:uiPriority w:val="0"/>
    <w:pPr>
      <w:numPr>
        <w:ilvl w:val="0"/>
        <w:numId w:val="12"/>
      </w:numPr>
      <w:spacing w:line="240" w:lineRule="auto"/>
      <w:jc w:val="left"/>
    </w:pPr>
    <w:rPr>
      <w:rFonts w:ascii="宋体" w:hAnsi="宋体"/>
      <w:sz w:val="18"/>
    </w:rPr>
  </w:style>
  <w:style w:type="character" w:customStyle="1" w:styleId="105">
    <w:name w:val="标准文件_图表脚注内容"/>
    <w:qFormat/>
    <w:uiPriority w:val="0"/>
    <w:rPr>
      <w:rFonts w:ascii="宋体" w:hAnsi="宋体" w:eastAsia="宋体" w:cs="Times New Roman"/>
      <w:spacing w:val="0"/>
      <w:sz w:val="18"/>
      <w:vertAlign w:val="superscript"/>
    </w:rPr>
  </w:style>
  <w:style w:type="paragraph" w:customStyle="1" w:styleId="106">
    <w:name w:val="标准文件_五级条标题"/>
    <w:next w:val="59"/>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7">
    <w:name w:val="标准文件_章标题"/>
    <w:next w:val="59"/>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8">
    <w:name w:val="标准文件_一级条标题"/>
    <w:basedOn w:val="107"/>
    <w:next w:val="59"/>
    <w:qFormat/>
    <w:uiPriority w:val="0"/>
    <w:pPr>
      <w:numPr>
        <w:ilvl w:val="2"/>
      </w:numPr>
      <w:spacing w:before="50" w:beforeLines="50" w:after="50" w:afterLines="50"/>
      <w:outlineLvl w:val="1"/>
    </w:pPr>
  </w:style>
  <w:style w:type="paragraph" w:customStyle="1" w:styleId="109">
    <w:name w:val="标准文件_一致程度"/>
    <w:basedOn w:val="1"/>
    <w:qFormat/>
    <w:uiPriority w:val="0"/>
    <w:pPr>
      <w:spacing w:line="440" w:lineRule="exact"/>
      <w:jc w:val="center"/>
    </w:pPr>
    <w:rPr>
      <w:sz w:val="28"/>
    </w:rPr>
  </w:style>
  <w:style w:type="paragraph" w:customStyle="1" w:styleId="110">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1">
    <w:name w:val="标准文件_英文图表脚注"/>
    <w:basedOn w:val="58"/>
    <w:qFormat/>
    <w:uiPriority w:val="0"/>
    <w:pPr>
      <w:widowControl/>
      <w:adjustRightInd/>
      <w:snapToGrid/>
      <w:spacing w:line="240" w:lineRule="auto"/>
      <w:ind w:left="79" w:hanging="79" w:hangingChars="80"/>
    </w:pPr>
    <w:rPr>
      <w:rFonts w:ascii="宋体" w:hAnsi="宋体"/>
    </w:rPr>
  </w:style>
  <w:style w:type="paragraph" w:customStyle="1" w:styleId="112">
    <w:name w:val="标准文件_数字编号列项（二级）"/>
    <w:qFormat/>
    <w:uiPriority w:val="0"/>
    <w:pPr>
      <w:numPr>
        <w:ilvl w:val="1"/>
        <w:numId w:val="13"/>
      </w:numPr>
      <w:tabs>
        <w:tab w:val="left" w:pos="851"/>
      </w:tabs>
      <w:jc w:val="both"/>
    </w:pPr>
    <w:rPr>
      <w:rFonts w:ascii="宋体" w:hAnsi="Times New Roman" w:eastAsia="宋体" w:cs="Times New Roman"/>
      <w:sz w:val="21"/>
      <w:lang w:val="en-US" w:eastAsia="zh-CN" w:bidi="ar-SA"/>
    </w:rPr>
  </w:style>
  <w:style w:type="paragraph" w:customStyle="1" w:styleId="113">
    <w:name w:val="标准文件_英文注："/>
    <w:basedOn w:val="1"/>
    <w:next w:val="59"/>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4">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5">
    <w:name w:val="标准文件_正文表标题"/>
    <w:next w:val="59"/>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6">
    <w:name w:val="标准文件_正文公式"/>
    <w:basedOn w:val="1"/>
    <w:next w:val="58"/>
    <w:qFormat/>
    <w:uiPriority w:val="0"/>
    <w:pPr>
      <w:tabs>
        <w:tab w:val="center" w:pos="4678"/>
        <w:tab w:val="right" w:leader="middleDot" w:pos="9356"/>
      </w:tabs>
      <w:spacing w:line="240" w:lineRule="auto"/>
    </w:pPr>
    <w:rPr>
      <w:rFonts w:ascii="宋体" w:hAnsi="宋体"/>
    </w:rPr>
  </w:style>
  <w:style w:type="paragraph" w:customStyle="1" w:styleId="117">
    <w:name w:val="标准文件_正文图标题"/>
    <w:next w:val="59"/>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8">
    <w:name w:val="标准文件_正文英文表标题"/>
    <w:next w:val="59"/>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9">
    <w:name w:val="标准文件_正文英文图标题"/>
    <w:next w:val="59"/>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0">
    <w:name w:val="标准文件_编号列项（三级）"/>
    <w:qFormat/>
    <w:uiPriority w:val="0"/>
    <w:pPr>
      <w:numPr>
        <w:ilvl w:val="2"/>
        <w:numId w:val="13"/>
      </w:numPr>
      <w:tabs>
        <w:tab w:val="left" w:pos="851"/>
      </w:tabs>
    </w:pPr>
    <w:rPr>
      <w:rFonts w:ascii="宋体" w:hAnsi="Times New Roman" w:eastAsia="宋体" w:cs="Times New Roman"/>
      <w:sz w:val="21"/>
      <w:lang w:val="en-US" w:eastAsia="zh-CN" w:bidi="ar-SA"/>
    </w:rPr>
  </w:style>
  <w:style w:type="paragraph" w:customStyle="1" w:styleId="121">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2">
    <w:name w:val="发布部门"/>
    <w:next w:val="59"/>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3">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4">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5">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6">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7">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8">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9">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0">
    <w:name w:val="封面正文"/>
    <w:qFormat/>
    <w:uiPriority w:val="0"/>
    <w:pPr>
      <w:jc w:val="both"/>
    </w:pPr>
    <w:rPr>
      <w:rFonts w:ascii="Times New Roman" w:hAnsi="Times New Roman" w:eastAsia="宋体" w:cs="Times New Roman"/>
      <w:lang w:val="en-US" w:eastAsia="zh-CN" w:bidi="ar-SA"/>
    </w:rPr>
  </w:style>
  <w:style w:type="paragraph" w:customStyle="1" w:styleId="131">
    <w:name w:val="附录二级无标题条"/>
    <w:basedOn w:val="1"/>
    <w:next w:val="59"/>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2">
    <w:name w:val="附录三级无标题条"/>
    <w:basedOn w:val="131"/>
    <w:next w:val="59"/>
    <w:qFormat/>
    <w:uiPriority w:val="0"/>
    <w:pPr>
      <w:outlineLvl w:val="4"/>
    </w:pPr>
  </w:style>
  <w:style w:type="paragraph" w:customStyle="1" w:styleId="133">
    <w:name w:val="附录四级无标题条"/>
    <w:basedOn w:val="132"/>
    <w:next w:val="59"/>
    <w:qFormat/>
    <w:uiPriority w:val="0"/>
    <w:pPr>
      <w:outlineLvl w:val="5"/>
    </w:pPr>
  </w:style>
  <w:style w:type="paragraph" w:customStyle="1" w:styleId="134">
    <w:name w:val="附录图"/>
    <w:next w:val="59"/>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5">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6">
    <w:name w:val="附录五级无标题条"/>
    <w:basedOn w:val="133"/>
    <w:next w:val="59"/>
    <w:qFormat/>
    <w:uiPriority w:val="0"/>
    <w:pPr>
      <w:outlineLvl w:val="6"/>
    </w:pPr>
  </w:style>
  <w:style w:type="paragraph" w:customStyle="1" w:styleId="137">
    <w:name w:val="附录性质"/>
    <w:basedOn w:val="1"/>
    <w:qFormat/>
    <w:uiPriority w:val="0"/>
    <w:pPr>
      <w:widowControl/>
      <w:adjustRightInd/>
      <w:jc w:val="center"/>
    </w:pPr>
    <w:rPr>
      <w:rFonts w:ascii="黑体" w:eastAsia="黑体"/>
    </w:rPr>
  </w:style>
  <w:style w:type="paragraph" w:customStyle="1" w:styleId="138">
    <w:name w:val="附录一级无标题条"/>
    <w:basedOn w:val="90"/>
    <w:next w:val="59"/>
    <w:qFormat/>
    <w:uiPriority w:val="0"/>
    <w:pPr>
      <w:autoSpaceDN w:val="0"/>
      <w:outlineLvl w:val="2"/>
    </w:pPr>
    <w:rPr>
      <w:rFonts w:ascii="宋体" w:hAnsi="宋体" w:eastAsia="宋体"/>
    </w:rPr>
  </w:style>
  <w:style w:type="character" w:customStyle="1" w:styleId="139">
    <w:name w:val="个人答复风格"/>
    <w:qFormat/>
    <w:uiPriority w:val="0"/>
    <w:rPr>
      <w:rFonts w:ascii="Arial" w:hAnsi="Arial" w:eastAsia="宋体" w:cs="Arial"/>
      <w:color w:val="auto"/>
      <w:spacing w:val="0"/>
      <w:sz w:val="20"/>
    </w:rPr>
  </w:style>
  <w:style w:type="character" w:customStyle="1" w:styleId="140">
    <w:name w:val="个人撰写风格"/>
    <w:qFormat/>
    <w:uiPriority w:val="0"/>
    <w:rPr>
      <w:rFonts w:ascii="Arial" w:hAnsi="Arial" w:eastAsia="宋体" w:cs="Arial"/>
      <w:color w:val="auto"/>
      <w:spacing w:val="0"/>
      <w:sz w:val="20"/>
    </w:rPr>
  </w:style>
  <w:style w:type="paragraph" w:customStyle="1" w:styleId="141">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2">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3">
    <w:name w:val="列项·"/>
    <w:basedOn w:val="59"/>
    <w:qFormat/>
    <w:uiPriority w:val="0"/>
    <w:pPr>
      <w:tabs>
        <w:tab w:val="left" w:pos="840"/>
      </w:tabs>
    </w:pPr>
  </w:style>
  <w:style w:type="paragraph" w:customStyle="1" w:styleId="144">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5">
    <w:name w:val="目录 21"/>
    <w:basedOn w:val="1"/>
    <w:next w:val="1"/>
    <w:autoRedefine/>
    <w:semiHidden/>
    <w:qFormat/>
    <w:uiPriority w:val="0"/>
    <w:pPr>
      <w:adjustRightInd/>
      <w:spacing w:line="240" w:lineRule="auto"/>
      <w:jc w:val="left"/>
    </w:pPr>
    <w:rPr>
      <w:bCs/>
      <w:iCs/>
    </w:rPr>
  </w:style>
  <w:style w:type="paragraph" w:customStyle="1" w:styleId="146">
    <w:name w:val="目录 31"/>
    <w:basedOn w:val="1"/>
    <w:next w:val="1"/>
    <w:autoRedefine/>
    <w:semiHidden/>
    <w:qFormat/>
    <w:uiPriority w:val="0"/>
    <w:pPr>
      <w:spacing w:line="240" w:lineRule="auto"/>
    </w:pPr>
    <w:rPr>
      <w:rFonts w:ascii="宋体" w:hAnsi="宋体"/>
      <w:iCs/>
    </w:rPr>
  </w:style>
  <w:style w:type="paragraph" w:customStyle="1" w:styleId="147">
    <w:name w:val="目录 41"/>
    <w:basedOn w:val="1"/>
    <w:next w:val="1"/>
    <w:autoRedefine/>
    <w:semiHidden/>
    <w:qFormat/>
    <w:uiPriority w:val="0"/>
    <w:pPr>
      <w:adjustRightInd/>
      <w:spacing w:line="240" w:lineRule="auto"/>
      <w:jc w:val="left"/>
    </w:pPr>
  </w:style>
  <w:style w:type="paragraph" w:customStyle="1" w:styleId="148">
    <w:name w:val="目录 51"/>
    <w:basedOn w:val="1"/>
    <w:next w:val="1"/>
    <w:autoRedefine/>
    <w:semiHidden/>
    <w:qFormat/>
    <w:uiPriority w:val="0"/>
    <w:pPr>
      <w:spacing w:line="240" w:lineRule="auto"/>
    </w:pPr>
    <w:rPr>
      <w:rFonts w:ascii="宋体" w:hAnsi="宋体"/>
    </w:rPr>
  </w:style>
  <w:style w:type="paragraph" w:customStyle="1" w:styleId="149">
    <w:name w:val="目录 61"/>
    <w:basedOn w:val="1"/>
    <w:next w:val="1"/>
    <w:autoRedefine/>
    <w:semiHidden/>
    <w:qFormat/>
    <w:uiPriority w:val="0"/>
    <w:pPr>
      <w:adjustRightInd/>
      <w:spacing w:line="240" w:lineRule="auto"/>
      <w:jc w:val="left"/>
    </w:pPr>
  </w:style>
  <w:style w:type="paragraph" w:customStyle="1" w:styleId="150">
    <w:name w:val="目录 71"/>
    <w:basedOn w:val="149"/>
    <w:autoRedefine/>
    <w:semiHidden/>
    <w:qFormat/>
    <w:uiPriority w:val="0"/>
    <w:pPr>
      <w:ind w:left="1260"/>
    </w:pPr>
  </w:style>
  <w:style w:type="paragraph" w:customStyle="1" w:styleId="151">
    <w:name w:val="目录 81"/>
    <w:basedOn w:val="150"/>
    <w:autoRedefine/>
    <w:semiHidden/>
    <w:qFormat/>
    <w:uiPriority w:val="0"/>
    <w:pPr>
      <w:ind w:left="1470"/>
    </w:pPr>
  </w:style>
  <w:style w:type="paragraph" w:customStyle="1" w:styleId="152">
    <w:name w:val="目录 91"/>
    <w:basedOn w:val="151"/>
    <w:autoRedefine/>
    <w:semiHidden/>
    <w:qFormat/>
    <w:uiPriority w:val="0"/>
    <w:pPr>
      <w:ind w:left="1680"/>
    </w:pPr>
  </w:style>
  <w:style w:type="paragraph" w:customStyle="1" w:styleId="153">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4">
    <w:name w:val="其他发布部门"/>
    <w:basedOn w:val="122"/>
    <w:qFormat/>
    <w:uiPriority w:val="0"/>
    <w:pPr>
      <w:framePr w:wrap="around"/>
      <w:spacing w:line="0" w:lineRule="atLeast"/>
    </w:pPr>
    <w:rPr>
      <w:rFonts w:ascii="黑体" w:eastAsia="黑体"/>
      <w:b w:val="0"/>
    </w:rPr>
  </w:style>
  <w:style w:type="paragraph" w:customStyle="1" w:styleId="155">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6">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7">
    <w:name w:val="实施日期"/>
    <w:basedOn w:val="123"/>
    <w:qFormat/>
    <w:uiPriority w:val="0"/>
    <w:pPr>
      <w:framePr w:hSpace="0" w:wrap="around" w:xAlign="right"/>
      <w:jc w:val="right"/>
    </w:pPr>
  </w:style>
  <w:style w:type="paragraph" w:customStyle="1" w:styleId="158">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9">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0">
    <w:name w:val="无标题条"/>
    <w:next w:val="59"/>
    <w:qFormat/>
    <w:uiPriority w:val="0"/>
    <w:pPr>
      <w:jc w:val="both"/>
    </w:pPr>
    <w:rPr>
      <w:rFonts w:ascii="宋体" w:hAnsi="宋体" w:eastAsia="宋体" w:cs="Times New Roman"/>
      <w:sz w:val="21"/>
      <w:lang w:val="en-US" w:eastAsia="zh-CN" w:bidi="ar-SA"/>
    </w:rPr>
  </w:style>
  <w:style w:type="paragraph" w:customStyle="1" w:styleId="161">
    <w:name w:val="五级无标题条"/>
    <w:basedOn w:val="1"/>
    <w:qFormat/>
    <w:uiPriority w:val="0"/>
    <w:pPr>
      <w:numPr>
        <w:ilvl w:val="6"/>
        <w:numId w:val="20"/>
      </w:numPr>
      <w:adjustRightInd/>
    </w:pPr>
    <w:rPr>
      <w:szCs w:val="24"/>
    </w:rPr>
  </w:style>
  <w:style w:type="paragraph" w:customStyle="1" w:styleId="162">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3">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4">
    <w:name w:val="注×:后续"/>
    <w:basedOn w:val="163"/>
    <w:qFormat/>
    <w:uiPriority w:val="0"/>
    <w:pPr>
      <w:ind w:left="1406" w:leftChars="0" w:hanging="499" w:firstLineChars="0"/>
    </w:pPr>
  </w:style>
  <w:style w:type="paragraph" w:customStyle="1" w:styleId="165">
    <w:name w:val="标准文件_一级无标题"/>
    <w:basedOn w:val="108"/>
    <w:qFormat/>
    <w:uiPriority w:val="0"/>
    <w:pPr>
      <w:spacing w:before="0" w:beforeLines="0" w:after="0" w:afterLines="0"/>
      <w:outlineLvl w:val="9"/>
    </w:pPr>
    <w:rPr>
      <w:rFonts w:ascii="宋体" w:eastAsia="宋体"/>
    </w:rPr>
  </w:style>
  <w:style w:type="paragraph" w:customStyle="1" w:styleId="166">
    <w:name w:val="标准文件_五级无标题"/>
    <w:basedOn w:val="106"/>
    <w:qFormat/>
    <w:uiPriority w:val="0"/>
    <w:pPr>
      <w:spacing w:before="0" w:beforeLines="0" w:after="0" w:afterLines="0"/>
      <w:outlineLvl w:val="9"/>
    </w:pPr>
    <w:rPr>
      <w:rFonts w:ascii="宋体" w:eastAsia="宋体"/>
    </w:rPr>
  </w:style>
  <w:style w:type="paragraph" w:customStyle="1" w:styleId="167">
    <w:name w:val="标准文件_三级无标题"/>
    <w:basedOn w:val="97"/>
    <w:qFormat/>
    <w:uiPriority w:val="0"/>
    <w:pPr>
      <w:spacing w:before="0" w:beforeLines="0" w:after="0" w:afterLines="0"/>
      <w:outlineLvl w:val="9"/>
    </w:pPr>
    <w:rPr>
      <w:rFonts w:ascii="宋体" w:eastAsia="宋体"/>
    </w:rPr>
  </w:style>
  <w:style w:type="paragraph" w:customStyle="1" w:styleId="168">
    <w:name w:val="标准文件_二级无标题"/>
    <w:basedOn w:val="68"/>
    <w:qFormat/>
    <w:uiPriority w:val="0"/>
    <w:pPr>
      <w:spacing w:before="0" w:beforeLines="0" w:after="0" w:afterLines="0"/>
      <w:outlineLvl w:val="9"/>
    </w:pPr>
    <w:rPr>
      <w:rFonts w:ascii="宋体" w:eastAsia="宋体"/>
    </w:rPr>
  </w:style>
  <w:style w:type="paragraph" w:customStyle="1" w:styleId="169">
    <w:name w:val="标准_四级无标题"/>
    <w:basedOn w:val="101"/>
    <w:next w:val="59"/>
    <w:qFormat/>
    <w:uiPriority w:val="0"/>
    <w:rPr>
      <w:rFonts w:eastAsia="宋体"/>
    </w:rPr>
  </w:style>
  <w:style w:type="paragraph" w:customStyle="1" w:styleId="170">
    <w:name w:val="标准文件_四级无标题"/>
    <w:basedOn w:val="101"/>
    <w:qFormat/>
    <w:uiPriority w:val="0"/>
    <w:pPr>
      <w:spacing w:before="0" w:beforeLines="0" w:after="0" w:afterLines="0"/>
      <w:outlineLvl w:val="9"/>
    </w:pPr>
    <w:rPr>
      <w:rFonts w:ascii="宋体" w:hAnsi="黑体" w:eastAsia="宋体"/>
      <w:szCs w:val="52"/>
    </w:rPr>
  </w:style>
  <w:style w:type="paragraph" w:customStyle="1" w:styleId="171">
    <w:name w:val="标准文件_大写罗马数字编号列项"/>
    <w:basedOn w:val="59"/>
    <w:qFormat/>
    <w:uiPriority w:val="0"/>
    <w:pPr>
      <w:numPr>
        <w:ilvl w:val="0"/>
        <w:numId w:val="23"/>
      </w:numPr>
      <w:ind w:firstLine="0" w:firstLineChars="0"/>
    </w:pPr>
    <w:rPr>
      <w:rFonts w:ascii="Times New Roman" w:cs="Arial"/>
      <w:szCs w:val="28"/>
    </w:rPr>
  </w:style>
  <w:style w:type="paragraph" w:customStyle="1" w:styleId="172">
    <w:name w:val="标准文件_小写罗马数字编号列项"/>
    <w:basedOn w:val="59"/>
    <w:qFormat/>
    <w:uiPriority w:val="0"/>
    <w:pPr>
      <w:numPr>
        <w:ilvl w:val="0"/>
        <w:numId w:val="24"/>
      </w:numPr>
      <w:ind w:firstLine="0" w:firstLineChars="0"/>
    </w:pPr>
    <w:rPr>
      <w:rFonts w:cs="Arial"/>
      <w:szCs w:val="28"/>
    </w:rPr>
  </w:style>
  <w:style w:type="paragraph" w:customStyle="1" w:styleId="173">
    <w:name w:val="标准文件_附录标题"/>
    <w:basedOn w:val="79"/>
    <w:qFormat/>
    <w:uiPriority w:val="0"/>
    <w:pPr>
      <w:numPr>
        <w:numId w:val="0"/>
      </w:numPr>
      <w:spacing w:after="280"/>
      <w:outlineLvl w:val="9"/>
    </w:pPr>
  </w:style>
  <w:style w:type="paragraph" w:customStyle="1" w:styleId="174">
    <w:name w:val="标准文件_二级项"/>
    <w:qFormat/>
    <w:uiPriority w:val="0"/>
    <w:rPr>
      <w:rFonts w:ascii="宋体" w:hAnsi="Times New Roman" w:eastAsia="宋体" w:cs="Times New Roman"/>
      <w:sz w:val="21"/>
      <w:lang w:val="en-US" w:eastAsia="zh-CN" w:bidi="ar-SA"/>
    </w:rPr>
  </w:style>
  <w:style w:type="paragraph" w:customStyle="1" w:styleId="175">
    <w:name w:val="标准文件_三级项"/>
    <w:basedOn w:val="1"/>
    <w:qFormat/>
    <w:uiPriority w:val="0"/>
    <w:pPr>
      <w:numPr>
        <w:ilvl w:val="2"/>
        <w:numId w:val="21"/>
      </w:numPr>
      <w:spacing w:line="536870612" w:lineRule="auto"/>
    </w:pPr>
    <w:rPr>
      <w:rFonts w:ascii="Times New Roman" w:hAnsi="Times New Roman"/>
    </w:rPr>
  </w:style>
  <w:style w:type="paragraph" w:customStyle="1" w:styleId="176">
    <w:name w:val="图表脚注说明"/>
    <w:basedOn w:val="1"/>
    <w:next w:val="59"/>
    <w:qFormat/>
    <w:uiPriority w:val="0"/>
    <w:pPr>
      <w:numPr>
        <w:ilvl w:val="0"/>
        <w:numId w:val="25"/>
      </w:numPr>
      <w:adjustRightInd/>
      <w:spacing w:line="240" w:lineRule="auto"/>
      <w:ind w:left="783"/>
    </w:pPr>
    <w:rPr>
      <w:rFonts w:ascii="宋体" w:hAnsi="Times New Roman"/>
      <w:sz w:val="18"/>
      <w:szCs w:val="18"/>
    </w:rPr>
  </w:style>
  <w:style w:type="paragraph" w:customStyle="1" w:styleId="177">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8">
    <w:name w:val="标准文件_索引字母"/>
    <w:next w:val="59"/>
    <w:qFormat/>
    <w:uiPriority w:val="0"/>
    <w:pPr>
      <w:jc w:val="center"/>
    </w:pPr>
    <w:rPr>
      <w:rFonts w:ascii="宋体" w:hAnsi="宋体" w:eastAsia="Times New Roman" w:cs="Times New Roman"/>
      <w:b/>
      <w:kern w:val="2"/>
      <w:sz w:val="21"/>
      <w:lang w:val="en-US" w:eastAsia="zh-CN" w:bidi="ar-SA"/>
    </w:rPr>
  </w:style>
  <w:style w:type="paragraph" w:customStyle="1" w:styleId="179">
    <w:name w:val="标准文件_附录前"/>
    <w:next w:val="59"/>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0">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1">
    <w:name w:val="标准文件_表格"/>
    <w:basedOn w:val="59"/>
    <w:qFormat/>
    <w:uiPriority w:val="0"/>
    <w:pPr>
      <w:ind w:firstLine="0" w:firstLineChars="0"/>
      <w:jc w:val="center"/>
    </w:pPr>
    <w:rPr>
      <w:sz w:val="18"/>
    </w:rPr>
  </w:style>
  <w:style w:type="paragraph" w:customStyle="1" w:styleId="182">
    <w:name w:val="标准文件_注："/>
    <w:next w:val="59"/>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3">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4">
    <w:name w:val="标准文件_示例："/>
    <w:next w:val="185"/>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5">
    <w:name w:val="标准文件_示例内容"/>
    <w:basedOn w:val="59"/>
    <w:qFormat/>
    <w:uiPriority w:val="0"/>
    <w:pPr>
      <w:ind w:firstLine="420"/>
    </w:pPr>
    <w:rPr>
      <w:sz w:val="18"/>
    </w:rPr>
  </w:style>
  <w:style w:type="paragraph" w:customStyle="1" w:styleId="186">
    <w:name w:val="标准文件_示例×："/>
    <w:basedOn w:val="1"/>
    <w:next w:val="185"/>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7">
    <w:name w:val="标准文件_段 Char"/>
    <w:link w:val="59"/>
    <w:qFormat/>
    <w:uiPriority w:val="0"/>
    <w:rPr>
      <w:rFonts w:ascii="宋体" w:hAnsi="Times New Roman"/>
      <w:sz w:val="21"/>
    </w:rPr>
  </w:style>
  <w:style w:type="paragraph" w:customStyle="1" w:styleId="188">
    <w:name w:val="标准文件_表格续"/>
    <w:basedOn w:val="59"/>
    <w:next w:val="59"/>
    <w:qFormat/>
    <w:uiPriority w:val="0"/>
    <w:pPr>
      <w:jc w:val="center"/>
    </w:pPr>
    <w:rPr>
      <w:rFonts w:ascii="黑体" w:hAnsi="黑体" w:eastAsia="黑体"/>
    </w:rPr>
  </w:style>
  <w:style w:type="character" w:styleId="189">
    <w:name w:val="Placeholder Text"/>
    <w:basedOn w:val="29"/>
    <w:semiHidden/>
    <w:qFormat/>
    <w:uiPriority w:val="99"/>
    <w:rPr>
      <w:color w:val="808080"/>
    </w:rPr>
  </w:style>
  <w:style w:type="paragraph" w:customStyle="1" w:styleId="190">
    <w:name w:val="标准文件_二级项2"/>
    <w:basedOn w:val="59"/>
    <w:qFormat/>
    <w:uiPriority w:val="0"/>
    <w:pPr>
      <w:numPr>
        <w:ilvl w:val="1"/>
        <w:numId w:val="21"/>
      </w:numPr>
      <w:ind w:left="1271" w:hanging="420" w:firstLineChars="0"/>
    </w:pPr>
  </w:style>
  <w:style w:type="paragraph" w:customStyle="1" w:styleId="191">
    <w:name w:val="标准文件_三级项2"/>
    <w:basedOn w:val="59"/>
    <w:qFormat/>
    <w:uiPriority w:val="0"/>
    <w:pPr>
      <w:numPr>
        <w:ilvl w:val="0"/>
        <w:numId w:val="30"/>
      </w:numPr>
      <w:spacing w:line="300" w:lineRule="exact"/>
      <w:ind w:left="1276" w:hanging="425" w:firstLineChars="0"/>
    </w:pPr>
    <w:rPr>
      <w:rFonts w:ascii="Times New Roman"/>
    </w:rPr>
  </w:style>
  <w:style w:type="paragraph" w:customStyle="1" w:styleId="192">
    <w:name w:val="标准文件_一级项2"/>
    <w:basedOn w:val="59"/>
    <w:qFormat/>
    <w:uiPriority w:val="0"/>
    <w:pPr>
      <w:numPr>
        <w:ilvl w:val="0"/>
        <w:numId w:val="31"/>
      </w:numPr>
      <w:spacing w:line="300" w:lineRule="exact"/>
      <w:ind w:left="1271" w:hanging="420" w:firstLineChars="0"/>
    </w:pPr>
    <w:rPr>
      <w:rFonts w:ascii="Times New Roman"/>
    </w:rPr>
  </w:style>
  <w:style w:type="paragraph" w:customStyle="1" w:styleId="193">
    <w:name w:val="标准文件_提示"/>
    <w:basedOn w:val="59"/>
    <w:next w:val="59"/>
    <w:qFormat/>
    <w:uiPriority w:val="0"/>
    <w:pPr>
      <w:ind w:firstLine="420"/>
    </w:pPr>
    <w:rPr>
      <w:rFonts w:ascii="黑体" w:eastAsia="黑体"/>
    </w:rPr>
  </w:style>
  <w:style w:type="character" w:customStyle="1" w:styleId="194">
    <w:name w:val="标准文件_来源"/>
    <w:basedOn w:val="29"/>
    <w:qFormat/>
    <w:uiPriority w:val="1"/>
    <w:rPr>
      <w:rFonts w:eastAsia="宋体"/>
      <w:sz w:val="21"/>
    </w:rPr>
  </w:style>
  <w:style w:type="paragraph" w:customStyle="1" w:styleId="195">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6">
    <w:name w:val="其他发布日期"/>
    <w:basedOn w:val="123"/>
    <w:qFormat/>
    <w:uiPriority w:val="0"/>
    <w:pPr>
      <w:framePr w:w="3997" w:h="471" w:hRule="exact" w:hSpace="0" w:vSpace="181" w:wrap="around" w:vAnchor="page" w:hAnchor="page" w:x="1419" w:y="14097"/>
    </w:pPr>
  </w:style>
  <w:style w:type="paragraph" w:customStyle="1" w:styleId="197">
    <w:name w:val="其他实施日期"/>
    <w:basedOn w:val="157"/>
    <w:qFormat/>
    <w:uiPriority w:val="0"/>
    <w:pPr>
      <w:framePr w:w="3997" w:h="471" w:hRule="exact" w:vSpace="181" w:wrap="around" w:vAnchor="page" w:hAnchor="page" w:x="7089" w:y="14097"/>
    </w:pPr>
  </w:style>
  <w:style w:type="paragraph" w:customStyle="1" w:styleId="198">
    <w:name w:val="标准文件_文件编号"/>
    <w:basedOn w:val="59"/>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9">
    <w:name w:val="标准文件_替换文件编号"/>
    <w:basedOn w:val="198"/>
    <w:qFormat/>
    <w:uiPriority w:val="0"/>
    <w:pPr>
      <w:spacing w:before="57"/>
    </w:pPr>
    <w:rPr>
      <w:sz w:val="21"/>
    </w:rPr>
  </w:style>
  <w:style w:type="paragraph" w:customStyle="1" w:styleId="200">
    <w:name w:val="标准文件_文件名称"/>
    <w:basedOn w:val="59"/>
    <w:next w:val="59"/>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1">
    <w:name w:val="标准文件_附录图标号"/>
    <w:basedOn w:val="59"/>
    <w:next w:val="59"/>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2">
    <w:name w:val="标准文件_附录表标号"/>
    <w:basedOn w:val="59"/>
    <w:next w:val="59"/>
    <w:qFormat/>
    <w:uiPriority w:val="0"/>
    <w:pPr>
      <w:numPr>
        <w:ilvl w:val="0"/>
        <w:numId w:val="5"/>
      </w:numPr>
      <w:spacing w:line="14" w:lineRule="exact"/>
      <w:ind w:firstLine="0" w:firstLineChars="0"/>
      <w:jc w:val="center"/>
    </w:pPr>
    <w:rPr>
      <w:rFonts w:eastAsia="黑体"/>
      <w:vanish/>
      <w:sz w:val="2"/>
    </w:rPr>
  </w:style>
  <w:style w:type="paragraph" w:customStyle="1" w:styleId="203">
    <w:name w:val="标准文件_引言一级条标题"/>
    <w:basedOn w:val="59"/>
    <w:next w:val="59"/>
    <w:qFormat/>
    <w:uiPriority w:val="0"/>
    <w:pPr>
      <w:numPr>
        <w:ilvl w:val="1"/>
        <w:numId w:val="8"/>
      </w:numPr>
      <w:spacing w:before="50" w:beforeLines="50" w:after="50" w:afterLines="50"/>
      <w:ind w:firstLineChars="0"/>
    </w:pPr>
    <w:rPr>
      <w:rFonts w:ascii="黑体" w:eastAsia="黑体"/>
    </w:rPr>
  </w:style>
  <w:style w:type="paragraph" w:customStyle="1" w:styleId="204">
    <w:name w:val="标准文件_引言二级条标题"/>
    <w:basedOn w:val="59"/>
    <w:next w:val="59"/>
    <w:qFormat/>
    <w:uiPriority w:val="0"/>
    <w:pPr>
      <w:numPr>
        <w:ilvl w:val="2"/>
        <w:numId w:val="8"/>
      </w:numPr>
      <w:spacing w:before="50" w:beforeLines="50" w:after="50" w:afterLines="50"/>
      <w:ind w:firstLineChars="0"/>
    </w:pPr>
    <w:rPr>
      <w:rFonts w:ascii="黑体" w:eastAsia="黑体"/>
    </w:rPr>
  </w:style>
  <w:style w:type="paragraph" w:customStyle="1" w:styleId="205">
    <w:name w:val="标准文件_引言三级条标题"/>
    <w:basedOn w:val="59"/>
    <w:next w:val="59"/>
    <w:qFormat/>
    <w:uiPriority w:val="0"/>
    <w:pPr>
      <w:numPr>
        <w:ilvl w:val="3"/>
        <w:numId w:val="8"/>
      </w:numPr>
      <w:spacing w:before="50" w:beforeLines="50" w:after="50" w:afterLines="50"/>
      <w:ind w:firstLineChars="0"/>
    </w:pPr>
    <w:rPr>
      <w:rFonts w:ascii="黑体" w:eastAsia="黑体"/>
    </w:rPr>
  </w:style>
  <w:style w:type="paragraph" w:customStyle="1" w:styleId="206">
    <w:name w:val="标准文件_引言四级条标题"/>
    <w:basedOn w:val="59"/>
    <w:next w:val="59"/>
    <w:qFormat/>
    <w:uiPriority w:val="0"/>
    <w:pPr>
      <w:numPr>
        <w:ilvl w:val="4"/>
        <w:numId w:val="8"/>
      </w:numPr>
      <w:spacing w:before="50" w:beforeLines="50" w:after="50" w:afterLines="50"/>
      <w:ind w:firstLineChars="0"/>
    </w:pPr>
    <w:rPr>
      <w:rFonts w:ascii="黑体" w:eastAsia="黑体"/>
    </w:rPr>
  </w:style>
  <w:style w:type="paragraph" w:customStyle="1" w:styleId="207">
    <w:name w:val="标准文件_引言五级条标题"/>
    <w:basedOn w:val="59"/>
    <w:next w:val="59"/>
    <w:qFormat/>
    <w:uiPriority w:val="0"/>
    <w:pPr>
      <w:numPr>
        <w:ilvl w:val="5"/>
        <w:numId w:val="8"/>
      </w:numPr>
      <w:spacing w:before="50" w:beforeLines="50" w:after="50" w:afterLines="50"/>
      <w:ind w:firstLineChars="0"/>
    </w:pPr>
    <w:rPr>
      <w:rFonts w:ascii="黑体" w:eastAsia="黑体"/>
    </w:rPr>
  </w:style>
  <w:style w:type="paragraph" w:customStyle="1" w:styleId="208">
    <w:name w:val="标准文件_注后"/>
    <w:basedOn w:val="59"/>
    <w:qFormat/>
    <w:uiPriority w:val="0"/>
    <w:pPr>
      <w:ind w:left="811" w:firstLine="0" w:firstLineChars="0"/>
    </w:pPr>
    <w:rPr>
      <w:sz w:val="18"/>
    </w:rPr>
  </w:style>
  <w:style w:type="paragraph" w:customStyle="1" w:styleId="209">
    <w:name w:val="标准文件_注X后"/>
    <w:basedOn w:val="59"/>
    <w:qFormat/>
    <w:uiPriority w:val="0"/>
    <w:pPr>
      <w:ind w:left="811" w:firstLine="0" w:firstLineChars="0"/>
    </w:pPr>
    <w:rPr>
      <w:sz w:val="18"/>
    </w:rPr>
  </w:style>
  <w:style w:type="paragraph" w:customStyle="1" w:styleId="210">
    <w:name w:val="标准文件_示例后"/>
    <w:basedOn w:val="59"/>
    <w:qFormat/>
    <w:uiPriority w:val="0"/>
    <w:pPr>
      <w:ind w:left="964" w:firstLine="0" w:firstLineChars="0"/>
    </w:pPr>
    <w:rPr>
      <w:sz w:val="18"/>
    </w:rPr>
  </w:style>
  <w:style w:type="paragraph" w:customStyle="1" w:styleId="211">
    <w:name w:val="标准文件_示例X后"/>
    <w:basedOn w:val="59"/>
    <w:link w:val="212"/>
    <w:qFormat/>
    <w:uiPriority w:val="0"/>
    <w:pPr>
      <w:ind w:left="1049" w:firstLine="0" w:firstLineChars="0"/>
    </w:pPr>
    <w:rPr>
      <w:sz w:val="18"/>
    </w:rPr>
  </w:style>
  <w:style w:type="character" w:customStyle="1" w:styleId="212">
    <w:name w:val="标准文件_示例X后 字符"/>
    <w:basedOn w:val="187"/>
    <w:link w:val="211"/>
    <w:qFormat/>
    <w:uiPriority w:val="0"/>
    <w:rPr>
      <w:rFonts w:ascii="宋体" w:hAnsi="Times New Roman"/>
      <w:sz w:val="18"/>
    </w:rPr>
  </w:style>
  <w:style w:type="paragraph" w:customStyle="1" w:styleId="213">
    <w:name w:val="标准文件_索引项"/>
    <w:basedOn w:val="59"/>
    <w:next w:val="59"/>
    <w:qFormat/>
    <w:uiPriority w:val="0"/>
    <w:pPr>
      <w:tabs>
        <w:tab w:val="right" w:leader="dot" w:pos="9356"/>
      </w:tabs>
      <w:ind w:left="210" w:hanging="210" w:firstLineChars="0"/>
      <w:jc w:val="left"/>
    </w:pPr>
  </w:style>
  <w:style w:type="paragraph" w:customStyle="1" w:styleId="214">
    <w:name w:val="标准文件_附录一级无标题"/>
    <w:basedOn w:val="81"/>
    <w:qFormat/>
    <w:uiPriority w:val="0"/>
    <w:pPr>
      <w:spacing w:before="0" w:beforeLines="0" w:after="0" w:afterLines="0" w:line="276" w:lineRule="auto"/>
      <w:outlineLvl w:val="9"/>
    </w:pPr>
    <w:rPr>
      <w:rFonts w:ascii="宋体" w:eastAsia="宋体"/>
    </w:rPr>
  </w:style>
  <w:style w:type="paragraph" w:customStyle="1" w:styleId="215">
    <w:name w:val="标准文件_附录二级无标题"/>
    <w:basedOn w:val="82"/>
    <w:qFormat/>
    <w:uiPriority w:val="0"/>
    <w:pPr>
      <w:spacing w:before="0" w:beforeLines="0" w:after="0" w:afterLines="0" w:line="276" w:lineRule="auto"/>
      <w:outlineLvl w:val="9"/>
    </w:pPr>
    <w:rPr>
      <w:rFonts w:ascii="宋体" w:eastAsia="宋体"/>
    </w:rPr>
  </w:style>
  <w:style w:type="paragraph" w:customStyle="1" w:styleId="216">
    <w:name w:val="标准文件_附录三级无标题"/>
    <w:basedOn w:val="84"/>
    <w:qFormat/>
    <w:uiPriority w:val="0"/>
    <w:pPr>
      <w:spacing w:before="0" w:beforeLines="0" w:after="0" w:afterLines="0" w:line="276" w:lineRule="auto"/>
      <w:outlineLvl w:val="9"/>
    </w:pPr>
    <w:rPr>
      <w:rFonts w:ascii="宋体" w:eastAsia="宋体"/>
    </w:rPr>
  </w:style>
  <w:style w:type="paragraph" w:customStyle="1" w:styleId="217">
    <w:name w:val="标准文件_附录四级无标题"/>
    <w:basedOn w:val="85"/>
    <w:qFormat/>
    <w:uiPriority w:val="0"/>
    <w:pPr>
      <w:spacing w:before="0" w:beforeLines="0" w:after="0" w:afterLines="0" w:line="276" w:lineRule="auto"/>
      <w:outlineLvl w:val="9"/>
    </w:pPr>
    <w:rPr>
      <w:rFonts w:ascii="宋体" w:eastAsia="宋体"/>
    </w:rPr>
  </w:style>
  <w:style w:type="paragraph" w:customStyle="1" w:styleId="218">
    <w:name w:val="标准文件_附录五级无标题"/>
    <w:basedOn w:val="87"/>
    <w:qFormat/>
    <w:uiPriority w:val="0"/>
    <w:pPr>
      <w:spacing w:before="0" w:beforeLines="0" w:after="0" w:afterLines="0" w:line="276" w:lineRule="auto"/>
      <w:outlineLvl w:val="9"/>
    </w:pPr>
    <w:rPr>
      <w:rFonts w:ascii="宋体" w:eastAsia="宋体"/>
    </w:rPr>
  </w:style>
  <w:style w:type="paragraph" w:customStyle="1" w:styleId="219">
    <w:name w:val="标准文件_引言一级无标题"/>
    <w:basedOn w:val="203"/>
    <w:next w:val="59"/>
    <w:qFormat/>
    <w:uiPriority w:val="0"/>
    <w:pPr>
      <w:spacing w:before="0" w:beforeLines="0" w:after="0" w:afterLines="0" w:line="276" w:lineRule="auto"/>
    </w:pPr>
    <w:rPr>
      <w:rFonts w:ascii="宋体" w:eastAsia="宋体"/>
    </w:rPr>
  </w:style>
  <w:style w:type="paragraph" w:customStyle="1" w:styleId="220">
    <w:name w:val="标准文件_引言二级无标题"/>
    <w:basedOn w:val="204"/>
    <w:next w:val="59"/>
    <w:qFormat/>
    <w:uiPriority w:val="0"/>
    <w:pPr>
      <w:spacing w:before="0" w:beforeLines="0" w:after="0" w:afterLines="0" w:line="276" w:lineRule="auto"/>
    </w:pPr>
    <w:rPr>
      <w:rFonts w:ascii="宋体" w:eastAsia="宋体"/>
    </w:rPr>
  </w:style>
  <w:style w:type="paragraph" w:customStyle="1" w:styleId="221">
    <w:name w:val="标准文件_引言三级无标题"/>
    <w:basedOn w:val="205"/>
    <w:qFormat/>
    <w:uiPriority w:val="0"/>
    <w:pPr>
      <w:spacing w:before="0" w:beforeLines="0" w:after="0" w:afterLines="0" w:line="276" w:lineRule="auto"/>
    </w:pPr>
    <w:rPr>
      <w:rFonts w:ascii="宋体" w:eastAsia="宋体"/>
    </w:rPr>
  </w:style>
  <w:style w:type="paragraph" w:customStyle="1" w:styleId="222">
    <w:name w:val="标准文件_引言四级无标题"/>
    <w:basedOn w:val="206"/>
    <w:next w:val="59"/>
    <w:qFormat/>
    <w:uiPriority w:val="0"/>
    <w:pPr>
      <w:spacing w:before="0" w:beforeLines="0" w:after="0" w:afterLines="0" w:line="276" w:lineRule="auto"/>
    </w:pPr>
    <w:rPr>
      <w:rFonts w:ascii="宋体" w:eastAsia="宋体"/>
    </w:rPr>
  </w:style>
  <w:style w:type="paragraph" w:customStyle="1" w:styleId="223">
    <w:name w:val="标准文件_引言五级无标题"/>
    <w:basedOn w:val="207"/>
    <w:next w:val="59"/>
    <w:qFormat/>
    <w:uiPriority w:val="0"/>
    <w:pPr>
      <w:spacing w:before="0" w:beforeLines="0" w:after="0" w:afterLines="0" w:line="276" w:lineRule="auto"/>
    </w:pPr>
    <w:rPr>
      <w:rFonts w:ascii="宋体" w:eastAsia="宋体"/>
    </w:rPr>
  </w:style>
  <w:style w:type="paragraph" w:customStyle="1" w:styleId="224">
    <w:name w:val="标准文件_索引标题"/>
    <w:basedOn w:val="66"/>
    <w:next w:val="59"/>
    <w:qFormat/>
    <w:uiPriority w:val="0"/>
    <w:rPr>
      <w:rFonts w:hAnsi="黑体"/>
    </w:rPr>
  </w:style>
  <w:style w:type="paragraph" w:customStyle="1" w:styleId="225">
    <w:name w:val="标准文件_脚注内容"/>
    <w:basedOn w:val="59"/>
    <w:qFormat/>
    <w:uiPriority w:val="0"/>
    <w:pPr>
      <w:ind w:left="400" w:leftChars="200" w:hanging="200" w:hangingChars="200"/>
    </w:pPr>
    <w:rPr>
      <w:sz w:val="15"/>
    </w:rPr>
  </w:style>
  <w:style w:type="paragraph" w:customStyle="1" w:styleId="226">
    <w:name w:val="标准文件_术语条一"/>
    <w:basedOn w:val="165"/>
    <w:next w:val="59"/>
    <w:qFormat/>
    <w:uiPriority w:val="0"/>
  </w:style>
  <w:style w:type="paragraph" w:customStyle="1" w:styleId="227">
    <w:name w:val="标准文件_术语条二"/>
    <w:basedOn w:val="168"/>
    <w:next w:val="59"/>
    <w:qFormat/>
    <w:uiPriority w:val="0"/>
  </w:style>
  <w:style w:type="paragraph" w:customStyle="1" w:styleId="228">
    <w:name w:val="标准文件_术语条三"/>
    <w:basedOn w:val="167"/>
    <w:next w:val="59"/>
    <w:qFormat/>
    <w:uiPriority w:val="0"/>
  </w:style>
  <w:style w:type="paragraph" w:customStyle="1" w:styleId="229">
    <w:name w:val="标准文件_术语条四"/>
    <w:basedOn w:val="170"/>
    <w:next w:val="59"/>
    <w:qFormat/>
    <w:uiPriority w:val="0"/>
  </w:style>
  <w:style w:type="paragraph" w:customStyle="1" w:styleId="230">
    <w:name w:val="标准文件_术语条五"/>
    <w:basedOn w:val="166"/>
    <w:next w:val="59"/>
    <w:qFormat/>
    <w:uiPriority w:val="0"/>
  </w:style>
  <w:style w:type="paragraph" w:customStyle="1" w:styleId="231">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32">
    <w:name w:val="段"/>
    <w:link w:val="233"/>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33">
    <w:name w:val="段 Char"/>
    <w:link w:val="232"/>
    <w:qFormat/>
    <w:uiPriority w:val="0"/>
    <w:rPr>
      <w:rFonts w:ascii="宋体" w:hAnsi="Times New Roman"/>
      <w:sz w:val="21"/>
    </w:rPr>
  </w:style>
  <w:style w:type="paragraph" w:customStyle="1" w:styleId="234">
    <w:name w:val="msonormal"/>
    <w:basedOn w:val="1"/>
    <w:qFormat/>
    <w:uiPriority w:val="0"/>
    <w:pPr>
      <w:widowControl/>
      <w:adjustRightInd/>
      <w:spacing w:before="100" w:beforeAutospacing="1" w:after="100" w:afterAutospacing="1" w:line="240" w:lineRule="auto"/>
      <w:jc w:val="left"/>
    </w:pPr>
    <w:rPr>
      <w:rFonts w:ascii="宋体" w:hAnsi="宋体" w:cs="宋体"/>
      <w:kern w:val="0"/>
      <w:sz w:val="24"/>
      <w:szCs w:val="24"/>
    </w:rPr>
  </w:style>
  <w:style w:type="paragraph" w:customStyle="1" w:styleId="235">
    <w:name w:val="列表段落1"/>
    <w:basedOn w:val="1"/>
    <w:qFormat/>
    <w:uiPriority w:val="0"/>
    <w:pPr>
      <w:adjustRightInd/>
      <w:spacing w:line="240" w:lineRule="auto"/>
      <w:jc w:val="left"/>
    </w:pPr>
    <w:rPr>
      <w:rFonts w:ascii="Times New Roman" w:hAnsi="Times New Roman"/>
      <w:kern w:val="0"/>
      <w:sz w:val="22"/>
      <w:szCs w:val="22"/>
    </w:rPr>
  </w:style>
  <w:style w:type="character" w:customStyle="1" w:styleId="236">
    <w:name w:val="10"/>
    <w:basedOn w:val="29"/>
    <w:qFormat/>
    <w:uiPriority w:val="0"/>
    <w:rPr>
      <w:rFonts w:hint="default" w:ascii="Times New Roman" w:hAnsi="Times New Roman" w:cs="Times New Roman"/>
    </w:rPr>
  </w:style>
  <w:style w:type="character" w:customStyle="1" w:styleId="237">
    <w:name w:val="15"/>
    <w:basedOn w:val="29"/>
    <w:qFormat/>
    <w:uiPriority w:val="0"/>
    <w:rPr>
      <w:rFonts w:hint="default" w:ascii="Times New Roman" w:hAnsi="Times New Roman" w:cs="Times New Roman"/>
      <w:color w:val="0000FF"/>
      <w:u w:val="single"/>
    </w:rPr>
  </w:style>
  <w:style w:type="character" w:customStyle="1" w:styleId="238">
    <w:name w:val="16"/>
    <w:basedOn w:val="29"/>
    <w:qFormat/>
    <w:uiPriority w:val="0"/>
    <w:rPr>
      <w:rFonts w:hint="default" w:ascii="Cambria" w:hAnsi="Cambria"/>
      <w:color w:val="000000"/>
      <w:sz w:val="22"/>
      <w:szCs w:val="22"/>
    </w:rPr>
  </w:style>
  <w:style w:type="table" w:customStyle="1" w:styleId="239">
    <w:name w:val="Table Normal"/>
    <w:basedOn w:val="27"/>
    <w:qFormat/>
    <w:uiPriority w:val="0"/>
    <w:rPr>
      <w:rFonts w:ascii="Times New Roman" w:hAnsi="Times New Roman" w:eastAsia="Times New Roman"/>
    </w:rPr>
    <w:tblPr>
      <w:tblCellMar>
        <w:left w:w="0" w:type="dxa"/>
        <w:right w:w="0" w:type="dxa"/>
      </w:tblCellMar>
    </w:tblPr>
  </w:style>
  <w:style w:type="character" w:customStyle="1" w:styleId="240">
    <w:name w:val="未处理的提及1"/>
    <w:basedOn w:val="29"/>
    <w:semiHidden/>
    <w:unhideWhenUsed/>
    <w:qFormat/>
    <w:uiPriority w:val="99"/>
    <w:rPr>
      <w:color w:val="605E5C"/>
      <w:shd w:val="clear" w:color="auto" w:fill="E1DFDD"/>
    </w:rPr>
  </w:style>
  <w:style w:type="paragraph" w:styleId="24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2" Type="http://schemas.openxmlformats.org/officeDocument/2006/relationships/glossaryDocument" Target="glossary/document.xml"/><Relationship Id="rId31" Type="http://schemas.openxmlformats.org/officeDocument/2006/relationships/fontTable" Target="fontTable.xml"/><Relationship Id="rId30" Type="http://schemas.openxmlformats.org/officeDocument/2006/relationships/customXml" Target="../customXml/item3.xml"/><Relationship Id="rId3" Type="http://schemas.openxmlformats.org/officeDocument/2006/relationships/footnotes" Target="footnotes.xml"/><Relationship Id="rId29" Type="http://schemas.openxmlformats.org/officeDocument/2006/relationships/customXml" Target="../customXml/item2.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7.jpeg"/><Relationship Id="rId25" Type="http://schemas.openxmlformats.org/officeDocument/2006/relationships/image" Target="media/image6.png"/><Relationship Id="rId24" Type="http://schemas.openxmlformats.org/officeDocument/2006/relationships/image" Target="media/image5.png"/><Relationship Id="rId23" Type="http://schemas.openxmlformats.org/officeDocument/2006/relationships/image" Target="media/image4.emf"/><Relationship Id="rId22" Type="http://schemas.openxmlformats.org/officeDocument/2006/relationships/oleObject" Target="embeddings/oleObject1.bin"/><Relationship Id="rId21" Type="http://schemas.openxmlformats.org/officeDocument/2006/relationships/image" Target="media/image3.png"/><Relationship Id="rId20" Type="http://schemas.openxmlformats.org/officeDocument/2006/relationships/image" Target="media/image2.tiff"/><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footer" Target="footer3.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9E786DDA5CE0405B9A531B6F5A566ED0"/>
        <w:style w:val=""/>
        <w:category>
          <w:name w:val="常规"/>
          <w:gallery w:val="placeholder"/>
        </w:category>
        <w:types>
          <w:type w:val="bbPlcHdr"/>
        </w:types>
        <w:behaviors>
          <w:behavior w:val="content"/>
        </w:behaviors>
        <w:description w:val=""/>
        <w:guid w:val="{A1714AE4-6856-4DCB-B2CE-0CD8559FB246}"/>
      </w:docPartPr>
      <w:docPartBody>
        <w:p w14:paraId="22825EC4">
          <w:pPr>
            <w:pStyle w:val="5"/>
            <w:rPr>
              <w:rFonts w:hint="eastAsia"/>
            </w:rPr>
          </w:pPr>
          <w:r>
            <w:rPr>
              <w:rStyle w:val="4"/>
              <w:rFonts w:hint="eastAsia"/>
            </w:rPr>
            <w:t>单击或点击此处输入文字。</w:t>
          </w:r>
        </w:p>
      </w:docPartBody>
    </w:docPart>
    <w:docPart>
      <w:docPartPr>
        <w:name w:val="4F0EA42136EC49B0AC995A733F524B8C"/>
        <w:style w:val=""/>
        <w:category>
          <w:name w:val="常规"/>
          <w:gallery w:val="placeholder"/>
        </w:category>
        <w:types>
          <w:type w:val="bbPlcHdr"/>
        </w:types>
        <w:behaviors>
          <w:behavior w:val="content"/>
        </w:behaviors>
        <w:description w:val=""/>
        <w:guid w:val="{73C53F2A-77A1-4DEB-8DCA-793A0FE0B1F9}"/>
      </w:docPartPr>
      <w:docPartBody>
        <w:p w14:paraId="302C82F4">
          <w:pPr>
            <w:pStyle w:val="6"/>
            <w:rPr>
              <w:rFonts w:hint="eastAsia"/>
            </w:rPr>
          </w:pPr>
          <w:r>
            <w:rPr>
              <w:rStyle w:val="4"/>
              <w:rFonts w:hint="eastAsia"/>
            </w:rPr>
            <w:t>选择一项。</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oNotDisplayPageBoundaries w:val="1"/>
  <w:bordersDoNotSurroundHeader w:val="1"/>
  <w:bordersDoNotSurroundFooter w:val="1"/>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092"/>
    <w:rsid w:val="001D2CB9"/>
    <w:rsid w:val="00296BC6"/>
    <w:rsid w:val="003029EC"/>
    <w:rsid w:val="003E315B"/>
    <w:rsid w:val="00481362"/>
    <w:rsid w:val="00492882"/>
    <w:rsid w:val="004B1857"/>
    <w:rsid w:val="00507644"/>
    <w:rsid w:val="005975F8"/>
    <w:rsid w:val="00610C7D"/>
    <w:rsid w:val="00681B62"/>
    <w:rsid w:val="00756DBC"/>
    <w:rsid w:val="007D3BE2"/>
    <w:rsid w:val="0089132B"/>
    <w:rsid w:val="00C568A8"/>
    <w:rsid w:val="00E65092"/>
    <w:rsid w:val="00EF1ED1"/>
    <w:rsid w:val="00EF61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9E786DDA5CE0405B9A531B6F5A566ED0"/>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4F0EA42136EC49B0AC995A733F524B8C"/>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77ef3c15-395c-44d6-954e-51499a1b0f70</errorID>
      <errorWord>；</errorWord>
      <group>L1_Format</group>
      <groupName>格式问题</groupName>
      <ability>L2_HalfPunc_CN</ability>
      <abilityName>全半角问题</abilityName>
      <candidateList>
        <item>;</item>
      </candidateList>
      <explain>文本全半角错误。</explain>
      <paraID>409D1D84</paraID>
      <start>9</start>
      <end>10</end>
      <status>unmodified</status>
      <modifiedWord/>
      <trackRevisions>false</trackRevisions>
    </reviewItem>
    <reviewItem>
      <errorID>920b5ebd-9d02-4e98-98e4-ea3acd426bec</errorID>
      <errorWord> </errorWord>
      <group>L1_Punc</group>
      <groupName>标点问题</groupName>
      <ability>L2_Punc_CN</ability>
      <abilityName>标点符号问题</abilityName>
      <candidateList>
        <item/>
      </candidateList>
      <explain>此处空格冗余，建议删除。</explain>
      <paraID>23C041FD</paraID>
      <start>12</start>
      <end>13</end>
      <status>unmodified</status>
      <modifiedWord/>
      <trackRevisions>false</trackRevisions>
    </reviewItem>
    <reviewItem>
      <errorID>2580f23e-e006-40d5-a293-e7d10fed5e14</errorID>
      <errorWord>`</errorWord>
      <group>L1_Punc</group>
      <groupName>标点问题</groupName>
      <ability>L2_Punc_CN</ability>
      <abilityName>标点符号问题</abilityName>
      <candidateList/>
      <explain/>
      <paraID>2FA1AFA1</paraID>
      <start>2</start>
      <end>3</end>
      <status>unmodified</status>
      <modifiedWord/>
      <trackRevisions>false</trackRevisions>
    </reviewItem>
    <reviewItem>
      <errorID>b70fee86-bf5f-4874-b6d7-156870b54839</errorID>
      <errorWord>：</errorWord>
      <group>L1_Format</group>
      <groupName>格式问题</groupName>
      <ability>L2_HalfPunc_CN</ability>
      <abilityName>全半角问题</abilityName>
      <candidateList>
        <item>:</item>
      </candidateList>
      <explain>文本全半角错误。</explain>
      <paraID> 2AF8987</paraID>
      <start>17</start>
      <end>18</end>
      <status>unmodified</status>
      <modifiedWord/>
      <trackRevisions>false</trackRevisions>
    </reviewItem>
    <reviewItem>
      <errorID>821bfc54-010d-4b08-88b2-948e090dab04</errorID>
      <errorWord>(</errorWord>
      <group>L1_Format</group>
      <groupName>格式问题</groupName>
      <ability>L2_HalfPunc_CN</ability>
      <abilityName>全半角问题</abilityName>
      <candidateList>
        <item>（</item>
      </candidateList>
      <explain>文本全半角错误。</explain>
      <paraID>362B45FD</paraID>
      <start>71</start>
      <end>72</end>
      <status>unmodified</status>
      <modifiedWord/>
      <trackRevisions>false</trackRevisions>
    </reviewItem>
    <reviewItem>
      <errorID>94f42c8c-9feb-456a-9c96-f2a9d88d4003</errorID>
      <errorWord>)</errorWord>
      <group>L1_Format</group>
      <groupName>格式问题</groupName>
      <ability>L2_HalfPunc_CN</ability>
      <abilityName>全半角问题</abilityName>
      <candidateList>
        <item>）</item>
      </candidateList>
      <explain>文本全半角错误。</explain>
      <paraID>362B45FD</paraID>
      <start>74</start>
      <end>75</end>
      <status>unmodified</status>
      <modifiedWord/>
      <trackRevisions>false</trackRevisions>
    </reviewItem>
    <reviewItem>
      <errorID>64b3dd07-1887-4e77-b6df-d6dec18dfe1f</errorID>
      <errorWord>：</errorWord>
      <group>L1_Format</group>
      <groupName>格式问题</groupName>
      <ability>L2_HalfPunc_CN</ability>
      <abilityName>全半角问题</abilityName>
      <candidateList>
        <item>:</item>
      </candidateList>
      <explain>文本全半角错误。</explain>
      <paraID>7BA664BC</paraID>
      <start>34</start>
      <end>35</end>
      <status>unmodified</status>
      <modifiedWord/>
      <trackRevisions>false</trackRevisions>
    </reviewItem>
    <reviewItem>
      <errorID>2a75004c-3de8-47f1-b98a-5a8c99598460</errorID>
      <errorWord>,</errorWord>
      <group>L1_Format</group>
      <groupName>格式问题</groupName>
      <ability>L2_HalfPunc_CN</ability>
      <abilityName>全半角问题</abilityName>
      <candidateList>
        <item>，</item>
      </candidateList>
      <explain>文本全半角错误。</explain>
      <paraID>1118052A</paraID>
      <start>19</start>
      <end>20</end>
      <status>unmodified</status>
      <modifiedWord/>
      <trackRevisions>false</trackRevisions>
    </reviewItem>
    <reviewItem>
      <errorID>08498e94-e7e4-4d64-8045-2479f1b3456c</errorID>
      <errorWord>应对冲扰</errorWord>
      <group>L1_Word</group>
      <groupName>字词问题</groupName>
      <ability>L2_Typo</ability>
      <abilityName>字词错误</abilityName>
      <candidateList>
        <item>应对冲击</item>
      </candidateList>
      <explain/>
      <paraID>7F5E46CF</paraID>
      <start>26</start>
      <end>30</end>
      <status>unmodified</status>
      <modifiedWord/>
      <trackRevisions>false</trackRevisions>
    </reviewItem>
    <reviewItem>
      <errorID>8d1823d1-c5cd-4b13-bfc0-83b33c5b2c10</errorID>
      <errorWord>韧性能力</errorWord>
      <group>L1_Grammar</group>
      <groupName>语法问题</groupName>
      <ability>L2_Grammar</ability>
      <abilityName>语法错误</abilityName>
      <candidateList>
        <item>韧性</item>
      </candidateList>
      <explain/>
      <paraID>5ECF7280</paraID>
      <start>103</start>
      <end>107</end>
      <status>unmodified</status>
      <modifiedWord/>
      <trackRevisions>false</trackRevisions>
    </reviewItem>
    <reviewItem>
      <errorID>54a4e8f3-f6ab-4f43-9020-93798d41e0c5</errorID>
      <errorWord>评估韧性</errorWord>
      <group>L1_Political</group>
      <groupName>政治性问题</groupName>
      <ability>L2_Unpolitical</ability>
      <abilityName>政治敏感错误</abilityName>
      <candidateList>
        <item>韧性评估</item>
      </candidateList>
      <explain/>
      <paraID>576889B7</paraID>
      <start>40</start>
      <end>44</end>
      <status>unmodified</status>
      <modifiedWord/>
      <trackRevisions>false</trackRevisions>
    </reviewItem>
    <reviewItem>
      <errorID>97e20a6c-9f62-40d9-9712-39cdbaf1130c</errorID>
      <errorWord>城市</errorWord>
      <group>L1_Word</group>
      <groupName>字词问题</groupName>
      <ability>L2_Typo</ability>
      <abilityName>字词错误</abilityName>
      <candidateList>
        <item>以城市</item>
      </candidateList>
      <explain/>
      <paraID>589A42BE</paraID>
      <start>0</start>
      <end>2</end>
      <status>unmodified</status>
      <modifiedWord/>
      <trackRevisions>false</trackRevisions>
    </reviewItem>
    <reviewItem>
      <errorID>7ae6eebc-6701-4b5b-9b5c-603be1074bcd</errorID>
      <errorWord>城市</errorWord>
      <group>L1_Grammar</group>
      <groupName>语法问题</groupName>
      <ability>L2_Grammar</ability>
      <abilityName>语法错误</abilityName>
      <candidateList>
        <item>开展城市</item>
      </candidateList>
      <explain/>
      <paraID>4C024921</paraID>
      <start>1</start>
      <end>3</end>
      <status>unmodified</status>
      <modifiedWord/>
      <trackRevisions>false</trackRevisions>
    </reviewItem>
    <reviewItem>
      <errorID>2bdfdac6-6d26-46f0-993c-97846bdd7293</errorID>
      <errorWord> </errorWord>
      <group>L1_Punc</group>
      <groupName>标点问题</groupName>
      <ability>L2_Punc_CN</ability>
      <abilityName>标点符号问题</abilityName>
      <candidateList>
        <item/>
      </candidateList>
      <explain>此处空格冗余，建议删除。</explain>
      <paraID>6D638AE2</paraID>
      <start>0</start>
      <end>1</end>
      <status>unmodified</status>
      <modifiedWord/>
      <trackRevisions>false</trackRevisions>
    </reviewItem>
    <reviewItem>
      <errorID>86427479-14b3-4096-bdb9-53baa8828db4</errorID>
      <errorWord>评估韧性</errorWord>
      <group>L1_Political</group>
      <groupName>政治性问题</groupName>
      <ability>L2_Unpolitical</ability>
      <abilityName>政治敏感错误</abilityName>
      <candidateList>
        <item>韧性评估</item>
      </candidateList>
      <explain/>
      <paraID>3BA76712</paraID>
      <start>0</start>
      <end>4</end>
      <status>unmodified</status>
      <modifiedWord/>
      <trackRevisions>false</trackRevisions>
    </reviewItem>
    <reviewItem>
      <errorID>3dee4af5-eef4-440b-9472-a091ff36fe66</errorID>
      <errorWord>韧性城市规划</errorWord>
      <group>L1_Other</group>
      <groupName>其他问题</groupName>
      <ability>L2_Consistency</ability>
      <abilityName>一致性检查</abilityName>
      <candidateList>
        <item>城市韧性规划</item>
      </candidateList>
      <explain>术语一致性问题，全文统一使用“城市韧性”作为核心术语，仅此处使用“韧性城市”修饰规划，表述不一致</explain>
      <paraID>3E2F1269</paraID>
      <start>5</start>
      <end>11</end>
      <status>unmodified</status>
      <modifiedWord/>
      <trackRevisions>false</trackRevisions>
    </reviewItem>
    <reviewItem>
      <errorID>864a2b84-9a83-41c3-b170-a8625491d5af</errorID>
      <errorWord>评估韧性</errorWord>
      <group>L1_Political</group>
      <groupName>政治性问题</groupName>
      <ability>L2_Unpolitical</ability>
      <abilityName>政治敏感错误</abilityName>
      <candidateList>
        <item>韧性评估</item>
      </candidateList>
      <explain/>
      <paraID>5A11C503</paraID>
      <start>0</start>
      <end>4</end>
      <status>unmodified</status>
      <modifiedWord/>
      <trackRevisions>false</trackRevisions>
    </reviewItem>
    <reviewItem>
      <errorID>52d61214-cbd3-4b4f-bd21-07883a92c242</errorID>
      <errorWord>事件带来的不确定性</errorWord>
      <group>L1_Grammar</group>
      <groupName>语法问题</groupName>
      <ability>L2_Grammar</ability>
      <abilityName>语法错误</abilityName>
      <candidateList>
        <item>事件</item>
      </candidateList>
      <explain/>
      <paraID>271FA756</paraID>
      <start>22</start>
      <end>31</end>
      <status>unmodified</status>
      <modifiedWord/>
      <trackRevisions>false</trackRevisions>
    </reviewItem>
    <reviewItem>
      <errorID>37eb96ad-8ab4-40ca-9680-2646aec1e782</errorID>
      <errorWord>；</errorWord>
      <group>L1_Punc</group>
      <groupName>标点问题</groupName>
      <ability>L2_Punc_CN</ability>
      <abilityName>标点符号问题</abilityName>
      <candidateList>
        <item>、</item>
      </candidateList>
      <explain/>
      <paraID>20F721AD</paraID>
      <start>4</start>
      <end>5</end>
      <status>unmodified</status>
      <modifiedWord/>
      <trackRevisions>false</trackRevisions>
    </reviewItem>
    <reviewItem>
      <errorID>80334c64-99d5-424c-ab6b-5da734575b1a</errorID>
      <errorWord>；</errorWord>
      <group>L1_Punc</group>
      <groupName>标点问题</groupName>
      <ability>L2_Punc_CN</ability>
      <abilityName>标点符号问题</abilityName>
      <candidateList>
        <item>、</item>
      </candidateList>
      <explain/>
      <paraID>5E8B61A9</paraID>
      <start>17</start>
      <end>18</end>
      <status>unmodified</status>
      <modifiedWord/>
      <trackRevisions>false</trackRevisions>
    </reviewItem>
    <reviewItem>
      <errorID>45ea0d40-8352-4aae-81b4-1849c1a7193b</errorID>
      <errorWord>；</errorWord>
      <group>L1_Punc</group>
      <groupName>标点问题</groupName>
      <ability>L2_Punc_CN</ability>
      <abilityName>标点符号问题</abilityName>
      <candidateList>
        <item>、</item>
      </candidateList>
      <explain/>
      <paraID>7C17F24E</paraID>
      <start>4</start>
      <end>5</end>
      <status>unmodified</status>
      <modifiedWord/>
      <trackRevisions>false</trackRevisions>
    </reviewItem>
    <reviewItem>
      <errorID>2701bbbc-2368-4008-8f91-537558c46622</errorID>
      <errorWord>；</errorWord>
      <group>L1_Punc</group>
      <groupName>标点问题</groupName>
      <ability>L2_Punc_CN</ability>
      <abilityName>标点符号问题</abilityName>
      <candidateList>
        <item>、</item>
      </candidateList>
      <explain/>
      <paraID>7C17F24E</paraID>
      <start>14</start>
      <end>15</end>
      <status>unmodified</status>
      <modifiedWord/>
      <trackRevisions>false</trackRevisions>
    </reviewItem>
    <reviewItem>
      <errorID>568c27f4-29f5-4249-aff8-f4b98d863528</errorID>
      <errorWord>；</errorWord>
      <group>L1_Punc</group>
      <groupName>标点问题</groupName>
      <ability>L2_Punc_CN</ability>
      <abilityName>标点符号问题</abilityName>
      <candidateList>
        <item>、</item>
      </candidateList>
      <explain/>
      <paraID>58A65940</paraID>
      <start>4</start>
      <end>5</end>
      <status>unmodified</status>
      <modifiedWord/>
      <trackRevisions>false</trackRevisions>
    </reviewItem>
    <reviewItem>
      <errorID>fcb0dbd8-cd59-4ec4-9f80-b06ddc8a8bd2</errorID>
      <errorWord>；</errorWord>
      <group>L1_Punc</group>
      <groupName>标点问题</groupName>
      <ability>L2_Punc_CN</ability>
      <abilityName>标点符号问题</abilityName>
      <candidateList>
        <item>、</item>
      </candidateList>
      <explain/>
      <paraID>557E4317</paraID>
      <start>4</start>
      <end>5</end>
      <status>unmodified</status>
      <modifiedWord/>
      <trackRevisions>false</trackRevisions>
    </reviewItem>
    <reviewItem>
      <errorID>ca11e0ea-ad00-4e91-92cd-50980c339d35</errorID>
      <errorWord>；</errorWord>
      <group>L1_Punc</group>
      <groupName>标点问题</groupName>
      <ability>L2_Punc_CN</ability>
      <abilityName>标点符号问题</abilityName>
      <candidateList>
        <item>、</item>
      </candidateList>
      <explain/>
      <paraID>557E4317</paraID>
      <start>14</start>
      <end>15</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3b20e54-6f24-49c5-b89f-4091064e1ef5}">
  <ds:schemaRefs/>
</ds:datastoreItem>
</file>

<file path=customXml/itemProps3.xml><?xml version="1.0" encoding="utf-8"?>
<ds:datastoreItem xmlns:ds="http://schemas.openxmlformats.org/officeDocument/2006/customXml" ds:itemID="{A8230EFA-3F40-4753-8853-532FE0C59DFA}">
  <ds:schemaRefs/>
</ds:datastoreItem>
</file>

<file path=docProps/app.xml><?xml version="1.0" encoding="utf-8"?>
<Properties xmlns="http://schemas.openxmlformats.org/officeDocument/2006/extended-properties" xmlns:vt="http://schemas.openxmlformats.org/officeDocument/2006/docPropsVTypes">
  <Template>国家标准</Template>
  <Company>PCMI</Company>
  <Pages>35</Pages>
  <Words>2797</Words>
  <Characters>3253</Characters>
  <Lines>204</Lines>
  <Paragraphs>57</Paragraphs>
  <TotalTime>1</TotalTime>
  <ScaleCrop>false</ScaleCrop>
  <LinksUpToDate>false</LinksUpToDate>
  <CharactersWithSpaces>3354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2025-08-15T04:22:00Z</dcterms:created>
  <dc:creator>凤娇</dc:creator>
  <dc:description>&lt;config cover="true" show_menu="true" version="1.0.0" doctype="SDKXY"&gt;_x000d_
&lt;/config&gt;</dc:description>
  <cp:lastModifiedBy>admin</cp:lastModifiedBy>
  <cp:lastPrinted>2021-02-02T07:44:00Z</cp:lastPrinted>
  <dcterms:modified xsi:type="dcterms:W3CDTF">2026-09-12T00:39:20Z</dcterms:modified>
  <dc:title>国家标准</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国家标准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eyJoZGlkIjoiZmY3Y2NhZTBlODI0MDY3MzViMWU0MGVkNDkwYWRlZGIiLCJ1c2VySWQiOiIyNDQzNTgzNCJ9</vt:lpwstr>
  </property>
  <property fmtid="{D5CDD505-2E9C-101B-9397-08002B2CF9AE}" pid="15" name="KSOProductBuildVer">
    <vt:lpwstr>2052-12.1.0.28505</vt:lpwstr>
  </property>
  <property fmtid="{D5CDD505-2E9C-101B-9397-08002B2CF9AE}" pid="16" name="ICV">
    <vt:lpwstr>5D1552193F3C4EED958724E0F8E2AEAD_13</vt:lpwstr>
  </property>
</Properties>
</file>