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lang w:val="en-US" w:eastAsia="zh-CN"/>
        </w:rPr>
        <w:t>国家标准</w:t>
      </w:r>
      <w:r>
        <w:rPr>
          <w:rFonts w:hint="eastAsia"/>
          <w:b/>
          <w:sz w:val="36"/>
          <w:szCs w:val="36"/>
        </w:rPr>
        <w:t>《知识产权鉴定规范 第</w:t>
      </w:r>
      <w:r>
        <w:rPr>
          <w:b/>
          <w:sz w:val="36"/>
          <w:szCs w:val="36"/>
        </w:rPr>
        <w:t>2</w:t>
      </w:r>
      <w:r>
        <w:rPr>
          <w:rFonts w:hint="eastAsia"/>
          <w:b/>
          <w:sz w:val="36"/>
          <w:szCs w:val="36"/>
        </w:rPr>
        <w:t>部分：专利</w:t>
      </w:r>
      <w:r>
        <w:rPr>
          <w:b/>
          <w:sz w:val="36"/>
          <w:szCs w:val="36"/>
        </w:rPr>
        <w:br w:type="textWrapping"/>
      </w:r>
      <w:r>
        <w:rPr>
          <w:rFonts w:hint="eastAsia"/>
          <w:b/>
          <w:sz w:val="36"/>
          <w:szCs w:val="36"/>
        </w:rPr>
        <w:t>（征求意见稿）》编制说明</w:t>
      </w:r>
    </w:p>
    <w:p>
      <w:pPr>
        <w:numPr>
          <w:ilvl w:val="0"/>
          <w:numId w:val="1"/>
        </w:numPr>
        <w:spacing w:line="360" w:lineRule="auto"/>
        <w:outlineLvl w:val="0"/>
        <w:rPr>
          <w:b/>
          <w:bCs/>
          <w:sz w:val="28"/>
        </w:rPr>
      </w:pPr>
      <w:r>
        <w:rPr>
          <w:rFonts w:hint="eastAsia"/>
          <w:b/>
          <w:bCs/>
          <w:sz w:val="28"/>
        </w:rPr>
        <w:t>工作简况</w:t>
      </w:r>
    </w:p>
    <w:p>
      <w:pPr>
        <w:spacing w:before="156" w:beforeLines="50" w:line="360" w:lineRule="auto"/>
        <w:ind w:firstLine="411" w:firstLineChars="147"/>
        <w:rPr>
          <w:rFonts w:ascii="楷体" w:hAnsi="楷体" w:eastAsia="楷体"/>
          <w:sz w:val="28"/>
          <w:szCs w:val="28"/>
        </w:rPr>
      </w:pPr>
      <w:r>
        <w:rPr>
          <w:rFonts w:hint="eastAsia" w:ascii="楷体" w:hAnsi="楷体" w:eastAsia="楷体"/>
          <w:sz w:val="28"/>
          <w:szCs w:val="28"/>
        </w:rPr>
        <w:t>1.</w:t>
      </w:r>
      <w:r>
        <w:rPr>
          <w:rFonts w:ascii="楷体" w:hAnsi="楷体" w:eastAsia="楷体"/>
          <w:sz w:val="28"/>
          <w:szCs w:val="28"/>
        </w:rPr>
        <w:t xml:space="preserve"> </w:t>
      </w:r>
      <w:r>
        <w:rPr>
          <w:rFonts w:hint="eastAsia" w:ascii="楷体" w:hAnsi="楷体" w:eastAsia="楷体"/>
          <w:sz w:val="28"/>
          <w:szCs w:val="28"/>
        </w:rPr>
        <w:t>任务来源</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本标准的研制任务由国家知识产权局提出，经国家标准化管理委员会批准，正式列入20</w:t>
      </w:r>
      <w:r>
        <w:rPr>
          <w:rFonts w:ascii="仿宋" w:hAnsi="仿宋" w:eastAsia="仿宋"/>
          <w:color w:val="000000"/>
          <w:sz w:val="28"/>
          <w:szCs w:val="28"/>
        </w:rPr>
        <w:t>22</w:t>
      </w:r>
      <w:r>
        <w:rPr>
          <w:rFonts w:hint="eastAsia" w:ascii="仿宋" w:hAnsi="仿宋" w:eastAsia="仿宋"/>
          <w:color w:val="000000"/>
          <w:sz w:val="28"/>
          <w:szCs w:val="28"/>
        </w:rPr>
        <w:t>年国家标准制修订项目计划，项目编号为</w:t>
      </w:r>
      <w:r>
        <w:rPr>
          <w:rFonts w:ascii="仿宋" w:hAnsi="仿宋" w:eastAsia="仿宋"/>
          <w:color w:val="000000"/>
          <w:sz w:val="28"/>
          <w:szCs w:val="28"/>
        </w:rPr>
        <w:t>20221578-T-463</w:t>
      </w:r>
      <w:r>
        <w:rPr>
          <w:rFonts w:hint="eastAsia" w:ascii="仿宋" w:hAnsi="仿宋" w:eastAsia="仿宋"/>
          <w:color w:val="000000"/>
          <w:sz w:val="28"/>
          <w:szCs w:val="28"/>
        </w:rPr>
        <w:t>，标准名称为“知识产权鉴定规范 第</w:t>
      </w:r>
      <w:r>
        <w:rPr>
          <w:rFonts w:ascii="仿宋" w:hAnsi="仿宋" w:eastAsia="仿宋"/>
          <w:color w:val="000000"/>
          <w:sz w:val="28"/>
          <w:szCs w:val="28"/>
        </w:rPr>
        <w:t>2</w:t>
      </w:r>
      <w:r>
        <w:rPr>
          <w:rFonts w:hint="eastAsia" w:ascii="仿宋" w:hAnsi="仿宋" w:eastAsia="仿宋"/>
          <w:color w:val="000000"/>
          <w:sz w:val="28"/>
          <w:szCs w:val="28"/>
        </w:rPr>
        <w:t>部分：专利”。</w:t>
      </w:r>
    </w:p>
    <w:p>
      <w:pPr>
        <w:spacing w:before="156" w:beforeLines="50" w:line="360" w:lineRule="auto"/>
        <w:ind w:firstLine="441" w:firstLineChars="147"/>
        <w:rPr>
          <w:rFonts w:ascii="楷体" w:hAnsi="楷体" w:eastAsia="楷体"/>
          <w:sz w:val="30"/>
          <w:szCs w:val="30"/>
        </w:rPr>
      </w:pPr>
      <w:r>
        <w:rPr>
          <w:rFonts w:ascii="楷体" w:hAnsi="楷体" w:eastAsia="楷体"/>
          <w:sz w:val="30"/>
          <w:szCs w:val="30"/>
        </w:rPr>
        <w:t>2</w:t>
      </w:r>
      <w:r>
        <w:rPr>
          <w:rFonts w:hint="eastAsia" w:ascii="楷体" w:hAnsi="楷体" w:eastAsia="楷体"/>
          <w:sz w:val="30"/>
          <w:szCs w:val="30"/>
        </w:rPr>
        <w:t>.</w:t>
      </w:r>
      <w:r>
        <w:rPr>
          <w:rFonts w:ascii="楷体" w:hAnsi="楷体" w:eastAsia="楷体"/>
          <w:sz w:val="30"/>
          <w:szCs w:val="30"/>
        </w:rPr>
        <w:t xml:space="preserve"> </w:t>
      </w:r>
      <w:r>
        <w:rPr>
          <w:rFonts w:hint="eastAsia" w:ascii="楷体" w:hAnsi="楷体" w:eastAsia="楷体"/>
          <w:sz w:val="30"/>
          <w:szCs w:val="30"/>
        </w:rPr>
        <w:t>主要工作过程</w:t>
      </w:r>
    </w:p>
    <w:p>
      <w:pPr>
        <w:numPr>
          <w:ilvl w:val="0"/>
          <w:numId w:val="2"/>
        </w:numPr>
        <w:spacing w:before="156" w:beforeLines="50" w:line="360" w:lineRule="auto"/>
        <w:rPr>
          <w:rFonts w:ascii="楷体" w:hAnsi="楷体" w:eastAsia="楷体"/>
          <w:sz w:val="30"/>
          <w:szCs w:val="30"/>
        </w:rPr>
      </w:pPr>
      <w:r>
        <w:rPr>
          <w:rFonts w:hint="eastAsia" w:ascii="楷体" w:hAnsi="楷体" w:eastAsia="楷体"/>
          <w:sz w:val="30"/>
          <w:szCs w:val="30"/>
        </w:rPr>
        <w:t>立项阶段</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20</w:t>
      </w:r>
      <w:r>
        <w:rPr>
          <w:rFonts w:ascii="仿宋" w:hAnsi="仿宋" w:eastAsia="仿宋"/>
          <w:color w:val="000000"/>
          <w:sz w:val="28"/>
          <w:szCs w:val="28"/>
        </w:rPr>
        <w:t>21</w:t>
      </w:r>
      <w:r>
        <w:rPr>
          <w:rFonts w:hint="eastAsia" w:ascii="仿宋" w:hAnsi="仿宋" w:eastAsia="仿宋"/>
          <w:color w:val="000000"/>
          <w:sz w:val="28"/>
          <w:szCs w:val="28"/>
        </w:rPr>
        <w:t>年</w:t>
      </w:r>
      <w:r>
        <w:rPr>
          <w:rFonts w:ascii="仿宋" w:hAnsi="仿宋" w:eastAsia="仿宋"/>
          <w:color w:val="000000"/>
          <w:sz w:val="28"/>
          <w:szCs w:val="28"/>
        </w:rPr>
        <w:t>2</w:t>
      </w:r>
      <w:r>
        <w:rPr>
          <w:rFonts w:hint="eastAsia" w:ascii="仿宋" w:hAnsi="仿宋" w:eastAsia="仿宋"/>
          <w:color w:val="000000"/>
          <w:sz w:val="28"/>
          <w:szCs w:val="28"/>
        </w:rPr>
        <w:t>月，受国家知识产权局的委托，中国标准化研究院开展“知识产权鉴定规范”系列国家标准前期资料调研和框架研究工作，并通过全国知识管理标准化技术委员会提交了《知识产权鉴定规范 第</w:t>
      </w:r>
      <w:r>
        <w:rPr>
          <w:rFonts w:ascii="仿宋" w:hAnsi="仿宋" w:eastAsia="仿宋"/>
          <w:color w:val="000000"/>
          <w:sz w:val="28"/>
          <w:szCs w:val="28"/>
        </w:rPr>
        <w:t>2</w:t>
      </w:r>
      <w:r>
        <w:rPr>
          <w:rFonts w:hint="eastAsia" w:ascii="仿宋" w:hAnsi="仿宋" w:eastAsia="仿宋"/>
          <w:color w:val="000000"/>
          <w:sz w:val="28"/>
          <w:szCs w:val="28"/>
        </w:rPr>
        <w:t>部分：专利》立项申报材料。</w:t>
      </w:r>
    </w:p>
    <w:p>
      <w:pPr>
        <w:numPr>
          <w:ilvl w:val="0"/>
          <w:numId w:val="2"/>
        </w:numPr>
        <w:spacing w:before="156" w:beforeLines="50" w:line="360" w:lineRule="auto"/>
        <w:rPr>
          <w:rFonts w:ascii="楷体" w:hAnsi="楷体" w:eastAsia="楷体"/>
          <w:sz w:val="30"/>
          <w:szCs w:val="30"/>
        </w:rPr>
      </w:pPr>
      <w:r>
        <w:rPr>
          <w:rFonts w:hint="eastAsia" w:ascii="楷体" w:hAnsi="楷体" w:eastAsia="楷体"/>
          <w:sz w:val="30"/>
          <w:szCs w:val="30"/>
        </w:rPr>
        <w:t>草案阶段</w:t>
      </w:r>
    </w:p>
    <w:p>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2022年8月，</w:t>
      </w:r>
      <w:r>
        <w:rPr>
          <w:rFonts w:hint="eastAsia" w:ascii="仿宋" w:hAnsi="仿宋" w:eastAsia="仿宋"/>
          <w:color w:val="000000"/>
          <w:sz w:val="28"/>
          <w:szCs w:val="28"/>
        </w:rPr>
        <w:t>以国家知识产权局知识产权保护司牵头组成的标准起草组在反复研究讨论的基础上，形成了《知识产权鉴定规范第2部分：专利</w:t>
      </w:r>
      <w:r>
        <w:rPr>
          <w:rFonts w:hint="eastAsia" w:ascii="仿宋" w:hAnsi="仿宋" w:eastAsia="仿宋"/>
          <w:sz w:val="28"/>
        </w:rPr>
        <w:t>（草案稿）</w:t>
      </w:r>
      <w:r>
        <w:rPr>
          <w:rFonts w:hint="eastAsia" w:ascii="仿宋" w:hAnsi="仿宋" w:eastAsia="仿宋"/>
          <w:color w:val="000000"/>
          <w:sz w:val="28"/>
          <w:szCs w:val="28"/>
        </w:rPr>
        <w:t>》。</w:t>
      </w:r>
    </w:p>
    <w:p>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2023</w:t>
      </w:r>
      <w:r>
        <w:rPr>
          <w:rFonts w:hint="eastAsia" w:ascii="仿宋" w:hAnsi="仿宋" w:eastAsia="仿宋"/>
          <w:color w:val="000000"/>
          <w:sz w:val="28"/>
          <w:szCs w:val="28"/>
        </w:rPr>
        <w:t>年</w:t>
      </w:r>
      <w:r>
        <w:rPr>
          <w:rFonts w:ascii="仿宋" w:hAnsi="仿宋" w:eastAsia="仿宋"/>
          <w:color w:val="000000"/>
          <w:sz w:val="28"/>
          <w:szCs w:val="28"/>
        </w:rPr>
        <w:t>4</w:t>
      </w:r>
      <w:r>
        <w:rPr>
          <w:rFonts w:hint="eastAsia" w:ascii="仿宋" w:hAnsi="仿宋" w:eastAsia="仿宋"/>
          <w:color w:val="000000"/>
          <w:sz w:val="28"/>
          <w:szCs w:val="28"/>
        </w:rPr>
        <w:t>月，中国知识产权研究会向相关的鉴定机构、司法机关定向征求意见，并收到反馈意见5条；根据反馈意见，标准起草组进行了修改完善。</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023</w:t>
      </w:r>
      <w:r>
        <w:rPr>
          <w:rFonts w:hint="eastAsia" w:ascii="仿宋" w:hAnsi="仿宋" w:eastAsia="仿宋"/>
          <w:color w:val="000000"/>
          <w:sz w:val="28"/>
          <w:szCs w:val="28"/>
        </w:rPr>
        <w:t>年5月，国家知识产权局知识产权保护司再次向国家知识产权局条法司、审查业务部、复审和无效审理部、商标局定向征集意见，并收到反馈意见</w:t>
      </w:r>
      <w:r>
        <w:rPr>
          <w:rFonts w:ascii="仿宋" w:hAnsi="仿宋" w:eastAsia="仿宋"/>
          <w:color w:val="000000"/>
          <w:sz w:val="28"/>
          <w:szCs w:val="28"/>
        </w:rPr>
        <w:t>3</w:t>
      </w:r>
      <w:r>
        <w:rPr>
          <w:rFonts w:hint="eastAsia" w:ascii="仿宋" w:hAnsi="仿宋" w:eastAsia="仿宋"/>
          <w:color w:val="000000"/>
          <w:sz w:val="28"/>
          <w:szCs w:val="28"/>
        </w:rPr>
        <w:t>条；根据反馈意见，标准起草组进行了修改完善。</w:t>
      </w:r>
    </w:p>
    <w:p>
      <w:pPr>
        <w:spacing w:line="360" w:lineRule="auto"/>
        <w:ind w:firstLine="560" w:firstLineChars="200"/>
        <w:rPr>
          <w:b/>
          <w:bCs/>
          <w:sz w:val="28"/>
        </w:rPr>
      </w:pPr>
      <w:r>
        <w:rPr>
          <w:rFonts w:ascii="仿宋" w:hAnsi="仿宋" w:eastAsia="仿宋"/>
          <w:color w:val="000000"/>
          <w:sz w:val="28"/>
          <w:szCs w:val="28"/>
        </w:rPr>
        <w:t>3</w:t>
      </w:r>
      <w:r>
        <w:rPr>
          <w:rFonts w:hint="eastAsia" w:ascii="仿宋" w:hAnsi="仿宋" w:eastAsia="仿宋"/>
          <w:color w:val="000000"/>
          <w:sz w:val="28"/>
          <w:szCs w:val="28"/>
        </w:rPr>
        <w:t>.</w:t>
      </w:r>
      <w:r>
        <w:rPr>
          <w:rFonts w:ascii="仿宋" w:hAnsi="仿宋" w:eastAsia="仿宋"/>
          <w:color w:val="000000"/>
          <w:sz w:val="28"/>
          <w:szCs w:val="28"/>
        </w:rPr>
        <w:t xml:space="preserve"> </w:t>
      </w:r>
      <w:r>
        <w:rPr>
          <w:rFonts w:hint="eastAsia"/>
          <w:b/>
          <w:bCs/>
          <w:sz w:val="28"/>
        </w:rPr>
        <w:t>本标准主要内容</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w:t>
      </w:r>
      <w:r>
        <w:rPr>
          <w:rFonts w:ascii="仿宋" w:hAnsi="仿宋" w:eastAsia="仿宋"/>
          <w:color w:val="000000"/>
          <w:sz w:val="28"/>
          <w:szCs w:val="28"/>
        </w:rPr>
        <w:t>知识产权鉴定规范</w:t>
      </w:r>
      <w:r>
        <w:rPr>
          <w:rFonts w:hint="eastAsia" w:ascii="仿宋" w:hAnsi="仿宋" w:eastAsia="仿宋"/>
          <w:color w:val="000000"/>
          <w:sz w:val="28"/>
          <w:szCs w:val="28"/>
        </w:rPr>
        <w:t xml:space="preserve"> 第</w:t>
      </w:r>
      <w:r>
        <w:rPr>
          <w:rFonts w:ascii="仿宋" w:hAnsi="仿宋" w:eastAsia="仿宋"/>
          <w:color w:val="000000"/>
          <w:sz w:val="28"/>
          <w:szCs w:val="28"/>
        </w:rPr>
        <w:t>2</w:t>
      </w:r>
      <w:r>
        <w:rPr>
          <w:rFonts w:hint="eastAsia" w:ascii="仿宋" w:hAnsi="仿宋" w:eastAsia="仿宋"/>
          <w:color w:val="000000"/>
          <w:sz w:val="28"/>
          <w:szCs w:val="28"/>
        </w:rPr>
        <w:t>部分：专利（征求意见稿）》包括：</w:t>
      </w:r>
      <w:r>
        <w:rPr>
          <w:rFonts w:ascii="仿宋" w:hAnsi="仿宋" w:eastAsia="仿宋"/>
          <w:color w:val="000000"/>
          <w:sz w:val="28"/>
          <w:szCs w:val="28"/>
        </w:rPr>
        <w:t>范围，规范性</w:t>
      </w:r>
      <w:r>
        <w:rPr>
          <w:rFonts w:hint="eastAsia" w:ascii="仿宋" w:hAnsi="仿宋" w:eastAsia="仿宋"/>
          <w:color w:val="000000"/>
          <w:sz w:val="28"/>
          <w:szCs w:val="28"/>
        </w:rPr>
        <w:t>引用</w:t>
      </w:r>
      <w:r>
        <w:rPr>
          <w:rFonts w:ascii="仿宋" w:hAnsi="仿宋" w:eastAsia="仿宋"/>
          <w:color w:val="000000"/>
          <w:sz w:val="28"/>
          <w:szCs w:val="28"/>
        </w:rPr>
        <w:t>文件、</w:t>
      </w:r>
      <w:r>
        <w:rPr>
          <w:rFonts w:hint="eastAsia" w:ascii="仿宋" w:hAnsi="仿宋" w:eastAsia="仿宋"/>
          <w:color w:val="000000"/>
          <w:sz w:val="28"/>
          <w:szCs w:val="28"/>
        </w:rPr>
        <w:t>术语</w:t>
      </w:r>
      <w:r>
        <w:rPr>
          <w:rFonts w:ascii="仿宋" w:hAnsi="仿宋" w:eastAsia="仿宋"/>
          <w:color w:val="000000"/>
          <w:sz w:val="28"/>
          <w:szCs w:val="28"/>
        </w:rPr>
        <w:t>和定义、</w:t>
      </w:r>
      <w:r>
        <w:rPr>
          <w:rFonts w:hint="eastAsia" w:ascii="仿宋" w:hAnsi="仿宋" w:eastAsia="仿宋"/>
          <w:color w:val="000000"/>
          <w:sz w:val="28"/>
          <w:szCs w:val="28"/>
        </w:rPr>
        <w:t>基本要求</w:t>
      </w:r>
      <w:r>
        <w:rPr>
          <w:rFonts w:ascii="仿宋" w:hAnsi="仿宋" w:eastAsia="仿宋"/>
          <w:color w:val="000000"/>
          <w:sz w:val="28"/>
          <w:szCs w:val="28"/>
        </w:rPr>
        <w:t>、</w:t>
      </w:r>
      <w:r>
        <w:rPr>
          <w:rFonts w:hint="eastAsia" w:ascii="仿宋" w:hAnsi="仿宋" w:eastAsia="仿宋"/>
          <w:color w:val="000000"/>
          <w:sz w:val="28"/>
          <w:szCs w:val="28"/>
        </w:rPr>
        <w:t>发明和实用新型鉴定实施</w:t>
      </w:r>
      <w:r>
        <w:rPr>
          <w:rFonts w:ascii="仿宋" w:hAnsi="仿宋" w:eastAsia="仿宋"/>
          <w:color w:val="000000"/>
          <w:sz w:val="28"/>
          <w:szCs w:val="28"/>
        </w:rPr>
        <w:t>、</w:t>
      </w:r>
      <w:r>
        <w:rPr>
          <w:rFonts w:hint="eastAsia" w:ascii="仿宋" w:hAnsi="仿宋" w:eastAsia="仿宋"/>
          <w:color w:val="000000"/>
          <w:sz w:val="28"/>
          <w:szCs w:val="28"/>
        </w:rPr>
        <w:t>外观设计鉴定实施</w:t>
      </w:r>
      <w:r>
        <w:rPr>
          <w:rFonts w:ascii="仿宋" w:hAnsi="仿宋" w:eastAsia="仿宋"/>
          <w:color w:val="000000"/>
          <w:sz w:val="28"/>
          <w:szCs w:val="28"/>
        </w:rPr>
        <w:t>。</w:t>
      </w:r>
    </w:p>
    <w:p>
      <w:pPr>
        <w:numPr>
          <w:ilvl w:val="0"/>
          <w:numId w:val="1"/>
        </w:numPr>
        <w:spacing w:line="360" w:lineRule="auto"/>
        <w:outlineLvl w:val="0"/>
        <w:rPr>
          <w:b/>
          <w:bCs/>
          <w:sz w:val="28"/>
        </w:rPr>
      </w:pPr>
      <w:r>
        <w:rPr>
          <w:rFonts w:hint="eastAsia"/>
          <w:b/>
          <w:bCs/>
          <w:sz w:val="28"/>
        </w:rPr>
        <w:t>有关标准编制过程中的技术说明</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1</w:t>
      </w:r>
      <w:r>
        <w:rPr>
          <w:rFonts w:ascii="仿宋" w:hAnsi="仿宋" w:eastAsia="仿宋"/>
          <w:color w:val="000000"/>
          <w:sz w:val="28"/>
          <w:szCs w:val="28"/>
        </w:rPr>
        <w:t>.</w:t>
      </w:r>
      <w:r>
        <w:rPr>
          <w:rFonts w:hint="eastAsia" w:ascii="仿宋" w:hAnsi="仿宋" w:eastAsia="仿宋"/>
          <w:color w:val="000000"/>
          <w:sz w:val="28"/>
          <w:szCs w:val="28"/>
        </w:rPr>
        <w:t>编制背景</w:t>
      </w:r>
    </w:p>
    <w:p>
      <w:pPr>
        <w:spacing w:line="360" w:lineRule="auto"/>
        <w:ind w:firstLine="560" w:firstLineChars="200"/>
        <w:rPr>
          <w:rFonts w:ascii="仿宋" w:hAnsi="仿宋" w:eastAsia="仿宋"/>
          <w:sz w:val="28"/>
        </w:rPr>
      </w:pPr>
      <w:r>
        <w:rPr>
          <w:rFonts w:hint="eastAsia" w:ascii="仿宋" w:hAnsi="仿宋" w:eastAsia="仿宋"/>
          <w:sz w:val="28"/>
        </w:rPr>
        <w:t>知识产权鉴定作为由专业人员运用专门知识对知识产权侵权有关的专门性问题进行鉴别、判断的一种活动，是支撑知识产权保护工作的重要内容，对于客观公正处理知识产权纠纷</w:t>
      </w:r>
      <w:r>
        <w:rPr>
          <w:rFonts w:hint="eastAsia" w:ascii="仿宋" w:hAnsi="仿宋" w:eastAsia="仿宋"/>
          <w:sz w:val="28"/>
          <w:lang w:val="en"/>
        </w:rPr>
        <w:t>，</w:t>
      </w:r>
      <w:r>
        <w:rPr>
          <w:rFonts w:hint="eastAsia" w:ascii="仿宋" w:hAnsi="仿宋" w:eastAsia="仿宋"/>
          <w:sz w:val="28"/>
        </w:rPr>
        <w:t>提高知识产权侵权判定能力和水平，满足社会对知识产权鉴定的需要，提高我国知识产权保护治理能力和治理体系现代化建设具有重要意义。2021年9月，中共中央、国务院印发《知识产权强国建设纲要（2021－2035年）》，明确提出建立完善知识产权侵权纠纷检验鉴定工作体系。2021年10月，国务院印发《“十四五”国家知识产权保护和运用规划》</w:t>
      </w:r>
      <w:r>
        <w:rPr>
          <w:rFonts w:ascii="仿宋" w:hAnsi="仿宋" w:eastAsia="仿宋"/>
          <w:sz w:val="28"/>
          <w:lang w:val="en"/>
        </w:rPr>
        <w:t>,</w:t>
      </w:r>
      <w:r>
        <w:rPr>
          <w:rFonts w:hint="eastAsia" w:ascii="仿宋" w:hAnsi="仿宋" w:eastAsia="仿宋"/>
          <w:sz w:val="28"/>
        </w:rPr>
        <w:t>明确提出建立完善知识产权侵权纠纷检验鉴定工作体系，加强知识产权鉴定机构专业化、规范化建设，推动建立知识产权鉴定技术标准。</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为落实《</w:t>
      </w:r>
      <w:r>
        <w:rPr>
          <w:rFonts w:ascii="仿宋" w:hAnsi="仿宋" w:eastAsia="仿宋"/>
          <w:color w:val="000000"/>
          <w:sz w:val="28"/>
          <w:szCs w:val="28"/>
        </w:rPr>
        <w:t>知识产权强国建设纲要（2021-2035年）</w:t>
      </w:r>
      <w:r>
        <w:rPr>
          <w:rFonts w:hint="eastAsia" w:ascii="仿宋" w:hAnsi="仿宋" w:eastAsia="仿宋"/>
          <w:color w:val="000000"/>
          <w:sz w:val="28"/>
          <w:szCs w:val="28"/>
        </w:rPr>
        <w:t>》关于</w:t>
      </w:r>
      <w:r>
        <w:rPr>
          <w:rFonts w:ascii="仿宋" w:hAnsi="仿宋" w:eastAsia="仿宋"/>
          <w:color w:val="000000"/>
          <w:sz w:val="28"/>
          <w:szCs w:val="28"/>
        </w:rPr>
        <w:t>建立完善知识产权侵权纠纷检验鉴定工作体系</w:t>
      </w:r>
      <w:r>
        <w:rPr>
          <w:rFonts w:hint="eastAsia" w:ascii="仿宋" w:hAnsi="仿宋" w:eastAsia="仿宋"/>
          <w:color w:val="000000"/>
          <w:sz w:val="28"/>
          <w:szCs w:val="28"/>
        </w:rPr>
        <w:t>的工作要求，按照</w:t>
      </w:r>
      <w:r>
        <w:rPr>
          <w:rFonts w:ascii="仿宋" w:hAnsi="仿宋" w:eastAsia="仿宋"/>
          <w:color w:val="000000"/>
          <w:sz w:val="28"/>
          <w:szCs w:val="28"/>
        </w:rPr>
        <w:t>《“十四五”国家知识产权保护和运用规划》</w:t>
      </w:r>
      <w:r>
        <w:rPr>
          <w:rFonts w:hint="eastAsia" w:ascii="仿宋" w:hAnsi="仿宋" w:eastAsia="仿宋"/>
          <w:color w:val="000000"/>
          <w:sz w:val="28"/>
          <w:szCs w:val="28"/>
        </w:rPr>
        <w:t>关于</w:t>
      </w:r>
      <w:r>
        <w:rPr>
          <w:rFonts w:ascii="仿宋" w:hAnsi="仿宋" w:eastAsia="仿宋"/>
          <w:color w:val="000000"/>
          <w:sz w:val="28"/>
          <w:szCs w:val="28"/>
        </w:rPr>
        <w:t>建立完善知识产权侵权纠纷检验鉴定工作体系，加强知识产权鉴定机构专业化、规范化建设</w:t>
      </w:r>
      <w:r>
        <w:rPr>
          <w:rFonts w:hint="eastAsia" w:ascii="仿宋" w:hAnsi="仿宋" w:eastAsia="仿宋"/>
          <w:color w:val="000000"/>
          <w:sz w:val="28"/>
          <w:szCs w:val="28"/>
        </w:rPr>
        <w:t>的工作部署，充分发挥</w:t>
      </w:r>
      <w:r>
        <w:rPr>
          <w:rFonts w:ascii="仿宋" w:hAnsi="仿宋" w:eastAsia="仿宋"/>
          <w:color w:val="000000"/>
          <w:sz w:val="28"/>
          <w:szCs w:val="28"/>
        </w:rPr>
        <w:t>知识产权鉴定在知识产权</w:t>
      </w:r>
      <w:r>
        <w:rPr>
          <w:rFonts w:hint="eastAsia" w:ascii="仿宋" w:hAnsi="仿宋" w:eastAsia="仿宋"/>
          <w:color w:val="000000"/>
          <w:sz w:val="28"/>
          <w:szCs w:val="28"/>
        </w:rPr>
        <w:t>司法审判、</w:t>
      </w:r>
      <w:r>
        <w:rPr>
          <w:rFonts w:ascii="仿宋" w:hAnsi="仿宋" w:eastAsia="仿宋"/>
          <w:color w:val="000000"/>
          <w:sz w:val="28"/>
          <w:szCs w:val="28"/>
        </w:rPr>
        <w:t>行政</w:t>
      </w:r>
      <w:r>
        <w:rPr>
          <w:rFonts w:hint="eastAsia" w:ascii="仿宋" w:hAnsi="仿宋" w:eastAsia="仿宋"/>
          <w:color w:val="000000"/>
          <w:sz w:val="28"/>
          <w:szCs w:val="28"/>
        </w:rPr>
        <w:t>执法</w:t>
      </w:r>
      <w:r>
        <w:rPr>
          <w:rFonts w:ascii="仿宋" w:hAnsi="仿宋" w:eastAsia="仿宋"/>
          <w:color w:val="000000"/>
          <w:sz w:val="28"/>
          <w:szCs w:val="28"/>
        </w:rPr>
        <w:t>等活动</w:t>
      </w:r>
      <w:r>
        <w:rPr>
          <w:rFonts w:hint="eastAsia" w:ascii="仿宋" w:hAnsi="仿宋" w:eastAsia="仿宋"/>
          <w:color w:val="000000"/>
          <w:sz w:val="28"/>
          <w:szCs w:val="28"/>
        </w:rPr>
        <w:t>中</w:t>
      </w:r>
      <w:r>
        <w:rPr>
          <w:rFonts w:ascii="仿宋" w:hAnsi="仿宋" w:eastAsia="仿宋"/>
          <w:color w:val="000000"/>
          <w:sz w:val="28"/>
          <w:szCs w:val="28"/>
        </w:rPr>
        <w:t>的技术</w:t>
      </w:r>
      <w:r>
        <w:rPr>
          <w:rFonts w:hint="eastAsia" w:ascii="仿宋" w:hAnsi="仿宋" w:eastAsia="仿宋"/>
          <w:color w:val="000000"/>
          <w:sz w:val="28"/>
          <w:szCs w:val="28"/>
        </w:rPr>
        <w:t>支撑</w:t>
      </w:r>
      <w:r>
        <w:rPr>
          <w:rFonts w:ascii="仿宋" w:hAnsi="仿宋" w:eastAsia="仿宋"/>
          <w:color w:val="000000"/>
          <w:sz w:val="28"/>
          <w:szCs w:val="28"/>
        </w:rPr>
        <w:t>作用</w:t>
      </w:r>
      <w:r>
        <w:rPr>
          <w:rFonts w:hint="eastAsia" w:ascii="仿宋" w:hAnsi="仿宋" w:eastAsia="仿宋"/>
          <w:color w:val="000000"/>
          <w:sz w:val="28"/>
          <w:szCs w:val="28"/>
        </w:rPr>
        <w:t>，满足</w:t>
      </w:r>
      <w:r>
        <w:rPr>
          <w:rFonts w:ascii="仿宋" w:hAnsi="仿宋" w:eastAsia="仿宋"/>
          <w:color w:val="000000"/>
          <w:sz w:val="28"/>
          <w:szCs w:val="28"/>
        </w:rPr>
        <w:t>知识产权鉴定由行政管理向行业管理转变的需求</w:t>
      </w:r>
      <w:r>
        <w:rPr>
          <w:rFonts w:hint="eastAsia" w:ascii="仿宋" w:hAnsi="仿宋" w:eastAsia="仿宋"/>
          <w:color w:val="000000"/>
          <w:sz w:val="28"/>
          <w:szCs w:val="28"/>
        </w:rPr>
        <w:t>。知识产权保护司组织</w:t>
      </w:r>
      <w:r>
        <w:rPr>
          <w:rFonts w:ascii="仿宋" w:hAnsi="仿宋" w:eastAsia="仿宋"/>
          <w:color w:val="000000"/>
          <w:sz w:val="28"/>
          <w:szCs w:val="28"/>
        </w:rPr>
        <w:t>编制</w:t>
      </w:r>
      <w:r>
        <w:rPr>
          <w:rFonts w:hint="eastAsia" w:ascii="仿宋" w:hAnsi="仿宋" w:eastAsia="仿宋"/>
          <w:color w:val="000000"/>
          <w:sz w:val="28"/>
          <w:szCs w:val="28"/>
        </w:rPr>
        <w:t>知识</w:t>
      </w:r>
      <w:r>
        <w:rPr>
          <w:rFonts w:ascii="仿宋" w:hAnsi="仿宋" w:eastAsia="仿宋"/>
          <w:color w:val="000000"/>
          <w:sz w:val="28"/>
          <w:szCs w:val="28"/>
        </w:rPr>
        <w:t>产权鉴定规范系列团体标准</w:t>
      </w:r>
      <w:r>
        <w:rPr>
          <w:rFonts w:hint="eastAsia" w:ascii="仿宋" w:hAnsi="仿宋" w:eastAsia="仿宋"/>
          <w:color w:val="000000"/>
          <w:sz w:val="28"/>
          <w:szCs w:val="28"/>
        </w:rPr>
        <w:t>，为</w:t>
      </w:r>
      <w:r>
        <w:rPr>
          <w:rFonts w:ascii="仿宋" w:hAnsi="仿宋" w:eastAsia="仿宋"/>
          <w:color w:val="000000"/>
          <w:sz w:val="28"/>
          <w:szCs w:val="28"/>
        </w:rPr>
        <w:t>知识产权鉴定机构日常鉴定活动提供参照和指引</w:t>
      </w:r>
      <w:r>
        <w:rPr>
          <w:rFonts w:hint="eastAsia" w:ascii="仿宋" w:hAnsi="仿宋" w:eastAsia="仿宋"/>
          <w:color w:val="000000"/>
          <w:sz w:val="28"/>
          <w:szCs w:val="28"/>
        </w:rPr>
        <w:t>。</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2.以促进知识产权鉴定行业健康发展为目标</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本标准以促进知识产权鉴定行业健康发展为目标，以促进知识产权鉴定行业专业化、规范化为导向，规范知识产权鉴定管理，主要涉及知识产权鉴定机构运营管理、鉴定组织、资源保障、评价改进方面的内容。</w:t>
      </w:r>
    </w:p>
    <w:p>
      <w:pPr>
        <w:spacing w:line="360" w:lineRule="auto"/>
        <w:ind w:firstLine="560" w:firstLineChars="200"/>
        <w:rPr>
          <w:rFonts w:ascii="仿宋" w:hAnsi="仿宋" w:eastAsia="仿宋"/>
          <w:color w:val="000000"/>
          <w:sz w:val="28"/>
          <w:szCs w:val="28"/>
        </w:rPr>
      </w:pPr>
      <w:r>
        <w:rPr>
          <w:rFonts w:ascii="仿宋" w:hAnsi="仿宋" w:eastAsia="仿宋"/>
          <w:color w:val="000000"/>
          <w:sz w:val="28"/>
          <w:szCs w:val="28"/>
        </w:rPr>
        <w:t xml:space="preserve">3. </w:t>
      </w:r>
      <w:r>
        <w:rPr>
          <w:rFonts w:hint="eastAsia" w:ascii="仿宋" w:hAnsi="仿宋" w:eastAsia="仿宋"/>
          <w:color w:val="000000"/>
          <w:sz w:val="28"/>
          <w:szCs w:val="28"/>
        </w:rPr>
        <w:t>充分依托“知识产权侵权纠纷检验鉴定技术支撑体系建设试点工作”中的经验成果和技术内容</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为进一步贯彻落实中央决策部署，加强知识产权侵权鉴定能力建设，国家知识产权局于2019年组织开展知识产权侵权纠纷检验鉴定技术支撑体系建设试点工作，鼓励地方研究制定相关标准规范。深圳市从基础通用类规范、业务流程类规范、服务保障类规范三个部分制定配套的工作程序、业务规范体系。浙江省起草形成《电子商务领域知识产权侵权咨询服务规范》草稿，积极推动成为浙江省地方标准。重庆、江苏、天津等地制订形成《发明、实用新型专利鉴定实施规范》《技术信息非公知性鉴定实施规范》和《技术信息同一性鉴定实施规范》等技术规范。2020年7月，镇江市正式发布实施地方标准《专利侵权技术鉴定服务规范》（DB3211/T 1016-2020），成为全国首个专利侵权技术鉴定服务地方标准。</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本标准的技术内容，主要以知识产权鉴定行业从业机构的使用为主，对于从业人员的要求，也通过对鉴定机构的经营管理者提出要求，进一步由鉴定机构去指导和约束鉴定从业人员开展知识产权规范化管理。</w:t>
      </w:r>
    </w:p>
    <w:p>
      <w:pPr>
        <w:numPr>
          <w:ilvl w:val="0"/>
          <w:numId w:val="1"/>
        </w:numPr>
        <w:spacing w:line="360" w:lineRule="auto"/>
        <w:outlineLvl w:val="0"/>
        <w:rPr>
          <w:b/>
          <w:bCs/>
          <w:sz w:val="28"/>
        </w:rPr>
      </w:pPr>
      <w:r>
        <w:rPr>
          <w:rFonts w:hint="eastAsia"/>
          <w:b/>
          <w:bCs/>
          <w:sz w:val="28"/>
        </w:rPr>
        <w:t>采用国际标准和国外先进标准的程度</w:t>
      </w:r>
    </w:p>
    <w:p>
      <w:pPr>
        <w:spacing w:line="360" w:lineRule="auto"/>
        <w:ind w:firstLine="560" w:firstLineChars="200"/>
        <w:rPr>
          <w:rFonts w:ascii="宋体" w:hAnsi="宋体" w:cs="宋体"/>
          <w:bCs/>
          <w:sz w:val="24"/>
        </w:rPr>
      </w:pPr>
      <w:r>
        <w:rPr>
          <w:rFonts w:hint="eastAsia" w:ascii="仿宋" w:hAnsi="仿宋" w:eastAsia="仿宋"/>
          <w:color w:val="000000"/>
          <w:sz w:val="28"/>
          <w:szCs w:val="28"/>
        </w:rPr>
        <w:t>本标准为首次自主制定，不涉及国际国外标准采标情况。</w:t>
      </w:r>
    </w:p>
    <w:p>
      <w:pPr>
        <w:numPr>
          <w:ilvl w:val="0"/>
          <w:numId w:val="1"/>
        </w:numPr>
        <w:spacing w:line="360" w:lineRule="auto"/>
        <w:outlineLvl w:val="0"/>
        <w:rPr>
          <w:b/>
          <w:bCs/>
          <w:sz w:val="28"/>
        </w:rPr>
      </w:pPr>
      <w:r>
        <w:rPr>
          <w:rFonts w:hint="eastAsia"/>
          <w:b/>
          <w:bCs/>
          <w:sz w:val="28"/>
        </w:rPr>
        <w:t>与有关的现行法律、法规和强制性国家标准的关系</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本标准条款符合《最高人民法院关于知识产权民事诉讼证据的若干规定》、《司法鉴定程序通则》及《专利侵权纠纷行政裁决办案指南》等相关法律法规的要求。本标准不涉及强制性国家标准条款。</w:t>
      </w:r>
    </w:p>
    <w:p>
      <w:pPr>
        <w:numPr>
          <w:ilvl w:val="0"/>
          <w:numId w:val="1"/>
        </w:numPr>
        <w:spacing w:line="360" w:lineRule="auto"/>
        <w:outlineLvl w:val="0"/>
        <w:rPr>
          <w:b/>
          <w:bCs/>
          <w:sz w:val="28"/>
        </w:rPr>
      </w:pPr>
      <w:r>
        <w:rPr>
          <w:rFonts w:hint="eastAsia"/>
          <w:b/>
          <w:bCs/>
          <w:sz w:val="28"/>
        </w:rPr>
        <w:t>重大分歧意见的处理经过和依据</w:t>
      </w:r>
    </w:p>
    <w:p>
      <w:pPr>
        <w:spacing w:line="360" w:lineRule="auto"/>
        <w:ind w:firstLine="560" w:firstLineChars="200"/>
        <w:rPr>
          <w:sz w:val="24"/>
        </w:rPr>
      </w:pPr>
      <w:r>
        <w:rPr>
          <w:rFonts w:hint="eastAsia" w:ascii="仿宋" w:hAnsi="仿宋" w:eastAsia="仿宋"/>
          <w:color w:val="000000"/>
          <w:sz w:val="28"/>
          <w:szCs w:val="28"/>
        </w:rPr>
        <w:t>本标准在制定过程中未出现重大分歧意见。</w:t>
      </w:r>
    </w:p>
    <w:p>
      <w:pPr>
        <w:numPr>
          <w:ilvl w:val="0"/>
          <w:numId w:val="1"/>
        </w:numPr>
        <w:spacing w:line="360" w:lineRule="auto"/>
        <w:outlineLvl w:val="0"/>
        <w:rPr>
          <w:b/>
          <w:bCs/>
          <w:sz w:val="28"/>
        </w:rPr>
      </w:pPr>
      <w:r>
        <w:rPr>
          <w:rFonts w:hint="eastAsia"/>
          <w:b/>
          <w:bCs/>
          <w:sz w:val="28"/>
        </w:rPr>
        <w:t>国家标准作为强制性国家标准或推荐性国家标准的建议</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本标准为首次制定，建议作为推荐性标准发布实施。</w:t>
      </w:r>
    </w:p>
    <w:p>
      <w:pPr>
        <w:numPr>
          <w:ilvl w:val="0"/>
          <w:numId w:val="1"/>
        </w:numPr>
        <w:spacing w:line="360" w:lineRule="auto"/>
        <w:outlineLvl w:val="0"/>
        <w:rPr>
          <w:b/>
          <w:bCs/>
          <w:sz w:val="28"/>
        </w:rPr>
      </w:pPr>
      <w:r>
        <w:rPr>
          <w:rFonts w:hint="eastAsia"/>
          <w:b/>
          <w:bCs/>
          <w:sz w:val="28"/>
        </w:rPr>
        <w:t>贯彻国家标准的要求和措施建议</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将由国家知识产权局牵头，联合相关部门推动标准的应用实施。</w:t>
      </w:r>
    </w:p>
    <w:p>
      <w:pPr>
        <w:numPr>
          <w:ilvl w:val="0"/>
          <w:numId w:val="1"/>
        </w:numPr>
        <w:spacing w:line="360" w:lineRule="auto"/>
        <w:outlineLvl w:val="0"/>
        <w:rPr>
          <w:b/>
          <w:bCs/>
          <w:sz w:val="28"/>
        </w:rPr>
      </w:pPr>
      <w:r>
        <w:rPr>
          <w:rFonts w:hint="eastAsia"/>
          <w:b/>
          <w:bCs/>
          <w:sz w:val="28"/>
        </w:rPr>
        <w:t>废止现行有关标准的建议</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本标准的实施不涉及对现行标准的废止情况。</w:t>
      </w:r>
    </w:p>
    <w:p>
      <w:pPr>
        <w:numPr>
          <w:ilvl w:val="0"/>
          <w:numId w:val="1"/>
        </w:numPr>
        <w:spacing w:line="360" w:lineRule="auto"/>
        <w:outlineLvl w:val="0"/>
        <w:rPr>
          <w:b/>
          <w:bCs/>
          <w:sz w:val="28"/>
        </w:rPr>
      </w:pPr>
      <w:r>
        <w:rPr>
          <w:rFonts w:hint="eastAsia"/>
          <w:b/>
          <w:bCs/>
          <w:sz w:val="28"/>
        </w:rPr>
        <w:t>其它应予说明的事项</w:t>
      </w:r>
    </w:p>
    <w:p>
      <w:pPr>
        <w:spacing w:line="360" w:lineRule="auto"/>
        <w:ind w:firstLine="560" w:firstLineChars="200"/>
        <w:rPr>
          <w:rFonts w:ascii="仿宋" w:hAnsi="仿宋" w:eastAsia="仿宋"/>
          <w:color w:val="000000"/>
          <w:sz w:val="28"/>
          <w:szCs w:val="28"/>
        </w:rPr>
      </w:pPr>
      <w:r>
        <w:rPr>
          <w:rFonts w:hint="eastAsia" w:ascii="仿宋" w:hAnsi="仿宋" w:eastAsia="仿宋"/>
          <w:color w:val="000000"/>
          <w:sz w:val="28"/>
          <w:szCs w:val="28"/>
        </w:rPr>
        <w:t>无。</w:t>
      </w:r>
    </w:p>
    <w:p>
      <w:pPr>
        <w:spacing w:line="300" w:lineRule="auto"/>
        <w:ind w:firstLine="560" w:firstLineChars="200"/>
        <w:rPr>
          <w:color w:val="000000"/>
          <w:sz w:val="28"/>
          <w:szCs w:val="28"/>
        </w:rPr>
      </w:pPr>
    </w:p>
    <w:p>
      <w:pPr>
        <w:spacing w:line="300" w:lineRule="auto"/>
        <w:rPr>
          <w:rFonts w:ascii="仿宋" w:hAnsi="仿宋" w:eastAsia="仿宋"/>
          <w:sz w:val="28"/>
          <w:szCs w:val="28"/>
        </w:rPr>
      </w:pPr>
    </w:p>
    <w:p>
      <w:pPr>
        <w:spacing w:line="300" w:lineRule="auto"/>
        <w:ind w:firstLine="6720" w:firstLineChars="2400"/>
        <w:jc w:val="both"/>
        <w:rPr>
          <w:rFonts w:ascii="仿宋" w:hAnsi="仿宋" w:eastAsia="仿宋"/>
          <w:sz w:val="28"/>
          <w:szCs w:val="28"/>
        </w:rPr>
      </w:pPr>
      <w:bookmarkStart w:id="0" w:name="_GoBack"/>
      <w:bookmarkEnd w:id="0"/>
      <w:r>
        <w:rPr>
          <w:rFonts w:hint="eastAsia" w:ascii="仿宋" w:hAnsi="仿宋" w:eastAsia="仿宋"/>
          <w:sz w:val="28"/>
          <w:szCs w:val="28"/>
        </w:rPr>
        <w:t>标准起草组</w:t>
      </w:r>
    </w:p>
    <w:p>
      <w:pPr>
        <w:spacing w:line="300" w:lineRule="auto"/>
        <w:ind w:firstLine="560" w:firstLineChars="200"/>
        <w:rPr>
          <w:rFonts w:ascii="仿宋" w:hAnsi="仿宋" w:eastAsia="仿宋"/>
          <w:color w:val="000000"/>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2</w:t>
      </w:r>
      <w:r>
        <w:rPr>
          <w:rFonts w:ascii="仿宋" w:hAnsi="仿宋" w:eastAsia="仿宋"/>
          <w:sz w:val="28"/>
          <w:szCs w:val="28"/>
        </w:rPr>
        <w:t>023</w:t>
      </w:r>
      <w:r>
        <w:rPr>
          <w:rFonts w:hint="eastAsia" w:ascii="仿宋" w:hAnsi="仿宋" w:eastAsia="仿宋"/>
          <w:sz w:val="28"/>
          <w:szCs w:val="28"/>
        </w:rPr>
        <w:t>年</w:t>
      </w:r>
      <w:r>
        <w:rPr>
          <w:rFonts w:ascii="仿宋" w:hAnsi="仿宋" w:eastAsia="仿宋"/>
          <w:sz w:val="28"/>
          <w:szCs w:val="28"/>
        </w:rPr>
        <w:t>6</w:t>
      </w:r>
      <w:r>
        <w:rPr>
          <w:rFonts w:hint="eastAsia" w:ascii="仿宋" w:hAnsi="仿宋" w:eastAsia="仿宋"/>
          <w:sz w:val="28"/>
          <w:szCs w:val="28"/>
        </w:rPr>
        <w:t>月</w:t>
      </w:r>
    </w:p>
    <w:p/>
    <w:sectPr>
      <w:footerReference r:id="rId3" w:type="default"/>
      <w:footerReference r:id="rId4" w:type="even"/>
      <w:pgSz w:w="11906" w:h="16838"/>
      <w:pgMar w:top="1134"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4</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japaneseCounting"/>
      <w:lvlText w:val="%1、"/>
      <w:lvlJc w:val="left"/>
      <w:pPr>
        <w:tabs>
          <w:tab w:val="left" w:pos="720"/>
        </w:tabs>
        <w:ind w:left="720" w:hanging="720"/>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3147B33"/>
    <w:multiLevelType w:val="multilevel"/>
    <w:tmpl w:val="23147B33"/>
    <w:lvl w:ilvl="0" w:tentative="0">
      <w:start w:val="1"/>
      <w:numFmt w:val="decimal"/>
      <w:lvlText w:val="%1)"/>
      <w:lvlJc w:val="left"/>
      <w:pPr>
        <w:ind w:left="861" w:hanging="420"/>
      </w:pPr>
    </w:lvl>
    <w:lvl w:ilvl="1" w:tentative="0">
      <w:start w:val="1"/>
      <w:numFmt w:val="lowerLetter"/>
      <w:lvlText w:val="%2)"/>
      <w:lvlJc w:val="left"/>
      <w:pPr>
        <w:ind w:left="1281" w:hanging="420"/>
      </w:pPr>
    </w:lvl>
    <w:lvl w:ilvl="2" w:tentative="0">
      <w:start w:val="1"/>
      <w:numFmt w:val="lowerRoman"/>
      <w:lvlText w:val="%3."/>
      <w:lvlJc w:val="right"/>
      <w:pPr>
        <w:ind w:left="1701" w:hanging="420"/>
      </w:pPr>
    </w:lvl>
    <w:lvl w:ilvl="3" w:tentative="0">
      <w:start w:val="1"/>
      <w:numFmt w:val="decimal"/>
      <w:lvlText w:val="%4."/>
      <w:lvlJc w:val="left"/>
      <w:pPr>
        <w:ind w:left="2121" w:hanging="420"/>
      </w:pPr>
    </w:lvl>
    <w:lvl w:ilvl="4" w:tentative="0">
      <w:start w:val="1"/>
      <w:numFmt w:val="lowerLetter"/>
      <w:lvlText w:val="%5)"/>
      <w:lvlJc w:val="left"/>
      <w:pPr>
        <w:ind w:left="2541" w:hanging="420"/>
      </w:pPr>
    </w:lvl>
    <w:lvl w:ilvl="5" w:tentative="0">
      <w:start w:val="1"/>
      <w:numFmt w:val="lowerRoman"/>
      <w:lvlText w:val="%6."/>
      <w:lvlJc w:val="right"/>
      <w:pPr>
        <w:ind w:left="2961" w:hanging="420"/>
      </w:pPr>
    </w:lvl>
    <w:lvl w:ilvl="6" w:tentative="0">
      <w:start w:val="1"/>
      <w:numFmt w:val="decimal"/>
      <w:lvlText w:val="%7."/>
      <w:lvlJc w:val="left"/>
      <w:pPr>
        <w:ind w:left="3381" w:hanging="420"/>
      </w:pPr>
    </w:lvl>
    <w:lvl w:ilvl="7" w:tentative="0">
      <w:start w:val="1"/>
      <w:numFmt w:val="lowerLetter"/>
      <w:lvlText w:val="%8)"/>
      <w:lvlJc w:val="left"/>
      <w:pPr>
        <w:ind w:left="3801" w:hanging="420"/>
      </w:pPr>
    </w:lvl>
    <w:lvl w:ilvl="8" w:tentative="0">
      <w:start w:val="1"/>
      <w:numFmt w:val="lowerRoman"/>
      <w:lvlText w:val="%9."/>
      <w:lvlJc w:val="right"/>
      <w:pPr>
        <w:ind w:left="422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4NGFlZDQxZDM1Zjk2NjZiN2Y5YTM3MjVjZjgwYzgifQ=="/>
  </w:docVars>
  <w:rsids>
    <w:rsidRoot w:val="009A4DD1"/>
    <w:rsid w:val="000257C9"/>
    <w:rsid w:val="00221230"/>
    <w:rsid w:val="00230C5C"/>
    <w:rsid w:val="00253309"/>
    <w:rsid w:val="00274A6B"/>
    <w:rsid w:val="002C36A5"/>
    <w:rsid w:val="002D40AA"/>
    <w:rsid w:val="002F61F2"/>
    <w:rsid w:val="003F07ED"/>
    <w:rsid w:val="00440ACB"/>
    <w:rsid w:val="004548D9"/>
    <w:rsid w:val="004B18B8"/>
    <w:rsid w:val="004F7415"/>
    <w:rsid w:val="005D4BCD"/>
    <w:rsid w:val="006619A1"/>
    <w:rsid w:val="006946E4"/>
    <w:rsid w:val="008F6757"/>
    <w:rsid w:val="009A4DD1"/>
    <w:rsid w:val="009B3EA8"/>
    <w:rsid w:val="009E1D40"/>
    <w:rsid w:val="00A21E1A"/>
    <w:rsid w:val="00AD13DF"/>
    <w:rsid w:val="00BA774A"/>
    <w:rsid w:val="00C06A01"/>
    <w:rsid w:val="00CA2C69"/>
    <w:rsid w:val="00CD3AE4"/>
    <w:rsid w:val="00DB2AE9"/>
    <w:rsid w:val="00E006EB"/>
    <w:rsid w:val="00F11076"/>
    <w:rsid w:val="15416B80"/>
    <w:rsid w:val="15453B8B"/>
    <w:rsid w:val="216F6829"/>
    <w:rsid w:val="28C66939"/>
    <w:rsid w:val="3593294C"/>
    <w:rsid w:val="380E4F08"/>
    <w:rsid w:val="382F62A9"/>
    <w:rsid w:val="440378F8"/>
    <w:rsid w:val="460F2655"/>
    <w:rsid w:val="52B82574"/>
    <w:rsid w:val="7D8C3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page number"/>
    <w:basedOn w:val="8"/>
    <w:uiPriority w:val="0"/>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uiPriority w:val="99"/>
    <w:rPr>
      <w:sz w:val="18"/>
      <w:szCs w:val="18"/>
    </w:rPr>
  </w:style>
  <w:style w:type="character" w:customStyle="1" w:styleId="13">
    <w:name w:val="批注框文本 字符"/>
    <w:basedOn w:val="8"/>
    <w:link w:val="3"/>
    <w:semiHidden/>
    <w:uiPriority w:val="99"/>
    <w:rPr>
      <w:rFonts w:ascii="Times New Roman" w:hAnsi="Times New Roman" w:eastAsia="宋体" w:cs="Times New Roman"/>
      <w:sz w:val="18"/>
      <w:szCs w:val="18"/>
    </w:rPr>
  </w:style>
  <w:style w:type="character" w:customStyle="1" w:styleId="14">
    <w:name w:val="批注文字 字符"/>
    <w:basedOn w:val="8"/>
    <w:link w:val="2"/>
    <w:semiHidden/>
    <w:qFormat/>
    <w:uiPriority w:val="99"/>
    <w:rPr>
      <w:rFonts w:ascii="Times New Roman" w:hAnsi="Times New Roman" w:eastAsia="宋体" w:cs="Times New Roman"/>
      <w:szCs w:val="24"/>
    </w:rPr>
  </w:style>
  <w:style w:type="character" w:customStyle="1" w:styleId="15">
    <w:name w:val="批注主题 字符"/>
    <w:basedOn w:val="14"/>
    <w:link w:val="6"/>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1942</Words>
  <Characters>2021</Characters>
  <Lines>15</Lines>
  <Paragraphs>4</Paragraphs>
  <TotalTime>22</TotalTime>
  <ScaleCrop>false</ScaleCrop>
  <LinksUpToDate>false</LinksUpToDate>
  <CharactersWithSpaces>2084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2023-06-15T08:48:00Z</dcterms:created>
  <dc:creator>yhj_g</dc:creator>
  <cp:lastModifiedBy>君宝</cp:lastModifiedBy>
  <dcterms:modified xsi:type="dcterms:W3CDTF">2023-06-16T02:41:16Z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146D9CEC6CF04BDD8731EF0EC0434625_13</vt:lpwstr>
  </property>
</Properties>
</file>