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7DA" w:rsidRDefault="003A5E5C">
      <w:pPr>
        <w:jc w:val="center"/>
        <w:rPr>
          <w:rFonts w:ascii="黑体" w:eastAsia="黑体" w:hAnsi="黑体" w:cs="黑体"/>
          <w:sz w:val="32"/>
          <w:szCs w:val="32"/>
        </w:rPr>
      </w:pPr>
      <w:r>
        <w:rPr>
          <w:rFonts w:ascii="黑体" w:eastAsia="黑体" w:hAnsi="黑体" w:cs="黑体" w:hint="eastAsia"/>
          <w:sz w:val="32"/>
          <w:szCs w:val="32"/>
        </w:rPr>
        <w:t>国家标准《精准扶贫工作成效考核评估规范》</w:t>
      </w:r>
    </w:p>
    <w:p w:rsidR="00B827DA" w:rsidRDefault="003A5E5C">
      <w:pPr>
        <w:jc w:val="center"/>
        <w:rPr>
          <w:rFonts w:ascii="黑体" w:eastAsia="黑体" w:hAnsi="黑体" w:cs="黑体"/>
          <w:sz w:val="32"/>
          <w:szCs w:val="32"/>
        </w:rPr>
      </w:pPr>
      <w:r>
        <w:rPr>
          <w:rFonts w:ascii="黑体" w:eastAsia="黑体" w:hAnsi="黑体" w:cs="黑体" w:hint="eastAsia"/>
          <w:sz w:val="32"/>
          <w:szCs w:val="32"/>
        </w:rPr>
        <w:t>编制说明</w:t>
      </w:r>
    </w:p>
    <w:p w:rsidR="00B827DA" w:rsidRDefault="003A5E5C">
      <w:pPr>
        <w:jc w:val="center"/>
        <w:rPr>
          <w:rFonts w:ascii="楷体_GB2312" w:eastAsia="楷体_GB2312" w:hAnsi="黑体" w:cs="黑体"/>
          <w:sz w:val="28"/>
          <w:szCs w:val="32"/>
        </w:rPr>
      </w:pPr>
      <w:r>
        <w:rPr>
          <w:rFonts w:ascii="楷体_GB2312" w:eastAsia="楷体_GB2312" w:hAnsi="黑体" w:cs="黑体" w:hint="eastAsia"/>
          <w:sz w:val="28"/>
          <w:szCs w:val="32"/>
        </w:rPr>
        <w:t>（征求意见稿）</w:t>
      </w:r>
    </w:p>
    <w:p w:rsidR="00B827DA" w:rsidRDefault="003A5E5C">
      <w:pPr>
        <w:rPr>
          <w:b/>
          <w:sz w:val="32"/>
          <w:szCs w:val="32"/>
        </w:rPr>
      </w:pPr>
      <w:r>
        <w:rPr>
          <w:rFonts w:hint="eastAsia"/>
          <w:b/>
          <w:sz w:val="32"/>
          <w:szCs w:val="32"/>
        </w:rPr>
        <w:t>一、任务来源</w:t>
      </w:r>
    </w:p>
    <w:p w:rsidR="00B827DA" w:rsidRDefault="003A5E5C">
      <w:pPr>
        <w:ind w:firstLineChars="200" w:firstLine="640"/>
        <w:rPr>
          <w:rFonts w:ascii="仿宋_GB2312" w:eastAsia="仿宋_GB2312"/>
          <w:sz w:val="32"/>
          <w:szCs w:val="32"/>
        </w:rPr>
      </w:pPr>
      <w:r>
        <w:rPr>
          <w:rFonts w:ascii="仿宋_GB2312" w:eastAsia="仿宋_GB2312" w:hint="eastAsia"/>
          <w:sz w:val="32"/>
          <w:szCs w:val="32"/>
        </w:rPr>
        <w:t>根据2018年第四批推荐性国家标准制定计划，《精准扶贫工作成效考核评估规范》列入国家标准计划（计划号</w:t>
      </w:r>
      <w:r>
        <w:rPr>
          <w:rFonts w:ascii="仿宋_GB2312" w:eastAsia="仿宋_GB2312"/>
          <w:sz w:val="32"/>
          <w:szCs w:val="32"/>
        </w:rPr>
        <w:t>20184880-T-424</w:t>
      </w:r>
      <w:r>
        <w:rPr>
          <w:rFonts w:ascii="仿宋_GB2312" w:eastAsia="仿宋_GB2312" w:hint="eastAsia"/>
          <w:sz w:val="32"/>
          <w:szCs w:val="32"/>
        </w:rPr>
        <w:t>）。内蒙古自治区标准化院、内蒙古自治区市场监督管理局、内蒙古自治区扶贫开发办公室共同完成国家标准的起草编制工作。</w:t>
      </w:r>
    </w:p>
    <w:p w:rsidR="00B827DA" w:rsidRDefault="003A5E5C">
      <w:pPr>
        <w:rPr>
          <w:b/>
          <w:sz w:val="32"/>
          <w:szCs w:val="32"/>
        </w:rPr>
      </w:pPr>
      <w:r>
        <w:rPr>
          <w:rFonts w:hint="eastAsia"/>
          <w:b/>
          <w:sz w:val="32"/>
          <w:szCs w:val="32"/>
        </w:rPr>
        <w:t>二、起草目的及意义</w:t>
      </w:r>
    </w:p>
    <w:p w:rsidR="00B827DA" w:rsidRDefault="003A5E5C">
      <w:pPr>
        <w:pStyle w:val="a3"/>
        <w:numPr>
          <w:ilvl w:val="0"/>
          <w:numId w:val="0"/>
        </w:numPr>
        <w:ind w:firstLineChars="250" w:firstLine="800"/>
        <w:rPr>
          <w:rFonts w:ascii="仿宋_GB2312" w:eastAsia="仿宋_GB2312"/>
          <w:kern w:val="2"/>
          <w:sz w:val="32"/>
          <w:szCs w:val="32"/>
        </w:rPr>
      </w:pPr>
      <w:r>
        <w:rPr>
          <w:rFonts w:ascii="仿宋_GB2312" w:eastAsia="仿宋_GB2312" w:hint="eastAsia"/>
          <w:kern w:val="2"/>
          <w:sz w:val="32"/>
          <w:szCs w:val="32"/>
        </w:rPr>
        <w:t>当前我国扶贫脱贫已经进入攻坚期，实践精准扶贫需要创新传统的扶贫模式，运用科学的手段和理念开展贫困治理。“入之愈深，其进愈难”。现在的深度贫困地区都是经过几轮扶贫剩下的硬骨头，是贫中之贫，难中之难，传统的“灌水式”“输血式”的扶贫模式已经不适用于当前的扶贫对象。对习近</w:t>
      </w:r>
      <w:proofErr w:type="gramStart"/>
      <w:r>
        <w:rPr>
          <w:rFonts w:ascii="仿宋_GB2312" w:eastAsia="仿宋_GB2312" w:hint="eastAsia"/>
          <w:kern w:val="2"/>
          <w:sz w:val="32"/>
          <w:szCs w:val="32"/>
        </w:rPr>
        <w:t>平扶贫</w:t>
      </w:r>
      <w:proofErr w:type="gramEnd"/>
      <w:r>
        <w:rPr>
          <w:rFonts w:ascii="仿宋_GB2312" w:eastAsia="仿宋_GB2312" w:hint="eastAsia"/>
          <w:kern w:val="2"/>
          <w:sz w:val="32"/>
          <w:szCs w:val="32"/>
        </w:rPr>
        <w:t>思想的定位把握，不应只停留在操作层面将其解读为具体的工作方式，还应将其提升到贫困治理原则性高度，落实到扶贫工作的各项体制机制和政策体系中，确保精准扶贫工作的整体性推进。为了进一步提高精准扶贫成效，扶贫政策和机制需要不断完善。随着“精准扶贫”策略的正式提出和建档立卡工作的实施，“扶持谁”“谁来扶”“怎么</w:t>
      </w:r>
      <w:r>
        <w:rPr>
          <w:rFonts w:ascii="仿宋_GB2312" w:eastAsia="仿宋_GB2312" w:hint="eastAsia"/>
          <w:kern w:val="2"/>
          <w:sz w:val="32"/>
          <w:szCs w:val="32"/>
        </w:rPr>
        <w:lastRenderedPageBreak/>
        <w:t>扶”也将产生新的转变，原有的扶贫项目绩效评估思路已不再适合，必须进行创新和改进。</w:t>
      </w:r>
    </w:p>
    <w:p w:rsidR="00B827DA" w:rsidRDefault="003A5E5C">
      <w:pPr>
        <w:pStyle w:val="a3"/>
        <w:numPr>
          <w:ilvl w:val="0"/>
          <w:numId w:val="0"/>
        </w:numPr>
        <w:ind w:firstLineChars="200" w:firstLine="640"/>
        <w:rPr>
          <w:rFonts w:ascii="仿宋_GB2312" w:eastAsia="仿宋_GB2312"/>
          <w:kern w:val="2"/>
          <w:sz w:val="32"/>
          <w:szCs w:val="32"/>
        </w:rPr>
      </w:pPr>
      <w:r>
        <w:rPr>
          <w:rFonts w:ascii="仿宋_GB2312" w:eastAsia="仿宋_GB2312" w:hint="eastAsia"/>
          <w:kern w:val="2"/>
          <w:sz w:val="32"/>
          <w:szCs w:val="32"/>
        </w:rPr>
        <w:t>精准</w:t>
      </w:r>
      <w:proofErr w:type="gramStart"/>
      <w:r>
        <w:rPr>
          <w:rFonts w:ascii="仿宋_GB2312" w:eastAsia="仿宋_GB2312" w:hint="eastAsia"/>
          <w:kern w:val="2"/>
          <w:sz w:val="32"/>
          <w:szCs w:val="32"/>
        </w:rPr>
        <w:t>设计扶贫</w:t>
      </w:r>
      <w:proofErr w:type="gramEnd"/>
      <w:r>
        <w:rPr>
          <w:rFonts w:ascii="仿宋_GB2312" w:eastAsia="仿宋_GB2312" w:hint="eastAsia"/>
          <w:kern w:val="2"/>
          <w:sz w:val="32"/>
          <w:szCs w:val="32"/>
        </w:rPr>
        <w:t>成效考核，是推进精准扶贫、精准脱贫各项政策措施落地落实的重要抓手。当前精准扶贫、精准脱贫已进入攻坚阶段，工作成效如何？贫困村、贫困户是否摘帽如何确定？这都需要有效的监督和评估。十九大报告要求，“构建决策科学、执行坚决、监督有力的权力运行机制”。精准扶贫涉及到金融支持、社会救助、产业发展等多个领域，落</w:t>
      </w:r>
      <w:proofErr w:type="gramStart"/>
      <w:r>
        <w:rPr>
          <w:rFonts w:ascii="仿宋_GB2312" w:eastAsia="仿宋_GB2312" w:hint="eastAsia"/>
          <w:kern w:val="2"/>
          <w:sz w:val="32"/>
          <w:szCs w:val="32"/>
        </w:rPr>
        <w:t>实习近平扶贫</w:t>
      </w:r>
      <w:proofErr w:type="gramEnd"/>
      <w:r>
        <w:rPr>
          <w:rFonts w:ascii="仿宋_GB2312" w:eastAsia="仿宋_GB2312" w:hint="eastAsia"/>
          <w:kern w:val="2"/>
          <w:sz w:val="32"/>
          <w:szCs w:val="32"/>
        </w:rPr>
        <w:t>思想的重要抓手就是形成完整的扶贫成效评估体系。科学评估、全程评价并监督脱贫攻坚，可以有力提升扶贫工作针对性、有效性。科学有效的成效评估可以针对实践中出现的问题进行完善，明确下一步工作的重点。精准考核是保证</w:t>
      </w:r>
      <w:proofErr w:type="gramStart"/>
      <w:r>
        <w:rPr>
          <w:rFonts w:ascii="仿宋_GB2312" w:eastAsia="仿宋_GB2312" w:hint="eastAsia"/>
          <w:kern w:val="2"/>
          <w:sz w:val="32"/>
          <w:szCs w:val="32"/>
        </w:rPr>
        <w:t>脱贫成效</w:t>
      </w:r>
      <w:proofErr w:type="gramEnd"/>
      <w:r>
        <w:rPr>
          <w:rFonts w:ascii="仿宋_GB2312" w:eastAsia="仿宋_GB2312" w:hint="eastAsia"/>
          <w:kern w:val="2"/>
          <w:sz w:val="32"/>
          <w:szCs w:val="32"/>
        </w:rPr>
        <w:t>精准的必要手段，需及时对政策实施后的扶贫效果进行评估。</w:t>
      </w:r>
    </w:p>
    <w:p w:rsidR="00B827DA" w:rsidRDefault="003A5E5C">
      <w:pPr>
        <w:pStyle w:val="a3"/>
        <w:numPr>
          <w:ilvl w:val="0"/>
          <w:numId w:val="0"/>
        </w:numPr>
        <w:ind w:firstLineChars="200" w:firstLine="640"/>
        <w:rPr>
          <w:rFonts w:ascii="仿宋_GB2312" w:eastAsia="仿宋_GB2312"/>
          <w:kern w:val="2"/>
          <w:sz w:val="32"/>
          <w:szCs w:val="32"/>
        </w:rPr>
      </w:pPr>
      <w:r>
        <w:rPr>
          <w:rFonts w:ascii="仿宋_GB2312" w:eastAsia="仿宋_GB2312" w:hint="eastAsia"/>
          <w:kern w:val="2"/>
          <w:sz w:val="32"/>
          <w:szCs w:val="32"/>
        </w:rPr>
        <w:t>动员全党全国全社会各方资源形成扶贫开发合力，需要科学化水平的精准扶贫成效考核评估。整合各方资源形成合力是推进深度贫困地区脱贫攻坚的重要力量，有效发挥政府、市场、社会等各方力量，调配资源，发挥各自优势，对于扶贫工作科学化水平提出了更高要求。按照科学的模式和理念开展精准扶贫工作，是保证扶贫实效的前提。习近平总书记曾指出，推进扶贫开发、推动经济社会发展，首先要有一个好思路、好路子。要坚持从实际出发，因地制宜，理清</w:t>
      </w:r>
      <w:r>
        <w:rPr>
          <w:rFonts w:ascii="仿宋_GB2312" w:eastAsia="仿宋_GB2312" w:hint="eastAsia"/>
          <w:kern w:val="2"/>
          <w:sz w:val="32"/>
          <w:szCs w:val="32"/>
        </w:rPr>
        <w:lastRenderedPageBreak/>
        <w:t>思路、完善规划、找准突破口。我国扶贫工作成效显著，但在实践层面还存在科学化程度不高的问题。如扶贫思路模糊，扶贫工作与当地实际</w:t>
      </w:r>
      <w:proofErr w:type="gramStart"/>
      <w:r>
        <w:rPr>
          <w:rFonts w:ascii="仿宋_GB2312" w:eastAsia="仿宋_GB2312" w:hint="eastAsia"/>
          <w:kern w:val="2"/>
          <w:sz w:val="32"/>
          <w:szCs w:val="32"/>
        </w:rPr>
        <w:t>脱勾</w:t>
      </w:r>
      <w:proofErr w:type="gramEnd"/>
      <w:r>
        <w:rPr>
          <w:rFonts w:ascii="仿宋_GB2312" w:eastAsia="仿宋_GB2312" w:hint="eastAsia"/>
          <w:kern w:val="2"/>
          <w:sz w:val="32"/>
          <w:szCs w:val="32"/>
        </w:rPr>
        <w:t>；扶贫思路固化滞后，与经济社会发展现状脱节，用旧的思路应对新的形势；扶贫思路频繁变换，东</w:t>
      </w:r>
      <w:proofErr w:type="gramStart"/>
      <w:r>
        <w:rPr>
          <w:rFonts w:ascii="仿宋_GB2312" w:eastAsia="仿宋_GB2312" w:hint="eastAsia"/>
          <w:kern w:val="2"/>
          <w:sz w:val="32"/>
          <w:szCs w:val="32"/>
        </w:rPr>
        <w:t>一</w:t>
      </w:r>
      <w:proofErr w:type="gramEnd"/>
      <w:r>
        <w:rPr>
          <w:rFonts w:ascii="仿宋_GB2312" w:eastAsia="仿宋_GB2312" w:hint="eastAsia"/>
          <w:kern w:val="2"/>
          <w:sz w:val="32"/>
          <w:szCs w:val="32"/>
        </w:rPr>
        <w:t>榔头西</w:t>
      </w:r>
      <w:proofErr w:type="gramStart"/>
      <w:r>
        <w:rPr>
          <w:rFonts w:ascii="仿宋_GB2312" w:eastAsia="仿宋_GB2312" w:hint="eastAsia"/>
          <w:kern w:val="2"/>
          <w:sz w:val="32"/>
          <w:szCs w:val="32"/>
        </w:rPr>
        <w:t>一</w:t>
      </w:r>
      <w:proofErr w:type="gramEnd"/>
      <w:r>
        <w:rPr>
          <w:rFonts w:ascii="仿宋_GB2312" w:eastAsia="仿宋_GB2312" w:hint="eastAsia"/>
          <w:kern w:val="2"/>
          <w:sz w:val="32"/>
          <w:szCs w:val="32"/>
        </w:rPr>
        <w:t>棒槌。</w:t>
      </w:r>
    </w:p>
    <w:p w:rsidR="00B827DA" w:rsidRDefault="003A5E5C">
      <w:pPr>
        <w:pStyle w:val="a3"/>
        <w:numPr>
          <w:ilvl w:val="0"/>
          <w:numId w:val="0"/>
        </w:numPr>
        <w:ind w:firstLineChars="200" w:firstLine="640"/>
        <w:rPr>
          <w:rFonts w:ascii="仿宋_GB2312" w:eastAsia="仿宋_GB2312"/>
          <w:kern w:val="2"/>
          <w:sz w:val="32"/>
          <w:szCs w:val="32"/>
        </w:rPr>
      </w:pPr>
      <w:r>
        <w:rPr>
          <w:rFonts w:ascii="仿宋_GB2312" w:eastAsia="仿宋_GB2312" w:hint="eastAsia"/>
          <w:kern w:val="2"/>
          <w:sz w:val="32"/>
          <w:szCs w:val="32"/>
        </w:rPr>
        <w:t>走向科学扶贫，前提在于坚持实际导向，多深入群众，多做调查研究，弄清楚事情的来龙去脉，形成好的扶贫成效评价体系，真正将扶贫工作做到“深、实、细、准、效”。</w:t>
      </w:r>
    </w:p>
    <w:p w:rsidR="00B827DA" w:rsidRDefault="003A5E5C">
      <w:pPr>
        <w:rPr>
          <w:b/>
          <w:sz w:val="32"/>
          <w:szCs w:val="32"/>
        </w:rPr>
      </w:pPr>
      <w:r>
        <w:rPr>
          <w:rFonts w:hint="eastAsia"/>
          <w:b/>
          <w:sz w:val="32"/>
          <w:szCs w:val="32"/>
        </w:rPr>
        <w:t>三、国内外现状</w:t>
      </w:r>
    </w:p>
    <w:p w:rsidR="00B827DA" w:rsidRDefault="003A5E5C">
      <w:pPr>
        <w:pStyle w:val="a3"/>
        <w:numPr>
          <w:ilvl w:val="0"/>
          <w:numId w:val="0"/>
        </w:numPr>
        <w:ind w:firstLineChars="200" w:firstLine="640"/>
        <w:rPr>
          <w:rFonts w:ascii="仿宋_GB2312" w:eastAsia="仿宋_GB2312"/>
          <w:kern w:val="2"/>
          <w:sz w:val="32"/>
          <w:szCs w:val="32"/>
        </w:rPr>
      </w:pPr>
      <w:r>
        <w:rPr>
          <w:rFonts w:ascii="仿宋_GB2312" w:eastAsia="仿宋_GB2312" w:hint="eastAsia"/>
          <w:kern w:val="2"/>
          <w:sz w:val="32"/>
          <w:szCs w:val="32"/>
        </w:rPr>
        <w:t>我国湖北省十堰市质监局将标准化工作同地区扶贫攻坚有机结合，扶贫成效显著，特别是《扶贫对象精准识别规范》等6项十堰市地方标准使精准扶贫、精准脱贫工作全过程实现有标准可依、有规范可循，在全国开了精准扶贫标准化工作的先河。</w:t>
      </w:r>
    </w:p>
    <w:p w:rsidR="00B827DA" w:rsidRDefault="003A5E5C">
      <w:pPr>
        <w:pStyle w:val="a3"/>
        <w:numPr>
          <w:ilvl w:val="0"/>
          <w:numId w:val="0"/>
        </w:numPr>
        <w:ind w:firstLineChars="200" w:firstLine="640"/>
        <w:rPr>
          <w:rFonts w:ascii="仿宋_GB2312" w:eastAsia="仿宋_GB2312"/>
          <w:kern w:val="2"/>
          <w:sz w:val="32"/>
          <w:szCs w:val="32"/>
        </w:rPr>
      </w:pPr>
      <w:r>
        <w:rPr>
          <w:rFonts w:ascii="仿宋_GB2312" w:eastAsia="仿宋_GB2312" w:hint="eastAsia"/>
          <w:kern w:val="2"/>
          <w:sz w:val="32"/>
          <w:szCs w:val="32"/>
        </w:rPr>
        <w:t>内蒙古自治区围绕精准扶贫实际出发，从扶贫的全流程，从识别、帮扶、考核、退出等方面制定了《扶贫工作成效考核规范》等8项地方标准。为指导精准扶贫工作的开展提供了坚实的依据。</w:t>
      </w:r>
    </w:p>
    <w:p w:rsidR="00B827DA" w:rsidRDefault="003A5E5C">
      <w:pPr>
        <w:ind w:firstLineChars="200" w:firstLine="640"/>
        <w:rPr>
          <w:rFonts w:ascii="仿宋_GB2312" w:eastAsia="仿宋_GB2312"/>
          <w:sz w:val="32"/>
          <w:szCs w:val="32"/>
        </w:rPr>
      </w:pPr>
      <w:r>
        <w:rPr>
          <w:rFonts w:ascii="仿宋_GB2312" w:eastAsia="仿宋_GB2312" w:hint="eastAsia"/>
          <w:sz w:val="32"/>
          <w:szCs w:val="32"/>
        </w:rPr>
        <w:t>贵州省发布精准扶贫相关地方标准26个, 构建了由基础通用、项目管理、基础设施、社会保障4个部分的《贵州省精准扶贫标准体系》，体系注重全过程规范，对精准扶贫的工作要求、工作方法、工作行为和流程进行了统一规范，</w:t>
      </w:r>
      <w:r>
        <w:rPr>
          <w:rFonts w:ascii="仿宋_GB2312" w:eastAsia="仿宋_GB2312" w:hint="eastAsia"/>
          <w:sz w:val="32"/>
          <w:szCs w:val="32"/>
        </w:rPr>
        <w:lastRenderedPageBreak/>
        <w:t>促进精准扶贫工作的标准化管理。整个系统完备，基本涵盖了“六个精准”的要求，系统梳理了产业扶贫、农村“组组通”公路建设、易地搬迁、教育医疗住房“三保障”、党建扶贫等精准扶贫政策和工作内容，提炼和规范了工作措施。内容易懂、流程清晰，让基层干部和群众容易记、好操作。</w:t>
      </w:r>
    </w:p>
    <w:p w:rsidR="00B827DA" w:rsidRDefault="003A5E5C">
      <w:pPr>
        <w:ind w:firstLineChars="200" w:firstLine="640"/>
        <w:rPr>
          <w:rFonts w:ascii="仿宋_GB2312" w:eastAsia="仿宋_GB2312"/>
          <w:sz w:val="32"/>
          <w:szCs w:val="32"/>
        </w:rPr>
      </w:pPr>
      <w:r>
        <w:rPr>
          <w:rFonts w:ascii="仿宋_GB2312" w:eastAsia="仿宋_GB2312" w:hint="eastAsia"/>
          <w:sz w:val="32"/>
          <w:szCs w:val="32"/>
        </w:rPr>
        <w:t>山西省根据标准化的原理和方法，依据国家精准扶贫相关政策，按照精准识别、精准帮扶、精准管理三个维度构建出山西省精准扶贫标准体系。体系的构建不仅直接指导山西省精准扶贫标准化发展方向，还为精准扶贫标准化的设计者、使用者提供具体和可操作的标准方向。结合山西省精准扶贫工作实际，精准扶贫标准体系构建为山西省精准扶贫、精准脱贫工作提供科学方法和技术支撑。</w:t>
      </w:r>
    </w:p>
    <w:p w:rsidR="00B827DA" w:rsidRDefault="003A5E5C">
      <w:pPr>
        <w:rPr>
          <w:b/>
          <w:sz w:val="32"/>
          <w:szCs w:val="32"/>
        </w:rPr>
      </w:pPr>
      <w:r>
        <w:rPr>
          <w:rFonts w:hint="eastAsia"/>
          <w:b/>
          <w:sz w:val="32"/>
          <w:szCs w:val="32"/>
        </w:rPr>
        <w:t>四、主要起草工作过程</w:t>
      </w:r>
    </w:p>
    <w:p w:rsidR="00B827DA" w:rsidRDefault="003A5E5C">
      <w:pPr>
        <w:tabs>
          <w:tab w:val="left" w:pos="6480"/>
        </w:tabs>
        <w:spacing w:line="360" w:lineRule="auto"/>
        <w:ind w:firstLineChars="150" w:firstLine="480"/>
        <w:rPr>
          <w:rFonts w:ascii="楷体_GB2312" w:eastAsia="楷体_GB2312"/>
          <w:bCs/>
          <w:sz w:val="32"/>
          <w:szCs w:val="32"/>
        </w:rPr>
      </w:pPr>
      <w:r>
        <w:rPr>
          <w:rFonts w:ascii="楷体_GB2312" w:eastAsia="楷体_GB2312" w:hint="eastAsia"/>
          <w:bCs/>
          <w:sz w:val="32"/>
          <w:szCs w:val="32"/>
        </w:rPr>
        <w:t>（一）成立起草任务工作组</w:t>
      </w:r>
    </w:p>
    <w:p w:rsidR="00B827DA" w:rsidRDefault="003A5E5C">
      <w:pPr>
        <w:ind w:firstLineChars="200" w:firstLine="640"/>
        <w:rPr>
          <w:rFonts w:ascii="仿宋_GB2312" w:eastAsia="仿宋_GB2312"/>
          <w:sz w:val="32"/>
          <w:szCs w:val="32"/>
        </w:rPr>
      </w:pPr>
      <w:r>
        <w:rPr>
          <w:rFonts w:ascii="仿宋_GB2312" w:eastAsia="仿宋_GB2312" w:hint="eastAsia"/>
          <w:sz w:val="32"/>
          <w:szCs w:val="32"/>
        </w:rPr>
        <w:t>为了按时完成标准制定，内蒙古自治区标准化</w:t>
      </w:r>
      <w:proofErr w:type="gramStart"/>
      <w:r>
        <w:rPr>
          <w:rFonts w:ascii="仿宋_GB2312" w:eastAsia="仿宋_GB2312" w:hint="eastAsia"/>
          <w:sz w:val="32"/>
          <w:szCs w:val="32"/>
        </w:rPr>
        <w:t>院积极</w:t>
      </w:r>
      <w:proofErr w:type="gramEnd"/>
      <w:r>
        <w:rPr>
          <w:rFonts w:ascii="仿宋_GB2312" w:eastAsia="仿宋_GB2312" w:hint="eastAsia"/>
          <w:sz w:val="32"/>
          <w:szCs w:val="32"/>
        </w:rPr>
        <w:t>组织成立任务工作组，明确工作组成员分工及计划安排，制定任务管理工作总体方案等重要事宜。</w:t>
      </w:r>
    </w:p>
    <w:p w:rsidR="00B827DA" w:rsidRDefault="003A5E5C">
      <w:pPr>
        <w:tabs>
          <w:tab w:val="left" w:pos="6480"/>
        </w:tabs>
        <w:spacing w:line="360" w:lineRule="auto"/>
        <w:ind w:firstLineChars="150" w:firstLine="480"/>
        <w:rPr>
          <w:rFonts w:ascii="楷体_GB2312" w:eastAsia="楷体_GB2312"/>
          <w:bCs/>
          <w:sz w:val="32"/>
          <w:szCs w:val="32"/>
        </w:rPr>
      </w:pPr>
      <w:r>
        <w:rPr>
          <w:rFonts w:ascii="楷体_GB2312" w:eastAsia="楷体_GB2312" w:hint="eastAsia"/>
          <w:bCs/>
          <w:sz w:val="32"/>
          <w:szCs w:val="32"/>
        </w:rPr>
        <w:t>（二）标准研制概况</w:t>
      </w:r>
    </w:p>
    <w:p w:rsidR="00B827DA" w:rsidRDefault="003A5E5C">
      <w:pPr>
        <w:ind w:firstLineChars="200" w:firstLine="640"/>
        <w:rPr>
          <w:rFonts w:ascii="仿宋_GB2312" w:eastAsia="仿宋_GB2312"/>
          <w:sz w:val="32"/>
          <w:szCs w:val="32"/>
        </w:rPr>
      </w:pPr>
      <w:r>
        <w:rPr>
          <w:rFonts w:ascii="仿宋_GB2312" w:eastAsia="仿宋_GB2312" w:hint="eastAsia"/>
          <w:sz w:val="32"/>
          <w:szCs w:val="32"/>
        </w:rPr>
        <w:t>按照标准制定要求，标准起草工作组首先收集和梳理了国内外有关研究进展和国家的相关标准、法规等文献资料，掌握了有关标准现状；并对我国现有的标准以及政策文件进行了归纳和总结，为标准文本的编制奠定理论基础。</w:t>
      </w:r>
    </w:p>
    <w:p w:rsidR="00B827DA" w:rsidRDefault="003A5E5C">
      <w:pPr>
        <w:rPr>
          <w:rFonts w:ascii="仿宋_GB2312" w:eastAsia="仿宋_GB2312"/>
          <w:sz w:val="32"/>
          <w:szCs w:val="32"/>
        </w:rPr>
      </w:pPr>
      <w:r>
        <w:rPr>
          <w:rFonts w:ascii="仿宋_GB2312" w:eastAsia="仿宋_GB2312" w:hint="eastAsia"/>
          <w:sz w:val="32"/>
          <w:szCs w:val="32"/>
        </w:rPr>
        <w:lastRenderedPageBreak/>
        <w:t>在结合前期调研以及起草内蒙古自治区精准扶贫地方标准调研和材料收集的基础上，以及中共中央办公厅、国务院办公厅印发《省级党委和政府扶贫开发工作成效考核办法》，中共中央办公厅、国务院办公厅印发《关于建立贫困退出机制的意见》，中共中央办公厅、国务院办公厅印发《关于进一步加强东西部扶贫协作工作的指导意见》。内蒙古自治区党委办公厅、自治区人民政府办公厅关于印发《盟市党委、政府（行政公署）扶贫开发工作成效考核办法》的通知，以及地方标准《扶贫工作成效考核评估规范》的相关内容，起草了国家标准《扶贫工作成效考核评估规范》草案，并按照</w:t>
      </w:r>
      <w:proofErr w:type="gramStart"/>
      <w:r>
        <w:rPr>
          <w:rFonts w:ascii="仿宋_GB2312" w:eastAsia="仿宋_GB2312" w:hint="eastAsia"/>
          <w:sz w:val="32"/>
          <w:szCs w:val="32"/>
        </w:rPr>
        <w:t>国标委相关</w:t>
      </w:r>
      <w:proofErr w:type="gramEnd"/>
      <w:r>
        <w:rPr>
          <w:rFonts w:ascii="仿宋_GB2312" w:eastAsia="仿宋_GB2312" w:hint="eastAsia"/>
          <w:sz w:val="32"/>
          <w:szCs w:val="32"/>
        </w:rPr>
        <w:t>领导的意见进行了修改，在标准立项后又对标准的内容和现今最新政策进行了对照，对标准进行了修改。</w:t>
      </w:r>
    </w:p>
    <w:p w:rsidR="00B827DA" w:rsidRDefault="003A5E5C">
      <w:pPr>
        <w:spacing w:line="520" w:lineRule="exact"/>
        <w:ind w:firstLineChars="200" w:firstLine="640"/>
        <w:rPr>
          <w:rFonts w:ascii="楷体" w:eastAsia="楷体" w:hAnsi="楷体"/>
          <w:sz w:val="32"/>
          <w:szCs w:val="32"/>
        </w:rPr>
      </w:pPr>
      <w:r>
        <w:rPr>
          <w:rFonts w:ascii="楷体" w:eastAsia="楷体" w:hAnsi="楷体" w:hint="eastAsia"/>
          <w:sz w:val="32"/>
          <w:szCs w:val="32"/>
        </w:rPr>
        <w:t>（三）征求意见阶段</w:t>
      </w:r>
    </w:p>
    <w:p w:rsidR="00B827DA" w:rsidRPr="00353501" w:rsidRDefault="003A5E5C">
      <w:pPr>
        <w:spacing w:line="560" w:lineRule="exact"/>
        <w:ind w:firstLineChars="200" w:firstLine="640"/>
        <w:rPr>
          <w:rFonts w:ascii="仿宋_GB2312" w:eastAsia="仿宋_GB2312"/>
          <w:sz w:val="32"/>
          <w:szCs w:val="32"/>
        </w:rPr>
      </w:pPr>
      <w:r w:rsidRPr="00353501">
        <w:rPr>
          <w:rFonts w:ascii="仿宋_GB2312" w:eastAsia="仿宋_GB2312" w:hint="eastAsia"/>
          <w:sz w:val="32"/>
          <w:szCs w:val="32"/>
        </w:rPr>
        <w:t>按照国家标准制修订工作程序，编制组</w:t>
      </w:r>
      <w:r w:rsidR="00EE5635" w:rsidRPr="00353501">
        <w:rPr>
          <w:rFonts w:ascii="仿宋_GB2312" w:eastAsia="仿宋_GB2312" w:hint="eastAsia"/>
          <w:sz w:val="32"/>
          <w:szCs w:val="32"/>
        </w:rPr>
        <w:t>经过反复修改已形成</w:t>
      </w:r>
      <w:r w:rsidRPr="00353501">
        <w:rPr>
          <w:rFonts w:ascii="仿宋_GB2312" w:eastAsia="仿宋_GB2312" w:hint="eastAsia"/>
          <w:sz w:val="32"/>
          <w:szCs w:val="32"/>
        </w:rPr>
        <w:t>征求意见稿，</w:t>
      </w:r>
      <w:r w:rsidR="00184DA8">
        <w:rPr>
          <w:rFonts w:ascii="仿宋_GB2312" w:eastAsia="仿宋_GB2312" w:hint="eastAsia"/>
          <w:sz w:val="32"/>
          <w:szCs w:val="32"/>
        </w:rPr>
        <w:t>现已和内蒙古自治区扶贫开发办公室征求了意见，并按照要求进行了修改，修改完善后又继续向北京师范大学、山西大学参加精准脱贫的相关教授征求了意见。</w:t>
      </w:r>
      <w:r w:rsidR="00EE5635" w:rsidRPr="00353501">
        <w:rPr>
          <w:rFonts w:ascii="仿宋_GB2312" w:eastAsia="仿宋_GB2312" w:hint="eastAsia"/>
          <w:sz w:val="32"/>
          <w:szCs w:val="32"/>
        </w:rPr>
        <w:t>下一步将</w:t>
      </w:r>
      <w:r w:rsidRPr="00353501">
        <w:rPr>
          <w:rFonts w:ascii="仿宋_GB2312" w:eastAsia="仿宋_GB2312" w:hint="eastAsia"/>
          <w:sz w:val="32"/>
          <w:szCs w:val="32"/>
        </w:rPr>
        <w:t>面向社会公开征求意见；同时，为了扩大征求意见的范围，编制组将</w:t>
      </w:r>
      <w:r w:rsidR="00184DA8">
        <w:rPr>
          <w:rFonts w:ascii="仿宋_GB2312" w:eastAsia="仿宋_GB2312" w:hint="eastAsia"/>
          <w:sz w:val="32"/>
          <w:szCs w:val="32"/>
        </w:rPr>
        <w:t>向其他省市征求意见</w:t>
      </w:r>
      <w:r w:rsidRPr="00353501">
        <w:rPr>
          <w:rFonts w:ascii="仿宋_GB2312" w:eastAsia="仿宋_GB2312" w:hint="eastAsia"/>
          <w:sz w:val="32"/>
          <w:szCs w:val="32"/>
        </w:rPr>
        <w:t>，进一步提升标准适宜性。</w:t>
      </w:r>
    </w:p>
    <w:p w:rsidR="00B827DA" w:rsidRDefault="003A5E5C">
      <w:pPr>
        <w:numPr>
          <w:ilvl w:val="0"/>
          <w:numId w:val="7"/>
        </w:numPr>
        <w:rPr>
          <w:b/>
          <w:sz w:val="32"/>
          <w:szCs w:val="32"/>
        </w:rPr>
      </w:pPr>
      <w:r>
        <w:rPr>
          <w:rFonts w:hint="eastAsia"/>
          <w:b/>
          <w:sz w:val="32"/>
          <w:szCs w:val="32"/>
        </w:rPr>
        <w:t>主要条款内容的解释说明</w:t>
      </w:r>
    </w:p>
    <w:p w:rsidR="00B827DA" w:rsidRPr="00353501" w:rsidRDefault="003A5E5C" w:rsidP="00353501">
      <w:pPr>
        <w:spacing w:line="560" w:lineRule="exact"/>
        <w:ind w:firstLineChars="200" w:firstLine="640"/>
        <w:rPr>
          <w:rFonts w:ascii="仿宋_GB2312" w:eastAsia="仿宋_GB2312"/>
          <w:sz w:val="32"/>
          <w:szCs w:val="32"/>
        </w:rPr>
      </w:pPr>
      <w:r w:rsidRPr="00353501">
        <w:rPr>
          <w:rFonts w:ascii="仿宋_GB2312" w:eastAsia="仿宋_GB2312" w:hint="eastAsia"/>
          <w:sz w:val="32"/>
          <w:szCs w:val="32"/>
        </w:rPr>
        <w:t>本标准按照GB/T 1.1-2009给出的规则编写，参考了中共中央办公厅、国务院办公厅印发《省级党委和政府扶贫开</w:t>
      </w:r>
      <w:r w:rsidRPr="00353501">
        <w:rPr>
          <w:rFonts w:ascii="仿宋_GB2312" w:eastAsia="仿宋_GB2312" w:hint="eastAsia"/>
          <w:sz w:val="32"/>
          <w:szCs w:val="32"/>
        </w:rPr>
        <w:lastRenderedPageBreak/>
        <w:t>发工作成效考核办法》、《关于建立贫困退出机制的意见》、《关于进一步加强东西部扶贫协作工作的指导意见》，内蒙古自治区党委办公厅、自治区人民政府办公厅关于印发《盟市党委、政府（行政公署）扶贫开发工作成效考核办法》的通知，以及地方标准《扶贫工作成效考核评估规范》等相关法规内容，本着“科学、先进、实用”的原则，充分考虑我国扶贫工作的实际情况，力求做到适用范围明确、层次清楚、文字表述准确、通俗易懂，有利于</w:t>
      </w:r>
      <w:proofErr w:type="gramStart"/>
      <w:r w:rsidRPr="00353501">
        <w:rPr>
          <w:rFonts w:ascii="仿宋_GB2312" w:eastAsia="仿宋_GB2312" w:hint="eastAsia"/>
          <w:sz w:val="32"/>
          <w:szCs w:val="32"/>
        </w:rPr>
        <w:t>引导扶贫</w:t>
      </w:r>
      <w:proofErr w:type="gramEnd"/>
      <w:r w:rsidRPr="00353501">
        <w:rPr>
          <w:rFonts w:ascii="仿宋_GB2312" w:eastAsia="仿宋_GB2312" w:hint="eastAsia"/>
          <w:sz w:val="32"/>
          <w:szCs w:val="32"/>
        </w:rPr>
        <w:t>工作规范化，具有可操作性。</w:t>
      </w:r>
    </w:p>
    <w:p w:rsidR="00B827DA" w:rsidRPr="00EE5635" w:rsidRDefault="00EE5635" w:rsidP="00EE5635">
      <w:pPr>
        <w:ind w:firstLineChars="200" w:firstLine="643"/>
        <w:rPr>
          <w:rFonts w:ascii="仿宋_GB2312" w:eastAsia="仿宋_GB2312"/>
          <w:sz w:val="32"/>
          <w:szCs w:val="32"/>
        </w:rPr>
      </w:pPr>
      <w:r>
        <w:rPr>
          <w:rFonts w:hint="eastAsia"/>
          <w:b/>
          <w:sz w:val="32"/>
          <w:szCs w:val="32"/>
        </w:rPr>
        <w:t>六</w:t>
      </w:r>
      <w:r w:rsidR="003A5E5C">
        <w:rPr>
          <w:rFonts w:hint="eastAsia"/>
          <w:b/>
          <w:sz w:val="32"/>
          <w:szCs w:val="32"/>
        </w:rPr>
        <w:t>、贯彻标准的要求、措施和建议</w:t>
      </w:r>
    </w:p>
    <w:p w:rsidR="00B827DA" w:rsidRDefault="003A5E5C" w:rsidP="00353501">
      <w:pPr>
        <w:spacing w:line="560" w:lineRule="exact"/>
        <w:ind w:firstLineChars="200" w:firstLine="640"/>
        <w:rPr>
          <w:rFonts w:ascii="仿宋_GB2312" w:eastAsia="仿宋_GB2312"/>
          <w:sz w:val="32"/>
          <w:szCs w:val="32"/>
        </w:rPr>
      </w:pPr>
      <w:r w:rsidRPr="00353501">
        <w:rPr>
          <w:rFonts w:ascii="仿宋_GB2312" w:eastAsia="仿宋_GB2312" w:hint="eastAsia"/>
          <w:sz w:val="32"/>
          <w:szCs w:val="32"/>
        </w:rPr>
        <w:t>本标准可指导我国扶贫工作</w:t>
      </w:r>
      <w:r w:rsidR="00EE5635" w:rsidRPr="00353501">
        <w:rPr>
          <w:rFonts w:ascii="仿宋_GB2312" w:eastAsia="仿宋_GB2312" w:hint="eastAsia"/>
          <w:sz w:val="32"/>
          <w:szCs w:val="32"/>
        </w:rPr>
        <w:t>评估考核</w:t>
      </w:r>
      <w:r w:rsidRPr="00353501">
        <w:rPr>
          <w:rFonts w:ascii="仿宋_GB2312" w:eastAsia="仿宋_GB2312" w:hint="eastAsia"/>
          <w:sz w:val="32"/>
          <w:szCs w:val="32"/>
        </w:rPr>
        <w:t>相关工作的开展，贯彻标准需要行业管理部门的配合及落实，建议行业管理部门及时宣</w:t>
      </w:r>
      <w:proofErr w:type="gramStart"/>
      <w:r w:rsidRPr="00353501">
        <w:rPr>
          <w:rFonts w:ascii="仿宋_GB2312" w:eastAsia="仿宋_GB2312" w:hint="eastAsia"/>
          <w:sz w:val="32"/>
          <w:szCs w:val="32"/>
        </w:rPr>
        <w:t>贯标准</w:t>
      </w:r>
      <w:proofErr w:type="gramEnd"/>
      <w:r w:rsidRPr="00353501">
        <w:rPr>
          <w:rFonts w:ascii="仿宋_GB2312" w:eastAsia="仿宋_GB2312" w:hint="eastAsia"/>
          <w:sz w:val="32"/>
          <w:szCs w:val="32"/>
        </w:rPr>
        <w:t>文本，必要时可组织起草人员及相关专家进行标准内容解读。</w:t>
      </w:r>
    </w:p>
    <w:p w:rsidR="00B827DA" w:rsidRDefault="00EE5635" w:rsidP="00EE5635">
      <w:pPr>
        <w:ind w:firstLineChars="250" w:firstLine="803"/>
        <w:rPr>
          <w:b/>
          <w:sz w:val="32"/>
          <w:szCs w:val="32"/>
        </w:rPr>
      </w:pPr>
      <w:r>
        <w:rPr>
          <w:rFonts w:hint="eastAsia"/>
          <w:b/>
          <w:sz w:val="32"/>
          <w:szCs w:val="32"/>
        </w:rPr>
        <w:t>七</w:t>
      </w:r>
      <w:r w:rsidR="003A5E5C">
        <w:rPr>
          <w:rFonts w:hint="eastAsia"/>
          <w:b/>
          <w:sz w:val="32"/>
          <w:szCs w:val="32"/>
        </w:rPr>
        <w:t>、其他应予以说明的事项</w:t>
      </w:r>
    </w:p>
    <w:p w:rsidR="00B827DA" w:rsidRDefault="003A5E5C" w:rsidP="00EE5635">
      <w:pPr>
        <w:ind w:firstLineChars="250" w:firstLine="800"/>
        <w:rPr>
          <w:rFonts w:ascii="仿宋_GB2312" w:eastAsia="仿宋_GB2312"/>
          <w:sz w:val="32"/>
          <w:szCs w:val="32"/>
        </w:rPr>
      </w:pPr>
      <w:r>
        <w:rPr>
          <w:rFonts w:ascii="仿宋_GB2312" w:eastAsia="仿宋_GB2312" w:hint="eastAsia"/>
          <w:sz w:val="32"/>
          <w:szCs w:val="32"/>
        </w:rPr>
        <w:t>无。</w:t>
      </w:r>
    </w:p>
    <w:p w:rsidR="00B827DA" w:rsidRPr="003A5E5C" w:rsidRDefault="00B827DA">
      <w:pPr>
        <w:spacing w:line="560" w:lineRule="exact"/>
        <w:ind w:firstLineChars="200" w:firstLine="560"/>
        <w:rPr>
          <w:rFonts w:ascii="宋体" w:hAnsi="宋体"/>
          <w:sz w:val="28"/>
          <w:szCs w:val="28"/>
        </w:rPr>
      </w:pPr>
    </w:p>
    <w:p w:rsidR="00EE5635" w:rsidRPr="003A5E5C" w:rsidRDefault="00EE5635">
      <w:pPr>
        <w:spacing w:line="560" w:lineRule="exact"/>
        <w:ind w:firstLineChars="200" w:firstLine="560"/>
        <w:rPr>
          <w:rFonts w:ascii="宋体" w:hAnsi="宋体"/>
          <w:sz w:val="28"/>
          <w:szCs w:val="28"/>
        </w:rPr>
      </w:pPr>
    </w:p>
    <w:p w:rsidR="00EE5635" w:rsidRPr="003A5E5C" w:rsidRDefault="00EE5635">
      <w:pPr>
        <w:spacing w:line="560" w:lineRule="exact"/>
        <w:ind w:firstLineChars="200" w:firstLine="560"/>
        <w:rPr>
          <w:rFonts w:ascii="宋体" w:hAnsi="宋体"/>
          <w:sz w:val="28"/>
          <w:szCs w:val="28"/>
        </w:rPr>
      </w:pPr>
    </w:p>
    <w:p w:rsidR="00EE5635" w:rsidRPr="003A5E5C" w:rsidRDefault="00EE5635">
      <w:pPr>
        <w:spacing w:line="560" w:lineRule="exact"/>
        <w:ind w:firstLineChars="200" w:firstLine="560"/>
        <w:rPr>
          <w:rFonts w:ascii="宋体" w:hAnsi="宋体"/>
          <w:sz w:val="28"/>
          <w:szCs w:val="28"/>
        </w:rPr>
      </w:pPr>
    </w:p>
    <w:p w:rsidR="00EE5635" w:rsidRPr="003A5E5C" w:rsidRDefault="00EE5635">
      <w:pPr>
        <w:spacing w:line="560" w:lineRule="exact"/>
        <w:ind w:firstLineChars="200" w:firstLine="560"/>
        <w:rPr>
          <w:rFonts w:ascii="宋体" w:hAnsi="宋体"/>
          <w:sz w:val="28"/>
          <w:szCs w:val="28"/>
        </w:rPr>
      </w:pPr>
    </w:p>
    <w:p w:rsidR="00B827DA" w:rsidRPr="003A5E5C" w:rsidRDefault="00EE5635">
      <w:pPr>
        <w:pStyle w:val="af5"/>
        <w:ind w:left="960" w:hangingChars="300" w:hanging="960"/>
        <w:jc w:val="center"/>
        <w:rPr>
          <w:rFonts w:hAnsi="宋体"/>
          <w:sz w:val="32"/>
          <w:szCs w:val="32"/>
        </w:rPr>
      </w:pPr>
      <w:r w:rsidRPr="003A5E5C">
        <w:rPr>
          <w:rFonts w:hAnsi="宋体" w:cs="仿宋_GB2312" w:hint="eastAsia"/>
          <w:sz w:val="32"/>
          <w:szCs w:val="32"/>
        </w:rPr>
        <w:t xml:space="preserve">      </w:t>
      </w:r>
      <w:r w:rsidR="003A5E5C" w:rsidRPr="003A5E5C">
        <w:rPr>
          <w:rFonts w:hAnsi="宋体" w:cs="仿宋_GB2312" w:hint="eastAsia"/>
          <w:sz w:val="32"/>
          <w:szCs w:val="32"/>
        </w:rPr>
        <w:t>《</w:t>
      </w:r>
      <w:r w:rsidR="003A5E5C">
        <w:rPr>
          <w:rFonts w:ascii="Times New Roman" w:hint="eastAsia"/>
          <w:kern w:val="2"/>
          <w:sz w:val="32"/>
          <w:szCs w:val="32"/>
        </w:rPr>
        <w:t>精准扶贫工作成效考核评估规范</w:t>
      </w:r>
      <w:r w:rsidR="003A5E5C" w:rsidRPr="003A5E5C">
        <w:rPr>
          <w:rFonts w:hAnsi="宋体" w:cs="仿宋_GB2312" w:hint="eastAsia"/>
          <w:sz w:val="32"/>
          <w:szCs w:val="32"/>
        </w:rPr>
        <w:t>》</w:t>
      </w:r>
      <w:r w:rsidR="003A5E5C" w:rsidRPr="003A5E5C">
        <w:rPr>
          <w:rFonts w:hAnsi="宋体" w:hint="eastAsia"/>
          <w:sz w:val="32"/>
          <w:szCs w:val="32"/>
        </w:rPr>
        <w:t>编制组</w:t>
      </w:r>
    </w:p>
    <w:p w:rsidR="00B827DA" w:rsidRPr="003A5E5C" w:rsidRDefault="00EE5635">
      <w:pPr>
        <w:pStyle w:val="af5"/>
        <w:ind w:left="960" w:hangingChars="300" w:hanging="960"/>
        <w:jc w:val="center"/>
        <w:rPr>
          <w:rFonts w:hAnsi="宋体"/>
          <w:sz w:val="32"/>
          <w:szCs w:val="32"/>
        </w:rPr>
      </w:pPr>
      <w:r w:rsidRPr="003A5E5C">
        <w:rPr>
          <w:rFonts w:hAnsi="宋体" w:hint="eastAsia"/>
          <w:sz w:val="32"/>
          <w:szCs w:val="32"/>
        </w:rPr>
        <w:t xml:space="preserve">       </w:t>
      </w:r>
      <w:r w:rsidR="003A5E5C" w:rsidRPr="003A5E5C">
        <w:rPr>
          <w:rFonts w:hAnsi="宋体" w:hint="eastAsia"/>
          <w:sz w:val="32"/>
          <w:szCs w:val="32"/>
        </w:rPr>
        <w:t xml:space="preserve"> 20</w:t>
      </w:r>
      <w:r w:rsidR="00AD4124">
        <w:rPr>
          <w:rFonts w:hAnsi="宋体" w:hint="eastAsia"/>
          <w:sz w:val="32"/>
          <w:szCs w:val="32"/>
        </w:rPr>
        <w:t>20</w:t>
      </w:r>
      <w:r w:rsidR="003A5E5C" w:rsidRPr="003A5E5C">
        <w:rPr>
          <w:rFonts w:hAnsi="宋体" w:hint="eastAsia"/>
          <w:sz w:val="32"/>
          <w:szCs w:val="32"/>
        </w:rPr>
        <w:t>年</w:t>
      </w:r>
      <w:r w:rsidR="00AD4124">
        <w:rPr>
          <w:rFonts w:hAnsi="宋体" w:hint="eastAsia"/>
          <w:sz w:val="32"/>
          <w:szCs w:val="32"/>
        </w:rPr>
        <w:t>4</w:t>
      </w:r>
      <w:bookmarkStart w:id="0" w:name="_GoBack"/>
      <w:bookmarkEnd w:id="0"/>
      <w:r w:rsidR="003A5E5C" w:rsidRPr="003A5E5C">
        <w:rPr>
          <w:rFonts w:hAnsi="宋体" w:hint="eastAsia"/>
          <w:sz w:val="32"/>
          <w:szCs w:val="32"/>
        </w:rPr>
        <w:t>月</w:t>
      </w:r>
    </w:p>
    <w:sectPr w:rsidR="00B827DA" w:rsidRPr="003A5E5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BE0" w:rsidRDefault="00E43BE0" w:rsidP="00EE5635">
      <w:r>
        <w:separator/>
      </w:r>
    </w:p>
  </w:endnote>
  <w:endnote w:type="continuationSeparator" w:id="0">
    <w:p w:rsidR="00E43BE0" w:rsidRDefault="00E43BE0" w:rsidP="00EE5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BE0" w:rsidRDefault="00E43BE0" w:rsidP="00EE5635">
      <w:r>
        <w:separator/>
      </w:r>
    </w:p>
  </w:footnote>
  <w:footnote w:type="continuationSeparator" w:id="0">
    <w:p w:rsidR="00E43BE0" w:rsidRDefault="00E43BE0" w:rsidP="00EE56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0A0EA"/>
    <w:multiLevelType w:val="singleLevel"/>
    <w:tmpl w:val="8B0CD534"/>
    <w:lvl w:ilvl="0">
      <w:start w:val="5"/>
      <w:numFmt w:val="chineseCounting"/>
      <w:suff w:val="nothing"/>
      <w:lvlText w:val="%1、"/>
      <w:lvlJc w:val="left"/>
      <w:rPr>
        <w:rFonts w:hint="eastAsia"/>
        <w:lang w:val="en-US"/>
      </w:rPr>
    </w:lvl>
  </w:abstractNum>
  <w:abstractNum w:abstractNumId="1">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44C50F90"/>
    <w:multiLevelType w:val="multilevel"/>
    <w:tmpl w:val="44C50F90"/>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pStyle w:val="a2"/>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
    <w:nsid w:val="468AD367"/>
    <w:multiLevelType w:val="singleLevel"/>
    <w:tmpl w:val="468AD367"/>
    <w:lvl w:ilvl="0">
      <w:start w:val="14"/>
      <w:numFmt w:val="chineseCounting"/>
      <w:suff w:val="nothing"/>
      <w:lvlText w:val="%1、"/>
      <w:lvlJc w:val="left"/>
      <w:rPr>
        <w:rFonts w:hint="eastAsia"/>
      </w:rPr>
    </w:lvl>
  </w:abstractNum>
  <w:abstractNum w:abstractNumId="4">
    <w:nsid w:val="59CDB9B1"/>
    <w:multiLevelType w:val="singleLevel"/>
    <w:tmpl w:val="59CDB9B1"/>
    <w:lvl w:ilvl="0">
      <w:start w:val="1"/>
      <w:numFmt w:val="chineseCounting"/>
      <w:pStyle w:val="a3"/>
      <w:suff w:val="nothing"/>
      <w:lvlText w:val="%1、"/>
      <w:lvlJc w:val="left"/>
    </w:lvl>
  </w:abstractNum>
  <w:abstractNum w:abstractNumId="5">
    <w:nsid w:val="646260FA"/>
    <w:multiLevelType w:val="multilevel"/>
    <w:tmpl w:val="646260FA"/>
    <w:lvl w:ilvl="0">
      <w:start w:val="1"/>
      <w:numFmt w:val="decimal"/>
      <w:pStyle w:val="a4"/>
      <w:suff w:val="nothing"/>
      <w:lvlText w:val="表%1　"/>
      <w:lvlJc w:val="left"/>
      <w:pPr>
        <w:ind w:left="482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5"/>
      <w:suff w:val="nothing"/>
      <w:lvlText w:val="%1.%2　"/>
      <w:lvlJc w:val="left"/>
      <w:pPr>
        <w:ind w:left="284" w:firstLine="0"/>
      </w:pPr>
      <w:rPr>
        <w:rFonts w:ascii="黑体" w:eastAsia="黑体" w:hAnsi="Times New Roman" w:hint="eastAsia"/>
        <w:b w:val="0"/>
        <w:i w:val="0"/>
        <w:snapToGrid/>
        <w:spacing w:val="0"/>
        <w:w w:val="100"/>
        <w:kern w:val="21"/>
        <w:sz w:val="21"/>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6DBF04F4"/>
    <w:multiLevelType w:val="multilevel"/>
    <w:tmpl w:val="6DBF04F4"/>
    <w:lvl w:ilvl="0">
      <w:start w:val="1"/>
      <w:numFmt w:val="none"/>
      <w:pStyle w:val="a8"/>
      <w:suff w:val="nothing"/>
      <w:lvlText w:val="%1注："/>
      <w:lvlJc w:val="left"/>
      <w:pPr>
        <w:ind w:left="505" w:hanging="363"/>
      </w:pPr>
      <w:rPr>
        <w:rFonts w:ascii="黑体" w:eastAsia="黑体" w:hAnsi="Times New Roman" w:hint="eastAsia"/>
        <w:b w:val="0"/>
        <w:i w:val="0"/>
        <w:sz w:val="18"/>
        <w:vertAlign w:val="baseline"/>
      </w:rPr>
    </w:lvl>
    <w:lvl w:ilvl="1">
      <w:start w:val="1"/>
      <w:numFmt w:val="lowerLetter"/>
      <w:lvlText w:val="%2)"/>
      <w:lvlJc w:val="left"/>
      <w:pPr>
        <w:tabs>
          <w:tab w:val="left" w:pos="919"/>
        </w:tabs>
        <w:ind w:left="505" w:hanging="363"/>
      </w:pPr>
      <w:rPr>
        <w:rFonts w:hint="eastAsia"/>
      </w:rPr>
    </w:lvl>
    <w:lvl w:ilvl="2">
      <w:start w:val="1"/>
      <w:numFmt w:val="lowerRoman"/>
      <w:pStyle w:val="a9"/>
      <w:lvlText w:val="%3."/>
      <w:lvlJc w:val="right"/>
      <w:pPr>
        <w:tabs>
          <w:tab w:val="left" w:pos="919"/>
        </w:tabs>
        <w:ind w:left="505" w:hanging="363"/>
      </w:pPr>
      <w:rPr>
        <w:rFonts w:hint="eastAsia"/>
      </w:rPr>
    </w:lvl>
    <w:lvl w:ilvl="3">
      <w:start w:val="1"/>
      <w:numFmt w:val="decimal"/>
      <w:pStyle w:val="aa"/>
      <w:lvlText w:val="%4."/>
      <w:lvlJc w:val="left"/>
      <w:pPr>
        <w:tabs>
          <w:tab w:val="left" w:pos="919"/>
        </w:tabs>
        <w:ind w:left="505" w:hanging="363"/>
      </w:pPr>
      <w:rPr>
        <w:rFonts w:hint="eastAsia"/>
      </w:rPr>
    </w:lvl>
    <w:lvl w:ilvl="4">
      <w:start w:val="1"/>
      <w:numFmt w:val="lowerLetter"/>
      <w:lvlText w:val="%5)"/>
      <w:lvlJc w:val="left"/>
      <w:pPr>
        <w:tabs>
          <w:tab w:val="left" w:pos="919"/>
        </w:tabs>
        <w:ind w:left="505" w:hanging="363"/>
      </w:pPr>
      <w:rPr>
        <w:rFonts w:hint="eastAsia"/>
      </w:rPr>
    </w:lvl>
    <w:lvl w:ilvl="5">
      <w:start w:val="1"/>
      <w:numFmt w:val="lowerRoman"/>
      <w:lvlText w:val="%6."/>
      <w:lvlJc w:val="right"/>
      <w:pPr>
        <w:tabs>
          <w:tab w:val="left" w:pos="919"/>
        </w:tabs>
        <w:ind w:left="505" w:hanging="363"/>
      </w:pPr>
      <w:rPr>
        <w:rFonts w:hint="eastAsia"/>
      </w:rPr>
    </w:lvl>
    <w:lvl w:ilvl="6">
      <w:start w:val="1"/>
      <w:numFmt w:val="decimal"/>
      <w:lvlText w:val="%7."/>
      <w:lvlJc w:val="left"/>
      <w:pPr>
        <w:tabs>
          <w:tab w:val="left" w:pos="919"/>
        </w:tabs>
        <w:ind w:left="505" w:hanging="363"/>
      </w:pPr>
      <w:rPr>
        <w:rFonts w:hint="eastAsia"/>
      </w:rPr>
    </w:lvl>
    <w:lvl w:ilvl="7">
      <w:start w:val="1"/>
      <w:numFmt w:val="lowerLetter"/>
      <w:lvlText w:val="%8)"/>
      <w:lvlJc w:val="left"/>
      <w:pPr>
        <w:tabs>
          <w:tab w:val="left" w:pos="919"/>
        </w:tabs>
        <w:ind w:left="505" w:hanging="363"/>
      </w:pPr>
      <w:rPr>
        <w:rFonts w:hint="eastAsia"/>
      </w:rPr>
    </w:lvl>
    <w:lvl w:ilvl="8">
      <w:start w:val="1"/>
      <w:numFmt w:val="lowerRoman"/>
      <w:lvlText w:val="%9."/>
      <w:lvlJc w:val="right"/>
      <w:pPr>
        <w:tabs>
          <w:tab w:val="left" w:pos="919"/>
        </w:tabs>
        <w:ind w:left="505" w:hanging="363"/>
      </w:pPr>
      <w:rPr>
        <w:rFonts w:hint="eastAsia"/>
      </w:rPr>
    </w:lvl>
  </w:abstractNum>
  <w:num w:numId="1">
    <w:abstractNumId w:val="6"/>
  </w:num>
  <w:num w:numId="2">
    <w:abstractNumId w:val="2"/>
  </w:num>
  <w:num w:numId="3">
    <w:abstractNumId w:val="4"/>
  </w:num>
  <w:num w:numId="4">
    <w:abstractNumId w:val="1"/>
  </w:num>
  <w:num w:numId="5">
    <w:abstractNumId w:val="7"/>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2324"/>
    <w:rsid w:val="00003793"/>
    <w:rsid w:val="00011336"/>
    <w:rsid w:val="00075361"/>
    <w:rsid w:val="000B6A8A"/>
    <w:rsid w:val="000D7B6F"/>
    <w:rsid w:val="001502A8"/>
    <w:rsid w:val="00184DA8"/>
    <w:rsid w:val="00190E51"/>
    <w:rsid w:val="002A2430"/>
    <w:rsid w:val="002C5018"/>
    <w:rsid w:val="002C5E17"/>
    <w:rsid w:val="00307022"/>
    <w:rsid w:val="0031156E"/>
    <w:rsid w:val="00353501"/>
    <w:rsid w:val="003701DA"/>
    <w:rsid w:val="003777F9"/>
    <w:rsid w:val="00391518"/>
    <w:rsid w:val="003A3759"/>
    <w:rsid w:val="003A5E5C"/>
    <w:rsid w:val="003A640F"/>
    <w:rsid w:val="003B1B0F"/>
    <w:rsid w:val="003D1390"/>
    <w:rsid w:val="003D3759"/>
    <w:rsid w:val="0041202F"/>
    <w:rsid w:val="00492847"/>
    <w:rsid w:val="004E444E"/>
    <w:rsid w:val="005749DD"/>
    <w:rsid w:val="005D3667"/>
    <w:rsid w:val="00673D87"/>
    <w:rsid w:val="00681A19"/>
    <w:rsid w:val="006852E0"/>
    <w:rsid w:val="006A78BF"/>
    <w:rsid w:val="006D322F"/>
    <w:rsid w:val="006E373E"/>
    <w:rsid w:val="00716065"/>
    <w:rsid w:val="0072756C"/>
    <w:rsid w:val="0073217B"/>
    <w:rsid w:val="00732B3A"/>
    <w:rsid w:val="00774C7E"/>
    <w:rsid w:val="007A2003"/>
    <w:rsid w:val="007A7743"/>
    <w:rsid w:val="007B5F6E"/>
    <w:rsid w:val="007C2C39"/>
    <w:rsid w:val="007C78D8"/>
    <w:rsid w:val="00812324"/>
    <w:rsid w:val="00884316"/>
    <w:rsid w:val="008863CB"/>
    <w:rsid w:val="00923842"/>
    <w:rsid w:val="009A5C4A"/>
    <w:rsid w:val="009B07FB"/>
    <w:rsid w:val="009D1039"/>
    <w:rsid w:val="009F691D"/>
    <w:rsid w:val="00A60A01"/>
    <w:rsid w:val="00A634CB"/>
    <w:rsid w:val="00AA07CD"/>
    <w:rsid w:val="00AB7ED7"/>
    <w:rsid w:val="00AD4124"/>
    <w:rsid w:val="00B17D8B"/>
    <w:rsid w:val="00B305D6"/>
    <w:rsid w:val="00B72B34"/>
    <w:rsid w:val="00B827DA"/>
    <w:rsid w:val="00B873F4"/>
    <w:rsid w:val="00B9695F"/>
    <w:rsid w:val="00BB036B"/>
    <w:rsid w:val="00BB7E07"/>
    <w:rsid w:val="00BC28CF"/>
    <w:rsid w:val="00BC5C67"/>
    <w:rsid w:val="00BF551D"/>
    <w:rsid w:val="00BF5E2C"/>
    <w:rsid w:val="00C91051"/>
    <w:rsid w:val="00CD2095"/>
    <w:rsid w:val="00D168E5"/>
    <w:rsid w:val="00D20DE6"/>
    <w:rsid w:val="00D51A1E"/>
    <w:rsid w:val="00D82705"/>
    <w:rsid w:val="00DD106D"/>
    <w:rsid w:val="00DD18F0"/>
    <w:rsid w:val="00DD739D"/>
    <w:rsid w:val="00E43BE0"/>
    <w:rsid w:val="00E67FD3"/>
    <w:rsid w:val="00EA5654"/>
    <w:rsid w:val="00EA5B74"/>
    <w:rsid w:val="00EE5635"/>
    <w:rsid w:val="00EF103B"/>
    <w:rsid w:val="00F40CCC"/>
    <w:rsid w:val="00F4137F"/>
    <w:rsid w:val="00F70F97"/>
    <w:rsid w:val="00F71936"/>
    <w:rsid w:val="00F77A40"/>
    <w:rsid w:val="00FB3F0C"/>
    <w:rsid w:val="00FC76DE"/>
    <w:rsid w:val="00FF04D0"/>
    <w:rsid w:val="00FF1471"/>
    <w:rsid w:val="00FF6DC2"/>
    <w:rsid w:val="010C0CBA"/>
    <w:rsid w:val="0B8B78A3"/>
    <w:rsid w:val="0C8B4170"/>
    <w:rsid w:val="0F855D1E"/>
    <w:rsid w:val="142D29BD"/>
    <w:rsid w:val="18FD1A29"/>
    <w:rsid w:val="194B43C0"/>
    <w:rsid w:val="1BB81514"/>
    <w:rsid w:val="206C46A2"/>
    <w:rsid w:val="243324E9"/>
    <w:rsid w:val="25A20EFA"/>
    <w:rsid w:val="26810B68"/>
    <w:rsid w:val="271115AD"/>
    <w:rsid w:val="29AC17E6"/>
    <w:rsid w:val="2EE568E2"/>
    <w:rsid w:val="33D91CFC"/>
    <w:rsid w:val="34A36C98"/>
    <w:rsid w:val="389940BB"/>
    <w:rsid w:val="3C135F5D"/>
    <w:rsid w:val="3F51449E"/>
    <w:rsid w:val="427D1F3C"/>
    <w:rsid w:val="482B54F1"/>
    <w:rsid w:val="4BE65379"/>
    <w:rsid w:val="51AE5FBC"/>
    <w:rsid w:val="5455722A"/>
    <w:rsid w:val="56F101BC"/>
    <w:rsid w:val="5EB1797B"/>
    <w:rsid w:val="624E53D8"/>
    <w:rsid w:val="6EEB6821"/>
    <w:rsid w:val="6F003780"/>
    <w:rsid w:val="71357678"/>
    <w:rsid w:val="74B24F53"/>
    <w:rsid w:val="74EE4D13"/>
    <w:rsid w:val="77FF0149"/>
    <w:rsid w:val="7B7D0F68"/>
    <w:rsid w:val="7DB241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header" w:qFormat="1"/>
    <w:lsdException w:name="footer" w:qFormat="1"/>
    <w:lsdException w:name="caption" w:semiHidden="1" w:unhideWhenUsed="1" w:qFormat="1"/>
    <w:lsdException w:name="footnote reference" w:uiPriority="99"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b">
    <w:name w:val="Normal"/>
    <w:qFormat/>
    <w:pPr>
      <w:widowControl w:val="0"/>
      <w:jc w:val="both"/>
    </w:pPr>
    <w:rPr>
      <w:kern w:val="2"/>
      <w:sz w:val="21"/>
      <w:szCs w:val="24"/>
    </w:rPr>
  </w:style>
  <w:style w:type="paragraph" w:styleId="2">
    <w:name w:val="heading 2"/>
    <w:basedOn w:val="ab"/>
    <w:next w:val="ab"/>
    <w:link w:val="2Char"/>
    <w:uiPriority w:val="9"/>
    <w:qFormat/>
    <w:pPr>
      <w:keepNext/>
      <w:keepLines/>
      <w:spacing w:line="660" w:lineRule="exact"/>
      <w:outlineLvl w:val="1"/>
    </w:pPr>
    <w:rPr>
      <w:rFonts w:ascii="楷体" w:eastAsia="楷体" w:hAnsi="Cambria"/>
      <w:b/>
      <w:bCs/>
      <w:sz w:val="32"/>
      <w:szCs w:val="32"/>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footer"/>
    <w:basedOn w:val="ab"/>
    <w:qFormat/>
    <w:pPr>
      <w:tabs>
        <w:tab w:val="center" w:pos="4153"/>
        <w:tab w:val="right" w:pos="8306"/>
      </w:tabs>
      <w:snapToGrid w:val="0"/>
      <w:jc w:val="left"/>
    </w:pPr>
    <w:rPr>
      <w:sz w:val="18"/>
      <w:szCs w:val="18"/>
    </w:rPr>
  </w:style>
  <w:style w:type="paragraph" w:styleId="af0">
    <w:name w:val="header"/>
    <w:basedOn w:val="ab"/>
    <w:link w:val="Char"/>
    <w:qFormat/>
    <w:pPr>
      <w:pBdr>
        <w:bottom w:val="single" w:sz="6" w:space="1" w:color="auto"/>
      </w:pBdr>
      <w:tabs>
        <w:tab w:val="center" w:pos="4153"/>
        <w:tab w:val="right" w:pos="8306"/>
      </w:tabs>
      <w:snapToGrid w:val="0"/>
      <w:jc w:val="center"/>
    </w:pPr>
    <w:rPr>
      <w:sz w:val="18"/>
      <w:szCs w:val="18"/>
    </w:rPr>
  </w:style>
  <w:style w:type="paragraph" w:styleId="af1">
    <w:name w:val="footnote text"/>
    <w:basedOn w:val="ab"/>
    <w:link w:val="Char0"/>
    <w:uiPriority w:val="99"/>
    <w:unhideWhenUsed/>
    <w:qFormat/>
    <w:pPr>
      <w:snapToGrid w:val="0"/>
      <w:spacing w:line="560" w:lineRule="exact"/>
      <w:ind w:firstLineChars="200" w:firstLine="200"/>
      <w:jc w:val="left"/>
    </w:pPr>
    <w:rPr>
      <w:rFonts w:ascii="仿宋_GB2312" w:eastAsia="仿宋_GB2312"/>
      <w:sz w:val="18"/>
      <w:szCs w:val="18"/>
    </w:rPr>
  </w:style>
  <w:style w:type="paragraph" w:styleId="af2">
    <w:name w:val="Normal (Web)"/>
    <w:basedOn w:val="ab"/>
    <w:uiPriority w:val="99"/>
    <w:unhideWhenUsed/>
    <w:qFormat/>
    <w:pPr>
      <w:widowControl/>
      <w:spacing w:before="100" w:beforeAutospacing="1" w:after="100" w:afterAutospacing="1"/>
      <w:jc w:val="left"/>
    </w:pPr>
    <w:rPr>
      <w:rFonts w:ascii="宋体" w:hAnsi="宋体" w:cs="宋体"/>
      <w:kern w:val="0"/>
      <w:sz w:val="24"/>
    </w:rPr>
  </w:style>
  <w:style w:type="table" w:styleId="af3">
    <w:name w:val="Table Grid"/>
    <w:basedOn w:val="ad"/>
    <w:uiPriority w:val="59"/>
    <w:qFormat/>
    <w:rPr>
      <w:rFonts w:ascii="仿宋_GB2312" w:eastAsia="仿宋_GB2312"/>
      <w:sz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otnote reference"/>
    <w:uiPriority w:val="99"/>
    <w:unhideWhenUsed/>
    <w:qFormat/>
    <w:rPr>
      <w:vertAlign w:val="superscript"/>
    </w:rPr>
  </w:style>
  <w:style w:type="paragraph" w:customStyle="1" w:styleId="a7">
    <w:name w:val="附录二级条标题"/>
    <w:basedOn w:val="ab"/>
    <w:next w:val="af5"/>
    <w:qFormat/>
    <w:pPr>
      <w:widowControl/>
      <w:numPr>
        <w:ilvl w:val="3"/>
        <w:numId w:val="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5">
    <w:name w:val="段"/>
    <w:link w:val="Char1"/>
    <w:qFormat/>
    <w:pPr>
      <w:tabs>
        <w:tab w:val="center" w:pos="4201"/>
        <w:tab w:val="right" w:leader="dot" w:pos="9298"/>
      </w:tabs>
      <w:autoSpaceDE w:val="0"/>
      <w:autoSpaceDN w:val="0"/>
      <w:ind w:firstLineChars="200" w:firstLine="420"/>
      <w:jc w:val="both"/>
    </w:pPr>
    <w:rPr>
      <w:rFonts w:ascii="宋体"/>
      <w:sz w:val="21"/>
      <w:szCs w:val="22"/>
    </w:rPr>
  </w:style>
  <w:style w:type="paragraph" w:customStyle="1" w:styleId="a2">
    <w:name w:val="数字编号列项（二级）"/>
    <w:qFormat/>
    <w:pPr>
      <w:numPr>
        <w:ilvl w:val="1"/>
        <w:numId w:val="2"/>
      </w:numPr>
      <w:jc w:val="both"/>
    </w:pPr>
    <w:rPr>
      <w:rFonts w:ascii="宋体"/>
      <w:sz w:val="21"/>
      <w:szCs w:val="22"/>
    </w:rPr>
  </w:style>
  <w:style w:type="paragraph" w:customStyle="1" w:styleId="a3">
    <w:name w:val="字母编号列项（一级）"/>
    <w:qFormat/>
    <w:pPr>
      <w:numPr>
        <w:numId w:val="3"/>
      </w:numPr>
      <w:tabs>
        <w:tab w:val="left" w:pos="840"/>
      </w:tabs>
      <w:jc w:val="both"/>
    </w:pPr>
    <w:rPr>
      <w:rFonts w:ascii="宋体"/>
      <w:sz w:val="21"/>
    </w:rPr>
  </w:style>
  <w:style w:type="paragraph" w:customStyle="1" w:styleId="a">
    <w:name w:val="注×：（正文）"/>
    <w:qFormat/>
    <w:pPr>
      <w:numPr>
        <w:numId w:val="4"/>
      </w:numPr>
      <w:jc w:val="both"/>
    </w:pPr>
    <w:rPr>
      <w:rFonts w:ascii="宋体"/>
      <w:sz w:val="18"/>
      <w:szCs w:val="18"/>
    </w:rPr>
  </w:style>
  <w:style w:type="paragraph" w:customStyle="1" w:styleId="aa">
    <w:name w:val="三级无"/>
    <w:basedOn w:val="ab"/>
    <w:qFormat/>
    <w:pPr>
      <w:widowControl/>
      <w:numPr>
        <w:ilvl w:val="3"/>
        <w:numId w:val="5"/>
      </w:numPr>
      <w:jc w:val="left"/>
      <w:outlineLvl w:val="4"/>
    </w:pPr>
    <w:rPr>
      <w:rFonts w:ascii="宋体"/>
      <w:kern w:val="0"/>
      <w:szCs w:val="21"/>
    </w:rPr>
  </w:style>
  <w:style w:type="paragraph" w:customStyle="1" w:styleId="af6">
    <w:name w:val="正文表标题"/>
    <w:next w:val="af5"/>
    <w:qFormat/>
    <w:pPr>
      <w:tabs>
        <w:tab w:val="left" w:pos="360"/>
      </w:tabs>
      <w:spacing w:beforeLines="50" w:afterLines="50"/>
      <w:jc w:val="center"/>
    </w:pPr>
    <w:rPr>
      <w:rFonts w:ascii="黑体" w:eastAsia="黑体"/>
      <w:sz w:val="21"/>
      <w:szCs w:val="22"/>
    </w:rPr>
  </w:style>
  <w:style w:type="paragraph" w:customStyle="1" w:styleId="a6">
    <w:name w:val="附录一级条标题"/>
    <w:basedOn w:val="a5"/>
    <w:next w:val="af5"/>
    <w:qFormat/>
    <w:pPr>
      <w:numPr>
        <w:ilvl w:val="2"/>
      </w:numPr>
      <w:autoSpaceDN w:val="0"/>
      <w:spacing w:beforeLines="50" w:afterLines="50"/>
      <w:outlineLvl w:val="2"/>
    </w:pPr>
  </w:style>
  <w:style w:type="paragraph" w:customStyle="1" w:styleId="a5">
    <w:name w:val="附录章标题"/>
    <w:next w:val="af5"/>
    <w:qFormat/>
    <w:pPr>
      <w:numPr>
        <w:ilvl w:val="1"/>
        <w:numId w:val="1"/>
      </w:numPr>
      <w:tabs>
        <w:tab w:val="left" w:pos="360"/>
      </w:tabs>
      <w:wordWrap w:val="0"/>
      <w:overflowPunct w:val="0"/>
      <w:autoSpaceDE w:val="0"/>
      <w:spacing w:beforeLines="100" w:afterLines="100"/>
      <w:ind w:left="0"/>
      <w:jc w:val="both"/>
      <w:textAlignment w:val="baseline"/>
      <w:outlineLvl w:val="1"/>
    </w:pPr>
    <w:rPr>
      <w:rFonts w:ascii="黑体" w:eastAsia="黑体"/>
      <w:kern w:val="21"/>
      <w:sz w:val="21"/>
      <w:szCs w:val="22"/>
    </w:rPr>
  </w:style>
  <w:style w:type="paragraph" w:customStyle="1" w:styleId="a9">
    <w:name w:val="二级无"/>
    <w:basedOn w:val="a1"/>
    <w:qFormat/>
    <w:pPr>
      <w:numPr>
        <w:numId w:val="5"/>
      </w:numPr>
      <w:spacing w:beforeLines="0" w:afterLines="0"/>
    </w:pPr>
    <w:rPr>
      <w:rFonts w:ascii="宋体" w:eastAsia="宋体"/>
    </w:rPr>
  </w:style>
  <w:style w:type="paragraph" w:customStyle="1" w:styleId="a1">
    <w:name w:val="二级条标题"/>
    <w:basedOn w:val="a0"/>
    <w:next w:val="af5"/>
    <w:qFormat/>
    <w:pPr>
      <w:numPr>
        <w:ilvl w:val="2"/>
      </w:numPr>
      <w:spacing w:before="50" w:after="50"/>
      <w:outlineLvl w:val="3"/>
    </w:pPr>
  </w:style>
  <w:style w:type="paragraph" w:customStyle="1" w:styleId="a0">
    <w:name w:val="一级条标题"/>
    <w:next w:val="af5"/>
    <w:qFormat/>
    <w:pPr>
      <w:numPr>
        <w:ilvl w:val="1"/>
        <w:numId w:val="4"/>
      </w:numPr>
      <w:spacing w:beforeLines="50" w:afterLines="50"/>
      <w:outlineLvl w:val="2"/>
    </w:pPr>
    <w:rPr>
      <w:rFonts w:ascii="黑体" w:eastAsia="黑体"/>
      <w:sz w:val="21"/>
      <w:szCs w:val="21"/>
    </w:rPr>
  </w:style>
  <w:style w:type="paragraph" w:customStyle="1" w:styleId="af7">
    <w:name w:val="一级无"/>
    <w:basedOn w:val="a0"/>
    <w:qFormat/>
    <w:pPr>
      <w:numPr>
        <w:ilvl w:val="0"/>
        <w:numId w:val="0"/>
      </w:numPr>
      <w:spacing w:beforeLines="0" w:afterLines="0"/>
    </w:pPr>
    <w:rPr>
      <w:rFonts w:ascii="宋体" w:eastAsia="宋体"/>
    </w:rPr>
  </w:style>
  <w:style w:type="paragraph" w:customStyle="1" w:styleId="a8">
    <w:name w:val="章标题"/>
    <w:next w:val="ab"/>
    <w:qFormat/>
    <w:pPr>
      <w:numPr>
        <w:numId w:val="5"/>
      </w:numPr>
      <w:spacing w:beforeLines="100" w:afterLines="100"/>
      <w:jc w:val="both"/>
      <w:outlineLvl w:val="1"/>
    </w:pPr>
    <w:rPr>
      <w:rFonts w:ascii="黑体" w:eastAsia="黑体"/>
      <w:sz w:val="21"/>
    </w:rPr>
  </w:style>
  <w:style w:type="paragraph" w:customStyle="1" w:styleId="a4">
    <w:name w:val="注：（正文）"/>
    <w:basedOn w:val="ab"/>
    <w:next w:val="ab"/>
    <w:qFormat/>
    <w:pPr>
      <w:numPr>
        <w:numId w:val="6"/>
      </w:numPr>
      <w:autoSpaceDE w:val="0"/>
      <w:autoSpaceDN w:val="0"/>
    </w:pPr>
    <w:rPr>
      <w:rFonts w:ascii="宋体"/>
      <w:kern w:val="0"/>
      <w:sz w:val="18"/>
      <w:szCs w:val="18"/>
    </w:rPr>
  </w:style>
  <w:style w:type="character" w:customStyle="1" w:styleId="Char1">
    <w:name w:val="段 Char"/>
    <w:link w:val="af5"/>
    <w:qFormat/>
    <w:rPr>
      <w:rFonts w:ascii="宋体"/>
      <w:sz w:val="21"/>
      <w:szCs w:val="22"/>
      <w:lang w:val="en-US" w:eastAsia="zh-CN" w:bidi="ar-SA"/>
    </w:rPr>
  </w:style>
  <w:style w:type="character" w:customStyle="1" w:styleId="Char">
    <w:name w:val="页眉 Char"/>
    <w:link w:val="af0"/>
    <w:qFormat/>
    <w:rPr>
      <w:kern w:val="2"/>
      <w:sz w:val="18"/>
      <w:szCs w:val="18"/>
    </w:rPr>
  </w:style>
  <w:style w:type="character" w:customStyle="1" w:styleId="Char0">
    <w:name w:val="脚注文本 Char"/>
    <w:link w:val="af1"/>
    <w:uiPriority w:val="99"/>
    <w:qFormat/>
    <w:rPr>
      <w:rFonts w:ascii="仿宋_GB2312" w:eastAsia="仿宋_GB2312"/>
      <w:kern w:val="2"/>
      <w:sz w:val="18"/>
      <w:szCs w:val="18"/>
    </w:rPr>
  </w:style>
  <w:style w:type="character" w:customStyle="1" w:styleId="2Char">
    <w:name w:val="标题 2 Char"/>
    <w:link w:val="2"/>
    <w:uiPriority w:val="9"/>
    <w:qFormat/>
    <w:rPr>
      <w:rFonts w:ascii="楷体" w:eastAsia="楷体" w:hAnsi="Cambria"/>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pPr>
      <w:widowControl w:val="0"/>
      <w:jc w:val="both"/>
    </w:p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437</Words>
  <Characters>2495</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jiaxc</cp:lastModifiedBy>
  <cp:revision>3</cp:revision>
  <cp:lastPrinted>2018-12-18T07:36:00Z</cp:lastPrinted>
  <dcterms:created xsi:type="dcterms:W3CDTF">2020-03-24T01:29:00Z</dcterms:created>
  <dcterms:modified xsi:type="dcterms:W3CDTF">2020-04-07T01:52:00Z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y fmtid="{D5CDD505-2E9C-101B-9397-08002B2CF9AE}" pid="3" name="KSORubyTemplateID">
    <vt:lpwstr>6</vt:lpwstr>
  </property>
</Properties>
</file>