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BD9" w:rsidRDefault="00414BD9" w:rsidP="00414BD9">
      <w:pPr>
        <w:pStyle w:val="afffffe"/>
        <w:framePr w:wrap="around"/>
      </w:pPr>
      <w:r w:rsidRPr="00414BD9">
        <w:rPr>
          <w:rFonts w:ascii="Times New Roman"/>
        </w:rPr>
        <w:t>ICS</w:t>
      </w:r>
      <w:r>
        <w:rPr>
          <w:rFonts w:hAnsi="黑体"/>
        </w:rPr>
        <w:t> </w:t>
      </w:r>
      <w:r w:rsidR="0070193B">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70193B">
        <w:fldChar w:fldCharType="separate"/>
      </w:r>
      <w:r w:rsidR="00096B19">
        <w:t> </w:t>
      </w:r>
      <w:r w:rsidR="00096B19">
        <w:t> </w:t>
      </w:r>
      <w:r w:rsidR="00096B19">
        <w:t> </w:t>
      </w:r>
      <w:r w:rsidR="00096B19">
        <w:t> </w:t>
      </w:r>
      <w:r w:rsidR="00096B19">
        <w:t> </w:t>
      </w:r>
      <w:r w:rsidR="0070193B">
        <w:fldChar w:fldCharType="end"/>
      </w:r>
      <w:bookmarkEnd w:id="0"/>
    </w:p>
    <w:p w:rsidR="00414BD9" w:rsidRDefault="0070193B" w:rsidP="00414BD9">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414BD9">
        <w:instrText xml:space="preserve"> FORMTEXT </w:instrText>
      </w:r>
      <w:r>
        <w:fldChar w:fldCharType="separate"/>
      </w:r>
      <w:r w:rsidR="00414BD9">
        <w:rPr>
          <w:rFonts w:hint="eastAsia"/>
        </w:rPr>
        <w:t>点击此处添加中国标准文献分类号</w:t>
      </w:r>
      <w:r>
        <w:fldChar w:fldCharType="end"/>
      </w:r>
      <w:bookmarkEnd w:id="1"/>
    </w:p>
    <w:p w:rsidR="00414BD9" w:rsidRDefault="00414BD9" w:rsidP="00414BD9">
      <w:pPr>
        <w:pStyle w:val="affe"/>
        <w:framePr w:wrap="around"/>
      </w:pPr>
      <w:r>
        <w:rPr>
          <w:noProof/>
        </w:rPr>
        <w:drawing>
          <wp:inline distT="0" distB="0" distL="0" distR="0">
            <wp:extent cx="1439999" cy="719999"/>
            <wp:effectExtent l="19050" t="0" r="7801"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439999" cy="719999"/>
                    </a:xfrm>
                    <a:prstGeom prst="rect">
                      <a:avLst/>
                    </a:prstGeom>
                  </pic:spPr>
                </pic:pic>
              </a:graphicData>
            </a:graphic>
          </wp:inline>
        </w:drawing>
      </w:r>
    </w:p>
    <w:p w:rsidR="00414BD9" w:rsidRDefault="00414BD9" w:rsidP="00414BD9">
      <w:pPr>
        <w:pStyle w:val="afff"/>
        <w:framePr w:wrap="around"/>
      </w:pPr>
      <w:r>
        <w:rPr>
          <w:rFonts w:hint="eastAsia"/>
        </w:rPr>
        <w:t>中华人民共和国国家标准</w:t>
      </w:r>
    </w:p>
    <w:p w:rsidR="00414BD9" w:rsidRDefault="00414BD9" w:rsidP="00414BD9">
      <w:pPr>
        <w:pStyle w:val="2"/>
        <w:framePr w:wrap="around"/>
        <w:rPr>
          <w:rFonts w:hAnsi="黑体"/>
        </w:rPr>
      </w:pPr>
      <w:r w:rsidRPr="00414BD9">
        <w:rPr>
          <w:rFonts w:ascii="Times New Roman"/>
        </w:rPr>
        <w:t>GB</w:t>
      </w:r>
      <w:r w:rsidR="0070193B" w:rsidRPr="00414BD9">
        <w:fldChar w:fldCharType="begin">
          <w:ffData>
            <w:name w:val="StdNo1"/>
            <w:enabled/>
            <w:calcOnExit w:val="0"/>
            <w:textInput>
              <w:default w:val="/T ×××××"/>
            </w:textInput>
          </w:ffData>
        </w:fldChar>
      </w:r>
      <w:bookmarkStart w:id="2" w:name="StdNo1"/>
      <w:r w:rsidRPr="00414BD9">
        <w:instrText xml:space="preserve"> FORMTEXT </w:instrText>
      </w:r>
      <w:r w:rsidR="0070193B" w:rsidRPr="00414BD9">
        <w:fldChar w:fldCharType="separate"/>
      </w:r>
      <w:r w:rsidRPr="00414BD9">
        <w:rPr>
          <w:rFonts w:ascii="Times New Roman"/>
        </w:rPr>
        <w:t>/T</w:t>
      </w:r>
      <w:r w:rsidRPr="00414BD9">
        <w:t xml:space="preserve"> </w:t>
      </w:r>
      <w:r w:rsidRPr="00414BD9">
        <w:t>×××××</w:t>
      </w:r>
      <w:r w:rsidR="0070193B" w:rsidRPr="00414BD9">
        <w:fldChar w:fldCharType="end"/>
      </w:r>
      <w:bookmarkEnd w:id="2"/>
      <w:r>
        <w:rPr>
          <w:rFonts w:hAnsi="黑体"/>
        </w:rPr>
        <w:t>—</w:t>
      </w:r>
      <w:r w:rsidR="0070193B">
        <w:rPr>
          <w:rFonts w:hAnsi="黑体"/>
        </w:rPr>
        <w:fldChar w:fldCharType="begin">
          <w:ffData>
            <w:name w:val="StdNo2"/>
            <w:enabled/>
            <w:calcOnExit w:val="0"/>
            <w:textInput>
              <w:default w:val="××××"/>
            </w:textInput>
          </w:ffData>
        </w:fldChar>
      </w:r>
      <w:bookmarkStart w:id="3" w:name="StdNo2"/>
      <w:r>
        <w:rPr>
          <w:rFonts w:hAnsi="黑体"/>
        </w:rPr>
        <w:instrText xml:space="preserve"> FORMTEXT </w:instrText>
      </w:r>
      <w:r w:rsidR="0070193B">
        <w:rPr>
          <w:rFonts w:hAnsi="黑体"/>
        </w:rPr>
      </w:r>
      <w:r w:rsidR="0070193B">
        <w:rPr>
          <w:rFonts w:hAnsi="黑体"/>
        </w:rPr>
        <w:fldChar w:fldCharType="separate"/>
      </w:r>
      <w:r>
        <w:rPr>
          <w:rFonts w:hAnsi="黑体"/>
        </w:rPr>
        <w:t>××××</w:t>
      </w:r>
      <w:r w:rsidR="0070193B">
        <w:rPr>
          <w:rFonts w:hAnsi="黑体"/>
        </w:rPr>
        <w:fldChar w:fldCharType="end"/>
      </w:r>
      <w:bookmarkEnd w:id="3"/>
    </w:p>
    <w:tbl>
      <w:tblPr>
        <w:tblStyle w:val="afffffa"/>
        <w:tblW w:w="0" w:type="auto"/>
        <w:tblLook w:val="04A0" w:firstRow="1" w:lastRow="0" w:firstColumn="1" w:lastColumn="0" w:noHBand="0" w:noVBand="1"/>
      </w:tblPr>
      <w:tblGrid>
        <w:gridCol w:w="9140"/>
      </w:tblGrid>
      <w:tr w:rsidR="00414BD9" w:rsidTr="00414BD9">
        <w:tc>
          <w:tcPr>
            <w:tcW w:w="9356" w:type="dxa"/>
            <w:tcBorders>
              <w:top w:val="nil"/>
              <w:left w:val="nil"/>
              <w:bottom w:val="nil"/>
              <w:right w:val="nil"/>
            </w:tcBorders>
            <w:shd w:val="clear" w:color="auto" w:fill="auto"/>
          </w:tcPr>
          <w:p w:rsidR="00414BD9" w:rsidRDefault="00E01AE2" w:rsidP="00414BD9">
            <w:pPr>
              <w:pStyle w:val="afff9"/>
              <w:framePr w:wrap="around"/>
            </w:pPr>
            <w:r>
              <w:rPr>
                <w:noProof/>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9"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570D8" id="DT" o:spid="_x0000_s1026" style="position:absolute;left:0;text-align:left;margin-left:372.8pt;margin-top:2.7pt;width:90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FFdg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" stroked="f"/>
                  </w:pict>
                </mc:Fallback>
              </mc:AlternateContent>
            </w:r>
            <w:r w:rsidR="0070193B">
              <w:fldChar w:fldCharType="begin">
                <w:ffData>
                  <w:name w:val="DT"/>
                  <w:enabled/>
                  <w:calcOnExit w:val="0"/>
                  <w:entryMacro w:val="ShowHelp4"/>
                  <w:textInput/>
                </w:ffData>
              </w:fldChar>
            </w:r>
            <w:bookmarkStart w:id="4" w:name="DT"/>
            <w:r w:rsidR="00414BD9">
              <w:instrText xml:space="preserve"> FORMTEXT </w:instrText>
            </w:r>
            <w:r w:rsidR="0070193B">
              <w:fldChar w:fldCharType="separate"/>
            </w:r>
            <w:r w:rsidR="00F25BB4">
              <w:t> </w:t>
            </w:r>
            <w:r w:rsidR="00F25BB4">
              <w:t> </w:t>
            </w:r>
            <w:r w:rsidR="00F25BB4">
              <w:t> </w:t>
            </w:r>
            <w:r w:rsidR="00F25BB4">
              <w:t> </w:t>
            </w:r>
            <w:r w:rsidR="00F25BB4">
              <w:t> </w:t>
            </w:r>
            <w:r w:rsidR="0070193B">
              <w:fldChar w:fldCharType="end"/>
            </w:r>
            <w:bookmarkEnd w:id="4"/>
          </w:p>
        </w:tc>
      </w:tr>
    </w:tbl>
    <w:p w:rsidR="00414BD9" w:rsidRDefault="00414BD9" w:rsidP="00414BD9">
      <w:pPr>
        <w:pStyle w:val="2"/>
        <w:framePr w:wrap="around"/>
        <w:rPr>
          <w:rFonts w:hAnsi="黑体"/>
        </w:rPr>
      </w:pPr>
    </w:p>
    <w:p w:rsidR="00414BD9" w:rsidRDefault="00414BD9" w:rsidP="00414BD9">
      <w:pPr>
        <w:pStyle w:val="2"/>
        <w:framePr w:wrap="around"/>
        <w:rPr>
          <w:rFonts w:hAnsi="黑体"/>
        </w:rPr>
      </w:pPr>
    </w:p>
    <w:p w:rsidR="00F25BB4" w:rsidRDefault="0070193B" w:rsidP="00F25BB4">
      <w:pPr>
        <w:pStyle w:val="afffa"/>
        <w:framePr w:wrap="around"/>
      </w:pPr>
      <w:r>
        <w:fldChar w:fldCharType="begin">
          <w:ffData>
            <w:name w:val="StdName"/>
            <w:enabled/>
            <w:calcOnExit w:val="0"/>
            <w:textInput>
              <w:default w:val="点击此处添加标准名称"/>
            </w:textInput>
          </w:ffData>
        </w:fldChar>
      </w:r>
      <w:bookmarkStart w:id="5" w:name="StdName"/>
      <w:r w:rsidR="00414BD9">
        <w:instrText xml:space="preserve"> FORMTEXT </w:instrText>
      </w:r>
      <w:r>
        <w:fldChar w:fldCharType="separate"/>
      </w:r>
      <w:r w:rsidR="00F25BB4">
        <w:rPr>
          <w:rFonts w:hint="eastAsia"/>
        </w:rPr>
        <w:t>工业企业温室气体排放数据质量管理</w:t>
      </w:r>
    </w:p>
    <w:p w:rsidR="00414BD9" w:rsidRDefault="00F25BB4" w:rsidP="00F25BB4">
      <w:pPr>
        <w:pStyle w:val="afffa"/>
        <w:framePr w:wrap="around"/>
      </w:pPr>
      <w:r>
        <w:rPr>
          <w:rFonts w:hint="eastAsia"/>
        </w:rPr>
        <w:t>技术规范</w:t>
      </w:r>
      <w:r w:rsidR="0070193B">
        <w:fldChar w:fldCharType="end"/>
      </w:r>
      <w:bookmarkEnd w:id="5"/>
    </w:p>
    <w:p w:rsidR="00414BD9" w:rsidRDefault="0070193B" w:rsidP="00414BD9">
      <w:pPr>
        <w:pStyle w:val="afffb"/>
        <w:framePr w:wrap="around"/>
      </w:pPr>
      <w:r>
        <w:fldChar w:fldCharType="begin">
          <w:ffData>
            <w:name w:val="StdEnglishName"/>
            <w:enabled/>
            <w:calcOnExit w:val="0"/>
            <w:textInput>
              <w:default w:val="点击此处添加标准英文译名"/>
            </w:textInput>
          </w:ffData>
        </w:fldChar>
      </w:r>
      <w:bookmarkStart w:id="6" w:name="StdEnglishName"/>
      <w:r w:rsidR="00414BD9">
        <w:instrText xml:space="preserve"> FORMTEXT </w:instrText>
      </w:r>
      <w:r>
        <w:fldChar w:fldCharType="separate"/>
      </w:r>
      <w:r w:rsidR="00F25BB4" w:rsidRPr="00F25BB4">
        <w:t>Technical specification of the data quality management of greenhouse gas emission for industrial enterprises</w:t>
      </w:r>
      <w:r>
        <w:fldChar w:fldCharType="end"/>
      </w:r>
      <w:bookmarkEnd w:id="6"/>
    </w:p>
    <w:p w:rsidR="00414BD9" w:rsidRPr="00414BD9" w:rsidRDefault="0070193B" w:rsidP="00414BD9">
      <w:pPr>
        <w:pStyle w:val="afffc"/>
        <w:framePr w:wrap="around"/>
      </w:pPr>
      <w:r>
        <w:fldChar w:fldCharType="begin">
          <w:ffData>
            <w:name w:val="YZBS"/>
            <w:enabled/>
            <w:calcOnExit w:val="0"/>
            <w:textInput>
              <w:default w:val="点击此处添加与国际标准一致性程度的标识"/>
            </w:textInput>
          </w:ffData>
        </w:fldChar>
      </w:r>
      <w:bookmarkStart w:id="7" w:name="YZBS"/>
      <w:r w:rsidR="00414BD9">
        <w:instrText xml:space="preserve"> FORMTEXT </w:instrText>
      </w:r>
      <w:r>
        <w:fldChar w:fldCharType="separate"/>
      </w:r>
      <w:r w:rsidR="00414BD9">
        <w:rPr>
          <w:rFonts w:hint="eastAsia"/>
        </w:rPr>
        <w:t>点击此处添加与国际标准一致性程度的标识</w:t>
      </w:r>
      <w:r>
        <w:fldChar w:fldCharType="end"/>
      </w:r>
      <w:bookmarkEnd w:id="7"/>
    </w:p>
    <w:tbl>
      <w:tblPr>
        <w:tblStyle w:val="afffffa"/>
        <w:tblW w:w="0" w:type="auto"/>
        <w:tblLook w:val="04A0" w:firstRow="1" w:lastRow="0" w:firstColumn="1" w:lastColumn="0" w:noHBand="0" w:noVBand="1"/>
      </w:tblPr>
      <w:tblGrid>
        <w:gridCol w:w="9639"/>
      </w:tblGrid>
      <w:tr w:rsidR="00414BD9" w:rsidTr="00414BD9">
        <w:tc>
          <w:tcPr>
            <w:tcW w:w="9855" w:type="dxa"/>
            <w:tcBorders>
              <w:top w:val="nil"/>
              <w:left w:val="nil"/>
              <w:bottom w:val="nil"/>
              <w:right w:val="nil"/>
            </w:tcBorders>
            <w:shd w:val="clear" w:color="auto" w:fill="auto"/>
          </w:tcPr>
          <w:p w:rsidR="00414BD9" w:rsidRDefault="00E01AE2" w:rsidP="00414BD9">
            <w:pPr>
              <w:pStyle w:val="afffd"/>
              <w:framePr w:wrap="around"/>
            </w:pPr>
            <w:r>
              <w:rPr>
                <w:noProof/>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8"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8D47E" id="RQ" o:spid="_x0000_s1026" style="position:absolute;left:0;text-align:left;margin-left:173.3pt;margin-top:45.15pt;width:150pt;height:2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" stroked="f">
                      <w10:anchorlock/>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7"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1043A" id="LB" o:spid="_x0000_s1026" style="position:absolute;left:0;text-align:left;margin-left:193.3pt;margin-top:20.15pt;width:100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n1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OSFp9XUCAADyBAAADgAAAAAA&#10;AAAAAAAAAAAuAgAAZHJzL2Uyb0RvYy54bWxQSwECLQAUAAYACAAAACEAIk4ljd0AAAAJAQAADwAA&#10;AAAAAAAAAAAAAADPBAAAZHJzL2Rvd25yZXYueG1sUEsFBgAAAAAEAAQA8wAAANkFAAAAAA==&#10;" stroked="f"/>
                  </w:pict>
                </mc:Fallback>
              </mc:AlternateContent>
            </w:r>
            <w:r w:rsidR="0070193B">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rsidR="00414BD9">
              <w:instrText xml:space="preserve"> FORMDROPDOWN </w:instrText>
            </w:r>
            <w:r w:rsidR="00A11229">
              <w:fldChar w:fldCharType="separate"/>
            </w:r>
            <w:r w:rsidR="0070193B">
              <w:fldChar w:fldCharType="end"/>
            </w:r>
            <w:bookmarkEnd w:id="8"/>
          </w:p>
        </w:tc>
      </w:tr>
      <w:tr w:rsidR="00414BD9" w:rsidTr="00414BD9">
        <w:tc>
          <w:tcPr>
            <w:tcW w:w="9855" w:type="dxa"/>
            <w:tcBorders>
              <w:top w:val="nil"/>
              <w:left w:val="nil"/>
              <w:bottom w:val="nil"/>
              <w:right w:val="nil"/>
            </w:tcBorders>
            <w:shd w:val="clear" w:color="auto" w:fill="auto"/>
          </w:tcPr>
          <w:p w:rsidR="00414BD9" w:rsidRDefault="0070193B" w:rsidP="00414BD9">
            <w:pPr>
              <w:pStyle w:val="afffe"/>
              <w:framePr w:wrap="around"/>
            </w:pPr>
            <w:r>
              <w:fldChar w:fldCharType="begin">
                <w:ffData>
                  <w:name w:val="WCRQ"/>
                  <w:enabled/>
                  <w:calcOnExit w:val="0"/>
                  <w:textInput/>
                </w:ffData>
              </w:fldChar>
            </w:r>
            <w:bookmarkStart w:id="9" w:name="WCRQ"/>
            <w:r w:rsidR="00414BD9">
              <w:instrText xml:space="preserve"> FORMTEXT </w:instrText>
            </w:r>
            <w:r>
              <w:fldChar w:fldCharType="separate"/>
            </w:r>
            <w:r w:rsidR="00096B19">
              <w:t> </w:t>
            </w:r>
            <w:r w:rsidR="00096B19">
              <w:t> </w:t>
            </w:r>
            <w:r w:rsidR="00096B19">
              <w:t> </w:t>
            </w:r>
            <w:r w:rsidR="00096B19">
              <w:t> </w:t>
            </w:r>
            <w:r w:rsidR="00096B19">
              <w:t> </w:t>
            </w:r>
            <w:r>
              <w:fldChar w:fldCharType="end"/>
            </w:r>
            <w:bookmarkEnd w:id="9"/>
          </w:p>
        </w:tc>
      </w:tr>
    </w:tbl>
    <w:p w:rsidR="00414BD9" w:rsidRDefault="00E01AE2" w:rsidP="00414BD9">
      <w:pPr>
        <w:pStyle w:val="affffff5"/>
        <w:framePr w:wrap="around"/>
      </w:pPr>
      <w:r>
        <w:rPr>
          <w:rFonts w:ascii="黑体"/>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300990</wp:posOffset>
                </wp:positionV>
                <wp:extent cx="6120130" cy="0"/>
                <wp:effectExtent l="13970" t="12700" r="9525" b="63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5FDA7"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7pt" to="48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9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"/>
            </w:pict>
          </mc:Fallback>
        </mc:AlternateContent>
      </w:r>
      <w:r w:rsidR="0070193B" w:rsidRPr="00414BD9">
        <w:rPr>
          <w:rFonts w:ascii="黑体"/>
        </w:rPr>
        <w:fldChar w:fldCharType="begin">
          <w:ffData>
            <w:name w:val="FY"/>
            <w:enabled/>
            <w:calcOnExit w:val="0"/>
            <w:entryMacro w:val="ShowHelp8"/>
            <w:textInput>
              <w:default w:val="××××"/>
              <w:maxLength w:val="4"/>
            </w:textInput>
          </w:ffData>
        </w:fldChar>
      </w:r>
      <w:bookmarkStart w:id="10" w:name="FY"/>
      <w:r w:rsidR="00414BD9" w:rsidRPr="00414BD9">
        <w:rPr>
          <w:rFonts w:ascii="黑体"/>
        </w:rPr>
        <w:instrText xml:space="preserve"> FORMTEXT </w:instrText>
      </w:r>
      <w:r w:rsidR="0070193B" w:rsidRPr="00414BD9">
        <w:rPr>
          <w:rFonts w:ascii="黑体"/>
        </w:rPr>
      </w:r>
      <w:r w:rsidR="0070193B" w:rsidRPr="00414BD9">
        <w:rPr>
          <w:rFonts w:ascii="黑体"/>
        </w:rPr>
        <w:fldChar w:fldCharType="separate"/>
      </w:r>
      <w:r w:rsidR="00414BD9" w:rsidRPr="00414BD9">
        <w:rPr>
          <w:rFonts w:ascii="黑体"/>
          <w:noProof/>
        </w:rPr>
        <w:t>××××</w:t>
      </w:r>
      <w:r w:rsidR="0070193B" w:rsidRPr="00414BD9">
        <w:rPr>
          <w:rFonts w:ascii="黑体"/>
        </w:rPr>
        <w:fldChar w:fldCharType="end"/>
      </w:r>
      <w:bookmarkEnd w:id="10"/>
      <w:r w:rsidR="00414BD9">
        <w:t xml:space="preserve"> </w:t>
      </w:r>
      <w:r w:rsidR="00414BD9" w:rsidRPr="00414BD9">
        <w:rPr>
          <w:rFonts w:ascii="黑体"/>
        </w:rPr>
        <w:t>-</w:t>
      </w:r>
      <w:r w:rsidR="00414BD9">
        <w:t xml:space="preserve"> </w:t>
      </w:r>
      <w:r w:rsidR="0070193B" w:rsidRPr="00414BD9">
        <w:rPr>
          <w:rFonts w:ascii="黑体"/>
        </w:rPr>
        <w:fldChar w:fldCharType="begin">
          <w:ffData>
            <w:name w:val="FM"/>
            <w:enabled/>
            <w:calcOnExit w:val="0"/>
            <w:entryMacro w:val="ShowHelp8"/>
            <w:textInput>
              <w:default w:val="××"/>
              <w:maxLength w:val="2"/>
            </w:textInput>
          </w:ffData>
        </w:fldChar>
      </w:r>
      <w:bookmarkStart w:id="11" w:name="FM"/>
      <w:r w:rsidR="00414BD9" w:rsidRPr="00414BD9">
        <w:rPr>
          <w:rFonts w:ascii="黑体"/>
        </w:rPr>
        <w:instrText xml:space="preserve"> FORMTEXT </w:instrText>
      </w:r>
      <w:r w:rsidR="0070193B" w:rsidRPr="00414BD9">
        <w:rPr>
          <w:rFonts w:ascii="黑体"/>
        </w:rPr>
      </w:r>
      <w:r w:rsidR="0070193B" w:rsidRPr="00414BD9">
        <w:rPr>
          <w:rFonts w:ascii="黑体"/>
        </w:rPr>
        <w:fldChar w:fldCharType="separate"/>
      </w:r>
      <w:r w:rsidR="00414BD9" w:rsidRPr="00414BD9">
        <w:rPr>
          <w:rFonts w:ascii="黑体"/>
          <w:noProof/>
        </w:rPr>
        <w:t>××</w:t>
      </w:r>
      <w:r w:rsidR="0070193B" w:rsidRPr="00414BD9">
        <w:rPr>
          <w:rFonts w:ascii="黑体"/>
        </w:rPr>
        <w:fldChar w:fldCharType="end"/>
      </w:r>
      <w:bookmarkEnd w:id="11"/>
      <w:r w:rsidR="00414BD9">
        <w:t xml:space="preserve"> </w:t>
      </w:r>
      <w:r w:rsidR="00414BD9" w:rsidRPr="00414BD9">
        <w:rPr>
          <w:rFonts w:ascii="黑体"/>
        </w:rPr>
        <w:t>-</w:t>
      </w:r>
      <w:r w:rsidR="00414BD9">
        <w:t xml:space="preserve"> </w:t>
      </w:r>
      <w:r w:rsidR="0070193B" w:rsidRPr="00414BD9">
        <w:rPr>
          <w:rFonts w:ascii="黑体"/>
        </w:rPr>
        <w:fldChar w:fldCharType="begin">
          <w:ffData>
            <w:name w:val="FD"/>
            <w:enabled/>
            <w:calcOnExit w:val="0"/>
            <w:entryMacro w:val="ShowHelp8"/>
            <w:textInput>
              <w:default w:val="××"/>
              <w:maxLength w:val="2"/>
            </w:textInput>
          </w:ffData>
        </w:fldChar>
      </w:r>
      <w:bookmarkStart w:id="12" w:name="FD"/>
      <w:r w:rsidR="00414BD9" w:rsidRPr="00414BD9">
        <w:rPr>
          <w:rFonts w:ascii="黑体"/>
        </w:rPr>
        <w:instrText xml:space="preserve"> FORMTEXT </w:instrText>
      </w:r>
      <w:r w:rsidR="0070193B" w:rsidRPr="00414BD9">
        <w:rPr>
          <w:rFonts w:ascii="黑体"/>
        </w:rPr>
      </w:r>
      <w:r w:rsidR="0070193B" w:rsidRPr="00414BD9">
        <w:rPr>
          <w:rFonts w:ascii="黑体"/>
        </w:rPr>
        <w:fldChar w:fldCharType="separate"/>
      </w:r>
      <w:r w:rsidR="00414BD9" w:rsidRPr="00414BD9">
        <w:rPr>
          <w:rFonts w:ascii="黑体"/>
          <w:noProof/>
        </w:rPr>
        <w:t>××</w:t>
      </w:r>
      <w:r w:rsidR="0070193B" w:rsidRPr="00414BD9">
        <w:rPr>
          <w:rFonts w:ascii="黑体"/>
        </w:rPr>
        <w:fldChar w:fldCharType="end"/>
      </w:r>
      <w:bookmarkEnd w:id="12"/>
      <w:r w:rsidR="00414BD9">
        <w:rPr>
          <w:rFonts w:hint="eastAsia"/>
        </w:rPr>
        <w:t>发布</w:t>
      </w:r>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-6250940</wp:posOffset>
                </wp:positionV>
                <wp:extent cx="6120130" cy="0"/>
                <wp:effectExtent l="13970" t="13970" r="9525" b="508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AE943"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92.2pt" to="481.85pt,-4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Pj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300990</wp:posOffset>
                </wp:positionV>
                <wp:extent cx="6120130" cy="0"/>
                <wp:effectExtent l="13970" t="12700" r="9525" b="63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9732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7pt" to="48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0Q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"/>
            </w:pict>
          </mc:Fallback>
        </mc:AlternateContent>
      </w:r>
    </w:p>
    <w:p w:rsidR="00414BD9" w:rsidRDefault="0070193B" w:rsidP="00414BD9">
      <w:pPr>
        <w:pStyle w:val="affffff6"/>
        <w:framePr w:wrap="around"/>
      </w:pPr>
      <w:r w:rsidRPr="00414BD9">
        <w:rPr>
          <w:rFonts w:ascii="黑体"/>
        </w:rPr>
        <w:fldChar w:fldCharType="begin">
          <w:ffData>
            <w:name w:val="SY"/>
            <w:enabled/>
            <w:calcOnExit w:val="0"/>
            <w:entryMacro w:val="ShowHelp9"/>
            <w:textInput>
              <w:default w:val="××××"/>
              <w:maxLength w:val="4"/>
            </w:textInput>
          </w:ffData>
        </w:fldChar>
      </w:r>
      <w:bookmarkStart w:id="13" w:name="SY"/>
      <w:r w:rsidR="00414BD9" w:rsidRPr="00414BD9">
        <w:rPr>
          <w:rFonts w:ascii="黑体"/>
        </w:rPr>
        <w:instrText xml:space="preserve"> FORMTEXT </w:instrText>
      </w:r>
      <w:r w:rsidRPr="00414BD9">
        <w:rPr>
          <w:rFonts w:ascii="黑体"/>
        </w:rPr>
      </w:r>
      <w:r w:rsidRPr="00414BD9">
        <w:rPr>
          <w:rFonts w:ascii="黑体"/>
        </w:rPr>
        <w:fldChar w:fldCharType="separate"/>
      </w:r>
      <w:r w:rsidR="00414BD9" w:rsidRPr="00414BD9">
        <w:rPr>
          <w:rFonts w:ascii="黑体"/>
          <w:noProof/>
        </w:rPr>
        <w:t>××××</w:t>
      </w:r>
      <w:r w:rsidRPr="00414BD9">
        <w:rPr>
          <w:rFonts w:ascii="黑体"/>
        </w:rPr>
        <w:fldChar w:fldCharType="end"/>
      </w:r>
      <w:bookmarkEnd w:id="13"/>
      <w:r w:rsidR="00414BD9">
        <w:t xml:space="preserve"> </w:t>
      </w:r>
      <w:r w:rsidR="00414BD9" w:rsidRPr="00414BD9">
        <w:rPr>
          <w:rFonts w:ascii="黑体"/>
        </w:rPr>
        <w:t>-</w:t>
      </w:r>
      <w:r w:rsidR="00414BD9">
        <w:t xml:space="preserve"> </w:t>
      </w:r>
      <w:r w:rsidRPr="00414BD9">
        <w:rPr>
          <w:rFonts w:ascii="黑体"/>
        </w:rPr>
        <w:fldChar w:fldCharType="begin">
          <w:ffData>
            <w:name w:val="SM"/>
            <w:enabled/>
            <w:calcOnExit w:val="0"/>
            <w:entryMacro w:val="ShowHelp9"/>
            <w:textInput>
              <w:default w:val="××"/>
              <w:maxLength w:val="2"/>
            </w:textInput>
          </w:ffData>
        </w:fldChar>
      </w:r>
      <w:bookmarkStart w:id="14" w:name="SM"/>
      <w:r w:rsidR="00414BD9" w:rsidRPr="00414BD9">
        <w:rPr>
          <w:rFonts w:ascii="黑体"/>
        </w:rPr>
        <w:instrText xml:space="preserve"> FORMTEXT </w:instrText>
      </w:r>
      <w:r w:rsidRPr="00414BD9">
        <w:rPr>
          <w:rFonts w:ascii="黑体"/>
        </w:rPr>
      </w:r>
      <w:r w:rsidRPr="00414BD9">
        <w:rPr>
          <w:rFonts w:ascii="黑体"/>
        </w:rPr>
        <w:fldChar w:fldCharType="separate"/>
      </w:r>
      <w:r w:rsidR="00414BD9" w:rsidRPr="00414BD9">
        <w:rPr>
          <w:rFonts w:ascii="黑体"/>
          <w:noProof/>
        </w:rPr>
        <w:t>××</w:t>
      </w:r>
      <w:r w:rsidRPr="00414BD9">
        <w:rPr>
          <w:rFonts w:ascii="黑体"/>
        </w:rPr>
        <w:fldChar w:fldCharType="end"/>
      </w:r>
      <w:bookmarkEnd w:id="14"/>
      <w:r w:rsidR="00414BD9">
        <w:t xml:space="preserve"> </w:t>
      </w:r>
      <w:r w:rsidR="00414BD9" w:rsidRPr="00414BD9">
        <w:rPr>
          <w:rFonts w:ascii="黑体"/>
        </w:rPr>
        <w:t>-</w:t>
      </w:r>
      <w:r w:rsidR="00414BD9">
        <w:t xml:space="preserve"> </w:t>
      </w:r>
      <w:r w:rsidRPr="00414BD9">
        <w:rPr>
          <w:rFonts w:ascii="黑体"/>
        </w:rPr>
        <w:fldChar w:fldCharType="begin">
          <w:ffData>
            <w:name w:val="SD"/>
            <w:enabled/>
            <w:calcOnExit w:val="0"/>
            <w:entryMacro w:val="ShowHelp9"/>
            <w:textInput>
              <w:default w:val="××"/>
              <w:maxLength w:val="2"/>
            </w:textInput>
          </w:ffData>
        </w:fldChar>
      </w:r>
      <w:bookmarkStart w:id="15" w:name="SD"/>
      <w:r w:rsidR="00414BD9" w:rsidRPr="00414BD9">
        <w:rPr>
          <w:rFonts w:ascii="黑体"/>
        </w:rPr>
        <w:instrText xml:space="preserve"> FORMTEXT </w:instrText>
      </w:r>
      <w:r w:rsidRPr="00414BD9">
        <w:rPr>
          <w:rFonts w:ascii="黑体"/>
        </w:rPr>
      </w:r>
      <w:r w:rsidRPr="00414BD9">
        <w:rPr>
          <w:rFonts w:ascii="黑体"/>
        </w:rPr>
        <w:fldChar w:fldCharType="separate"/>
      </w:r>
      <w:r w:rsidR="00414BD9" w:rsidRPr="00414BD9">
        <w:rPr>
          <w:rFonts w:ascii="黑体"/>
          <w:noProof/>
        </w:rPr>
        <w:t>××</w:t>
      </w:r>
      <w:r w:rsidRPr="00414BD9">
        <w:rPr>
          <w:rFonts w:ascii="黑体"/>
        </w:rPr>
        <w:fldChar w:fldCharType="end"/>
      </w:r>
      <w:bookmarkEnd w:id="15"/>
      <w:r w:rsidR="00414BD9">
        <w:rPr>
          <w:rFonts w:hint="eastAsia"/>
        </w:rPr>
        <w:t>实施</w:t>
      </w:r>
    </w:p>
    <w:p w:rsidR="00414BD9" w:rsidRDefault="00414BD9" w:rsidP="00414BD9">
      <w:pPr>
        <w:pStyle w:val="afff7"/>
        <w:framePr w:wrap="around"/>
      </w:pPr>
      <w:r>
        <w:rPr>
          <w:noProof/>
        </w:rPr>
        <w:drawing>
          <wp:inline distT="0" distB="0" distL="0" distR="0">
            <wp:extent cx="4451985" cy="720090"/>
            <wp:effectExtent l="19050" t="0" r="5715"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451985" cy="720090"/>
                    </a:xfrm>
                    <a:prstGeom prst="rect">
                      <a:avLst/>
                    </a:prstGeom>
                  </pic:spPr>
                </pic:pic>
              </a:graphicData>
            </a:graphic>
          </wp:inline>
        </w:drawing>
      </w:r>
    </w:p>
    <w:p w:rsidR="00414BD9" w:rsidRPr="00414BD9" w:rsidRDefault="00E01AE2" w:rsidP="00414BD9">
      <w:pPr>
        <w:pStyle w:val="aff3"/>
        <w:sectPr w:rsidR="00414BD9" w:rsidRPr="00414BD9" w:rsidSect="00414BD9">
          <w:pgSz w:w="11906" w:h="16838" w:code="9"/>
          <w:pgMar w:top="567" w:right="850" w:bottom="1134" w:left="1418" w:header="0" w:footer="0" w:gutter="0"/>
          <w:pgNumType w:fmt="upperRoman" w:start="1"/>
          <w:cols w:space="425"/>
          <w:docGrid w:type="lines" w:linePitch="312"/>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C24E8"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Lg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fzDFoyBdHo4EtIMSQa6/wnrjsUjBJL4ByByenZ+UCEFENIuEfprZAy&#10;ii0V6ku8nE1mMcFpKVhwhjBnD/tKWnQiYVziF6sCz2OY1UfFIljLCdvcbE+EvNpwuVQBD0oBOjfr&#10;Og8/lulys9gs8lE+mW9GeVrXo4/bKh/Nt9mHWT2tq6rOfgZqWV60gjGuArthNrP877S/vZLrVN2n&#10;896G5C167BeQHf6RdNQyyHcdhL1ml50dNIZxjMG3pxPm/XEP9uMDX/8C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DX/C&#10;4BECAAAoBAAADgAAAAAAAAAAAAAAAAAuAgAAZHJzL2Uyb0RvYy54bWxQSwECLQAUAAYACAAAACEA&#10;Y+5MN94AAAAJAQAADwAAAAAAAAAAAAAAAABrBAAAZHJzL2Rvd25yZXYueG1sUEsFBgAAAAAEAAQA&#10;8wAAAHYFAAAAAA==&#10;"/>
            </w:pict>
          </mc:Fallback>
        </mc:AlternateContent>
      </w:r>
    </w:p>
    <w:p w:rsidR="00414BD9" w:rsidRPr="00414BD9" w:rsidRDefault="00414BD9" w:rsidP="00414BD9">
      <w:pPr>
        <w:pStyle w:val="aff6"/>
      </w:pPr>
      <w:bookmarkStart w:id="16" w:name="_Toc9924478"/>
      <w:r w:rsidRPr="00414BD9">
        <w:rPr>
          <w:rFonts w:hint="eastAsia"/>
        </w:rPr>
        <w:lastRenderedPageBreak/>
        <w:t>目</w:t>
      </w:r>
      <w:bookmarkStart w:id="17" w:name="BKML"/>
      <w:r w:rsidRPr="00414BD9">
        <w:rPr>
          <w:rFonts w:hAnsi="黑体"/>
        </w:rPr>
        <w:t> </w:t>
      </w:r>
      <w:r w:rsidRPr="00414BD9">
        <w:rPr>
          <w:rFonts w:hAnsi="黑体"/>
        </w:rPr>
        <w:t> </w:t>
      </w:r>
      <w:r w:rsidRPr="00414BD9">
        <w:rPr>
          <w:rFonts w:hint="eastAsia"/>
        </w:rPr>
        <w:t>次</w:t>
      </w:r>
      <w:bookmarkEnd w:id="16"/>
      <w:bookmarkEnd w:id="17"/>
    </w:p>
    <w:p w:rsidR="00EE7D6F" w:rsidRPr="00EE7D6F" w:rsidRDefault="0070193B" w:rsidP="007C3AEB">
      <w:pPr>
        <w:pStyle w:val="TOC1"/>
        <w:tabs>
          <w:tab w:val="right" w:leader="dot" w:pos="9345"/>
        </w:tabs>
        <w:spacing w:beforeLines="30" w:before="93" w:afterLines="30" w:after="93"/>
        <w:rPr>
          <w:rFonts w:asciiTheme="minorEastAsia" w:eastAsiaTheme="minorEastAsia" w:hAnsiTheme="minorEastAsia"/>
          <w:noProof/>
        </w:rPr>
      </w:pPr>
      <w:r w:rsidRPr="00EE7D6F">
        <w:rPr>
          <w:rFonts w:asciiTheme="minorEastAsia" w:eastAsiaTheme="minorEastAsia" w:hAnsiTheme="minorEastAsia"/>
        </w:rPr>
        <w:fldChar w:fldCharType="begin" w:fldLock="1"/>
      </w:r>
      <w:r w:rsidR="00414BD9" w:rsidRPr="00EE7D6F">
        <w:rPr>
          <w:rFonts w:asciiTheme="minorEastAsia" w:eastAsiaTheme="minorEastAsia" w:hAnsiTheme="minorEastAsia"/>
        </w:rPr>
        <w:instrText xml:space="preserve"> TOC \h \z \t"前言、引言标题,1,参考文献、索引标题,1,章标题,1,参考文献,1,附录标识,1,一级条标题, 3,二级条标题, 4" \* MERGEFORMAT </w:instrText>
      </w:r>
      <w:r w:rsidRPr="00EE7D6F">
        <w:rPr>
          <w:rFonts w:asciiTheme="minorEastAsia" w:eastAsiaTheme="minorEastAsia" w:hAnsiTheme="minorEastAsia"/>
        </w:rPr>
        <w:fldChar w:fldCharType="separate"/>
      </w:r>
      <w:r w:rsidR="009273D8" w:rsidRPr="00EE7D6F">
        <w:rPr>
          <w:rFonts w:asciiTheme="minorEastAsia" w:eastAsiaTheme="minorEastAsia" w:hAnsiTheme="minorEastAsia"/>
          <w:bCs/>
          <w:caps/>
        </w:rPr>
        <w:fldChar w:fldCharType="begin"/>
      </w:r>
      <w:r w:rsidR="009273D8" w:rsidRPr="00EE7D6F">
        <w:rPr>
          <w:rFonts w:asciiTheme="minorEastAsia" w:eastAsiaTheme="minorEastAsia" w:hAnsiTheme="minorEastAsia"/>
        </w:rPr>
        <w:instrText xml:space="preserve"> TOC \o "1-3" \h \z \u </w:instrText>
      </w:r>
      <w:r w:rsidR="009273D8" w:rsidRPr="00EE7D6F">
        <w:rPr>
          <w:rFonts w:asciiTheme="minorEastAsia" w:eastAsiaTheme="minorEastAsia" w:hAnsiTheme="minorEastAsia"/>
          <w:bCs/>
          <w:caps/>
        </w:rPr>
        <w:fldChar w:fldCharType="separate"/>
      </w:r>
    </w:p>
    <w:p w:rsidR="00EE7D6F" w:rsidRPr="00EE7D6F" w:rsidRDefault="00A11229">
      <w:pPr>
        <w:pStyle w:val="TOC1"/>
        <w:spacing w:before="78" w:after="78"/>
        <w:rPr>
          <w:rFonts w:asciiTheme="minorEastAsia" w:eastAsiaTheme="minorEastAsia" w:hAnsiTheme="minorEastAsia" w:cstheme="minorBidi"/>
          <w:noProof/>
          <w:szCs w:val="22"/>
        </w:rPr>
      </w:pPr>
      <w:hyperlink w:anchor="_Toc9924479" w:history="1">
        <w:r w:rsidR="00EE7D6F" w:rsidRPr="00EE7D6F">
          <w:rPr>
            <w:rStyle w:val="afff5"/>
            <w:rFonts w:asciiTheme="minorEastAsia" w:eastAsiaTheme="minorEastAsia" w:hAnsiTheme="minorEastAsia"/>
          </w:rPr>
          <w:t>前言</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_Toc9924479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III</w:t>
        </w:r>
        <w:r w:rsidR="00EE7D6F" w:rsidRPr="00EE7D6F">
          <w:rPr>
            <w:rFonts w:asciiTheme="minorEastAsia" w:eastAsiaTheme="minorEastAsia" w:hAnsiTheme="minorEastAsia"/>
            <w:noProof/>
            <w:webHidden/>
          </w:rPr>
          <w:fldChar w:fldCharType="end"/>
        </w:r>
      </w:hyperlink>
    </w:p>
    <w:p w:rsidR="00EE7D6F" w:rsidRPr="00EE7D6F" w:rsidRDefault="00A11229">
      <w:pPr>
        <w:pStyle w:val="TOC1"/>
        <w:spacing w:before="78" w:after="78"/>
        <w:rPr>
          <w:rFonts w:asciiTheme="minorEastAsia" w:eastAsiaTheme="minorEastAsia" w:hAnsiTheme="minorEastAsia" w:cstheme="minorBidi"/>
          <w:noProof/>
          <w:szCs w:val="22"/>
        </w:rPr>
      </w:pPr>
      <w:hyperlink w:anchor="_Toc9924480" w:history="1">
        <w:r w:rsidR="00EE7D6F" w:rsidRPr="00EE7D6F">
          <w:rPr>
            <w:rStyle w:val="afff5"/>
            <w:rFonts w:asciiTheme="minorEastAsia" w:eastAsiaTheme="minorEastAsia" w:hAnsiTheme="minorEastAsia"/>
          </w:rPr>
          <w:t>引言</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_Toc9924480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IV</w:t>
        </w:r>
        <w:r w:rsidR="00EE7D6F" w:rsidRPr="00EE7D6F">
          <w:rPr>
            <w:rFonts w:asciiTheme="minorEastAsia" w:eastAsiaTheme="minorEastAsia" w:hAnsiTheme="minorEastAsia"/>
            <w:noProof/>
            <w:webHidden/>
          </w:rPr>
          <w:fldChar w:fldCharType="end"/>
        </w:r>
      </w:hyperlink>
    </w:p>
    <w:p w:rsidR="00EE7D6F" w:rsidRPr="00EE7D6F" w:rsidRDefault="00A11229">
      <w:pPr>
        <w:pStyle w:val="TOC1"/>
        <w:spacing w:before="78" w:after="78"/>
        <w:rPr>
          <w:rFonts w:asciiTheme="minorEastAsia" w:eastAsiaTheme="minorEastAsia" w:hAnsiTheme="minorEastAsia" w:cstheme="minorBidi"/>
          <w:noProof/>
          <w:szCs w:val="22"/>
        </w:rPr>
      </w:pPr>
      <w:hyperlink w:anchor="_Toc9924481" w:history="1">
        <w:r w:rsidR="00EE7D6F" w:rsidRPr="00EE7D6F">
          <w:rPr>
            <w:rStyle w:val="afff5"/>
            <w:rFonts w:asciiTheme="minorEastAsia" w:eastAsiaTheme="minorEastAsia" w:hAnsiTheme="minorEastAsia"/>
          </w:rPr>
          <w:t>工业企业温室气体排放数据质量管理技术规范</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_Toc9924481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1</w:t>
        </w:r>
        <w:r w:rsidR="00EE7D6F" w:rsidRPr="00EE7D6F">
          <w:rPr>
            <w:rFonts w:asciiTheme="minorEastAsia" w:eastAsiaTheme="minorEastAsia" w:hAnsiTheme="minorEastAsia"/>
            <w:noProof/>
            <w:webHidden/>
          </w:rPr>
          <w:fldChar w:fldCharType="end"/>
        </w:r>
      </w:hyperlink>
    </w:p>
    <w:p w:rsidR="00EE7D6F" w:rsidRPr="00EE7D6F" w:rsidRDefault="00A11229">
      <w:pPr>
        <w:pStyle w:val="TOC2"/>
        <w:rPr>
          <w:rFonts w:asciiTheme="minorEastAsia" w:eastAsiaTheme="minorEastAsia" w:hAnsiTheme="minorEastAsia" w:cstheme="minorBidi"/>
          <w:noProof/>
          <w:szCs w:val="22"/>
        </w:rPr>
      </w:pPr>
      <w:hyperlink w:anchor="_Toc9924482" w:history="1">
        <w:r w:rsidR="00EE7D6F" w:rsidRPr="00EE7D6F">
          <w:rPr>
            <w:rStyle w:val="afff5"/>
            <w:rFonts w:asciiTheme="minorEastAsia" w:eastAsiaTheme="minorEastAsia" w:hAnsiTheme="minorEastAsia"/>
          </w:rPr>
          <w:t>1 范围</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_Toc9924482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1</w:t>
        </w:r>
        <w:r w:rsidR="00EE7D6F" w:rsidRPr="00EE7D6F">
          <w:rPr>
            <w:rFonts w:asciiTheme="minorEastAsia" w:eastAsiaTheme="minorEastAsia" w:hAnsiTheme="minorEastAsia"/>
            <w:noProof/>
            <w:webHidden/>
          </w:rPr>
          <w:fldChar w:fldCharType="end"/>
        </w:r>
      </w:hyperlink>
    </w:p>
    <w:p w:rsidR="00EE7D6F" w:rsidRPr="00EE7D6F" w:rsidRDefault="00A11229">
      <w:pPr>
        <w:pStyle w:val="TOC2"/>
        <w:rPr>
          <w:rFonts w:asciiTheme="minorEastAsia" w:eastAsiaTheme="minorEastAsia" w:hAnsiTheme="minorEastAsia" w:cstheme="minorBidi"/>
          <w:noProof/>
          <w:szCs w:val="22"/>
        </w:rPr>
      </w:pPr>
      <w:hyperlink w:anchor="_Toc9924483" w:history="1">
        <w:r w:rsidR="00EE7D6F" w:rsidRPr="00EE7D6F">
          <w:rPr>
            <w:rStyle w:val="afff5"/>
            <w:rFonts w:asciiTheme="minorEastAsia" w:eastAsiaTheme="minorEastAsia" w:hAnsiTheme="minorEastAsia"/>
          </w:rPr>
          <w:t>2 规范性引用文件</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_Toc9924483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1</w:t>
        </w:r>
        <w:r w:rsidR="00EE7D6F" w:rsidRPr="00EE7D6F">
          <w:rPr>
            <w:rFonts w:asciiTheme="minorEastAsia" w:eastAsiaTheme="minorEastAsia" w:hAnsiTheme="minorEastAsia"/>
            <w:noProof/>
            <w:webHidden/>
          </w:rPr>
          <w:fldChar w:fldCharType="end"/>
        </w:r>
      </w:hyperlink>
    </w:p>
    <w:p w:rsidR="00EE7D6F" w:rsidRPr="00EE7D6F" w:rsidRDefault="00A11229">
      <w:pPr>
        <w:pStyle w:val="TOC2"/>
        <w:rPr>
          <w:rFonts w:asciiTheme="minorEastAsia" w:eastAsiaTheme="minorEastAsia" w:hAnsiTheme="minorEastAsia" w:cstheme="minorBidi"/>
          <w:noProof/>
          <w:szCs w:val="22"/>
        </w:rPr>
      </w:pPr>
      <w:hyperlink w:anchor="_Toc9924484" w:history="1">
        <w:r w:rsidR="00EE7D6F" w:rsidRPr="00EE7D6F">
          <w:rPr>
            <w:rStyle w:val="afff5"/>
            <w:rFonts w:asciiTheme="minorEastAsia" w:eastAsiaTheme="minorEastAsia" w:hAnsiTheme="minorEastAsia"/>
          </w:rPr>
          <w:t>3 术语和定义</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_Toc9924484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1</w:t>
        </w:r>
        <w:r w:rsidR="00EE7D6F" w:rsidRPr="00EE7D6F">
          <w:rPr>
            <w:rFonts w:asciiTheme="minorEastAsia" w:eastAsiaTheme="minorEastAsia" w:hAnsiTheme="minorEastAsia"/>
            <w:noProof/>
            <w:webHidden/>
          </w:rPr>
          <w:fldChar w:fldCharType="end"/>
        </w:r>
      </w:hyperlink>
    </w:p>
    <w:p w:rsidR="00EE7D6F" w:rsidRPr="00EE7D6F" w:rsidRDefault="00A11229">
      <w:pPr>
        <w:pStyle w:val="TOC2"/>
        <w:rPr>
          <w:rFonts w:asciiTheme="minorEastAsia" w:eastAsiaTheme="minorEastAsia" w:hAnsiTheme="minorEastAsia" w:cstheme="minorBidi"/>
          <w:noProof/>
          <w:szCs w:val="22"/>
        </w:rPr>
      </w:pPr>
      <w:hyperlink w:anchor="_Toc9924485" w:history="1">
        <w:r w:rsidR="00EE7D6F" w:rsidRPr="00EE7D6F">
          <w:rPr>
            <w:rStyle w:val="afff5"/>
            <w:rFonts w:asciiTheme="minorEastAsia" w:eastAsiaTheme="minorEastAsia" w:hAnsiTheme="minorEastAsia"/>
          </w:rPr>
          <w:t>4 温室气体数据管理概述</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_Toc9924485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3</w:t>
        </w:r>
        <w:r w:rsidR="00EE7D6F" w:rsidRPr="00EE7D6F">
          <w:rPr>
            <w:rFonts w:asciiTheme="minorEastAsia" w:eastAsiaTheme="minorEastAsia" w:hAnsiTheme="minorEastAsia"/>
            <w:noProof/>
            <w:webHidden/>
          </w:rPr>
          <w:fldChar w:fldCharType="end"/>
        </w:r>
      </w:hyperlink>
    </w:p>
    <w:p w:rsidR="00EE7D6F" w:rsidRPr="00EE7D6F" w:rsidRDefault="00A11229">
      <w:pPr>
        <w:pStyle w:val="TOC2"/>
        <w:rPr>
          <w:rFonts w:asciiTheme="minorEastAsia" w:eastAsiaTheme="minorEastAsia" w:hAnsiTheme="minorEastAsia" w:cstheme="minorBidi"/>
          <w:noProof/>
          <w:szCs w:val="22"/>
        </w:rPr>
      </w:pPr>
      <w:hyperlink w:anchor="_Toc9924486" w:history="1">
        <w:r w:rsidR="00EE7D6F" w:rsidRPr="00EE7D6F">
          <w:rPr>
            <w:rStyle w:val="afff5"/>
            <w:rFonts w:asciiTheme="minorEastAsia" w:eastAsiaTheme="minorEastAsia" w:hAnsiTheme="minorEastAsia"/>
          </w:rPr>
          <w:t>5 排放源等级划分</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_Toc9924486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3</w:t>
        </w:r>
        <w:r w:rsidR="00EE7D6F" w:rsidRPr="00EE7D6F">
          <w:rPr>
            <w:rFonts w:asciiTheme="minorEastAsia" w:eastAsiaTheme="minorEastAsia" w:hAnsiTheme="minorEastAsia"/>
            <w:noProof/>
            <w:webHidden/>
          </w:rPr>
          <w:fldChar w:fldCharType="end"/>
        </w:r>
      </w:hyperlink>
    </w:p>
    <w:p w:rsidR="00EE7D6F" w:rsidRPr="00EE7D6F" w:rsidRDefault="00A11229">
      <w:pPr>
        <w:pStyle w:val="TOC3"/>
        <w:ind w:firstLine="210"/>
        <w:rPr>
          <w:rFonts w:asciiTheme="minorEastAsia" w:eastAsiaTheme="minorEastAsia" w:hAnsiTheme="minorEastAsia" w:cstheme="minorBidi"/>
          <w:noProof/>
          <w:szCs w:val="22"/>
        </w:rPr>
      </w:pPr>
      <w:hyperlink w:anchor="_Toc9924487" w:history="1">
        <w:r w:rsidR="00EE7D6F" w:rsidRPr="00EE7D6F">
          <w:rPr>
            <w:rStyle w:val="afff5"/>
            <w:rFonts w:asciiTheme="minorEastAsia" w:eastAsiaTheme="minorEastAsia" w:hAnsiTheme="minorEastAsia"/>
          </w:rPr>
          <w:t>5.1 排放源等级划分规则</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_Toc9924487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3</w:t>
        </w:r>
        <w:r w:rsidR="00EE7D6F" w:rsidRPr="00EE7D6F">
          <w:rPr>
            <w:rFonts w:asciiTheme="minorEastAsia" w:eastAsiaTheme="minorEastAsia" w:hAnsiTheme="minorEastAsia"/>
            <w:noProof/>
            <w:webHidden/>
          </w:rPr>
          <w:fldChar w:fldCharType="end"/>
        </w:r>
      </w:hyperlink>
    </w:p>
    <w:p w:rsidR="00EE7D6F" w:rsidRPr="00EE7D6F" w:rsidRDefault="00A11229">
      <w:pPr>
        <w:pStyle w:val="TOC3"/>
        <w:ind w:firstLine="210"/>
        <w:rPr>
          <w:rFonts w:asciiTheme="minorEastAsia" w:eastAsiaTheme="minorEastAsia" w:hAnsiTheme="minorEastAsia" w:cstheme="minorBidi"/>
          <w:noProof/>
          <w:szCs w:val="22"/>
        </w:rPr>
      </w:pPr>
      <w:hyperlink w:anchor="_Toc9924488" w:history="1">
        <w:r w:rsidR="00EE7D6F" w:rsidRPr="00EE7D6F">
          <w:rPr>
            <w:rStyle w:val="afff5"/>
            <w:rFonts w:asciiTheme="minorEastAsia" w:eastAsiaTheme="minorEastAsia" w:hAnsiTheme="minorEastAsia"/>
          </w:rPr>
          <w:t>5.2 数据获取要求</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_Toc9924488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3</w:t>
        </w:r>
        <w:r w:rsidR="00EE7D6F" w:rsidRPr="00EE7D6F">
          <w:rPr>
            <w:rFonts w:asciiTheme="minorEastAsia" w:eastAsiaTheme="minorEastAsia" w:hAnsiTheme="minorEastAsia"/>
            <w:noProof/>
            <w:webHidden/>
          </w:rPr>
          <w:fldChar w:fldCharType="end"/>
        </w:r>
      </w:hyperlink>
    </w:p>
    <w:p w:rsidR="00EE7D6F" w:rsidRPr="00EE7D6F" w:rsidRDefault="00A11229">
      <w:pPr>
        <w:pStyle w:val="TOC2"/>
        <w:rPr>
          <w:rFonts w:asciiTheme="minorEastAsia" w:eastAsiaTheme="minorEastAsia" w:hAnsiTheme="minorEastAsia" w:cstheme="minorBidi"/>
          <w:noProof/>
          <w:szCs w:val="22"/>
        </w:rPr>
      </w:pPr>
      <w:hyperlink w:anchor="_Toc9924489" w:history="1">
        <w:r w:rsidR="00EE7D6F" w:rsidRPr="00EE7D6F">
          <w:rPr>
            <w:rStyle w:val="afff5"/>
            <w:rFonts w:asciiTheme="minorEastAsia" w:eastAsiaTheme="minorEastAsia" w:hAnsiTheme="minorEastAsia"/>
          </w:rPr>
          <w:t>6 数据质量管理方案的制定</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_Toc9924489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4</w:t>
        </w:r>
        <w:r w:rsidR="00EE7D6F" w:rsidRPr="00EE7D6F">
          <w:rPr>
            <w:rFonts w:asciiTheme="minorEastAsia" w:eastAsiaTheme="minorEastAsia" w:hAnsiTheme="minorEastAsia"/>
            <w:noProof/>
            <w:webHidden/>
          </w:rPr>
          <w:fldChar w:fldCharType="end"/>
        </w:r>
      </w:hyperlink>
    </w:p>
    <w:p w:rsidR="00EE7D6F" w:rsidRPr="00EE7D6F" w:rsidRDefault="00A11229">
      <w:pPr>
        <w:pStyle w:val="TOC3"/>
        <w:ind w:firstLine="210"/>
        <w:rPr>
          <w:rFonts w:asciiTheme="minorEastAsia" w:eastAsiaTheme="minorEastAsia" w:hAnsiTheme="minorEastAsia" w:cstheme="minorBidi"/>
          <w:noProof/>
          <w:szCs w:val="22"/>
        </w:rPr>
      </w:pPr>
      <w:hyperlink w:anchor="_Toc9924490" w:history="1">
        <w:r w:rsidR="00EE7D6F" w:rsidRPr="00EE7D6F">
          <w:rPr>
            <w:rStyle w:val="afff5"/>
            <w:rFonts w:asciiTheme="minorEastAsia" w:eastAsiaTheme="minorEastAsia" w:hAnsiTheme="minorEastAsia"/>
          </w:rPr>
          <w:t>6.1 监测条件评估</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_Toc9924490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4</w:t>
        </w:r>
        <w:r w:rsidR="00EE7D6F" w:rsidRPr="00EE7D6F">
          <w:rPr>
            <w:rFonts w:asciiTheme="minorEastAsia" w:eastAsiaTheme="minorEastAsia" w:hAnsiTheme="minorEastAsia"/>
            <w:noProof/>
            <w:webHidden/>
          </w:rPr>
          <w:fldChar w:fldCharType="end"/>
        </w:r>
      </w:hyperlink>
    </w:p>
    <w:p w:rsidR="00EE7D6F" w:rsidRPr="00EE7D6F" w:rsidRDefault="00A11229">
      <w:pPr>
        <w:pStyle w:val="TOC3"/>
        <w:ind w:firstLine="210"/>
        <w:rPr>
          <w:rFonts w:asciiTheme="minorEastAsia" w:eastAsiaTheme="minorEastAsia" w:hAnsiTheme="minorEastAsia" w:cstheme="minorBidi"/>
          <w:noProof/>
          <w:szCs w:val="22"/>
        </w:rPr>
      </w:pPr>
      <w:hyperlink w:anchor="_Toc9924491" w:history="1">
        <w:r w:rsidR="00EE7D6F" w:rsidRPr="00EE7D6F">
          <w:rPr>
            <w:rStyle w:val="afff5"/>
            <w:rFonts w:asciiTheme="minorEastAsia" w:eastAsiaTheme="minorEastAsia" w:hAnsiTheme="minorEastAsia"/>
          </w:rPr>
          <w:t>6.2 规划数据流活动</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_Toc9924491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4</w:t>
        </w:r>
        <w:r w:rsidR="00EE7D6F" w:rsidRPr="00EE7D6F">
          <w:rPr>
            <w:rFonts w:asciiTheme="minorEastAsia" w:eastAsiaTheme="minorEastAsia" w:hAnsiTheme="minorEastAsia"/>
            <w:noProof/>
            <w:webHidden/>
          </w:rPr>
          <w:fldChar w:fldCharType="end"/>
        </w:r>
      </w:hyperlink>
    </w:p>
    <w:p w:rsidR="00EE7D6F" w:rsidRPr="00EE7D6F" w:rsidRDefault="00A11229" w:rsidP="00EE7D6F">
      <w:pPr>
        <w:pStyle w:val="TOC3"/>
        <w:ind w:firstLineChars="200" w:firstLine="420"/>
        <w:rPr>
          <w:rFonts w:asciiTheme="minorEastAsia" w:eastAsiaTheme="minorEastAsia" w:hAnsiTheme="minorEastAsia" w:cstheme="minorBidi"/>
          <w:noProof/>
          <w:szCs w:val="22"/>
        </w:rPr>
      </w:pPr>
      <w:hyperlink w:anchor="_Toc9924492" w:history="1">
        <w:r w:rsidR="00EE7D6F" w:rsidRPr="00EE7D6F">
          <w:rPr>
            <w:rStyle w:val="afff5"/>
            <w:rFonts w:asciiTheme="minorEastAsia" w:eastAsiaTheme="minorEastAsia" w:hAnsiTheme="minorEastAsia"/>
            <w:kern w:val="0"/>
          </w:rPr>
          <w:t>6.2.1 数据流活动的规划原则</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_Toc9924492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4</w:t>
        </w:r>
        <w:r w:rsidR="00EE7D6F" w:rsidRPr="00EE7D6F">
          <w:rPr>
            <w:rFonts w:asciiTheme="minorEastAsia" w:eastAsiaTheme="minorEastAsia" w:hAnsiTheme="minorEastAsia"/>
            <w:noProof/>
            <w:webHidden/>
          </w:rPr>
          <w:fldChar w:fldCharType="end"/>
        </w:r>
      </w:hyperlink>
    </w:p>
    <w:p w:rsidR="00EE7D6F" w:rsidRPr="00EE7D6F" w:rsidRDefault="00A11229" w:rsidP="00EE7D6F">
      <w:pPr>
        <w:pStyle w:val="TOC3"/>
        <w:ind w:firstLineChars="200" w:firstLine="420"/>
        <w:rPr>
          <w:rFonts w:asciiTheme="minorEastAsia" w:eastAsiaTheme="minorEastAsia" w:hAnsiTheme="minorEastAsia" w:cstheme="minorBidi"/>
          <w:noProof/>
          <w:szCs w:val="22"/>
        </w:rPr>
      </w:pPr>
      <w:hyperlink w:anchor="_Toc9924493" w:history="1">
        <w:r w:rsidR="00EE7D6F" w:rsidRPr="00EE7D6F">
          <w:rPr>
            <w:rStyle w:val="afff5"/>
            <w:rFonts w:asciiTheme="minorEastAsia" w:eastAsiaTheme="minorEastAsia" w:hAnsiTheme="minorEastAsia"/>
            <w:kern w:val="0"/>
          </w:rPr>
          <w:t>6.2.2 规划数据流的活动</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_Toc9924493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5</w:t>
        </w:r>
        <w:r w:rsidR="00EE7D6F" w:rsidRPr="00EE7D6F">
          <w:rPr>
            <w:rFonts w:asciiTheme="minorEastAsia" w:eastAsiaTheme="minorEastAsia" w:hAnsiTheme="minorEastAsia"/>
            <w:noProof/>
            <w:webHidden/>
          </w:rPr>
          <w:fldChar w:fldCharType="end"/>
        </w:r>
      </w:hyperlink>
    </w:p>
    <w:p w:rsidR="00EE7D6F" w:rsidRPr="00EE7D6F" w:rsidRDefault="00A11229">
      <w:pPr>
        <w:pStyle w:val="TOC3"/>
        <w:ind w:firstLine="210"/>
        <w:rPr>
          <w:rFonts w:asciiTheme="minorEastAsia" w:eastAsiaTheme="minorEastAsia" w:hAnsiTheme="minorEastAsia" w:cstheme="minorBidi"/>
          <w:noProof/>
          <w:szCs w:val="22"/>
        </w:rPr>
      </w:pPr>
      <w:hyperlink w:anchor="_Toc9924494" w:history="1">
        <w:r w:rsidR="00EE7D6F" w:rsidRPr="00EE7D6F">
          <w:rPr>
            <w:rStyle w:val="afff5"/>
            <w:rFonts w:asciiTheme="minorEastAsia" w:eastAsiaTheme="minorEastAsia" w:hAnsiTheme="minorEastAsia"/>
          </w:rPr>
          <w:t>6.3 风险识别</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_Toc9924494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5</w:t>
        </w:r>
        <w:r w:rsidR="00EE7D6F" w:rsidRPr="00EE7D6F">
          <w:rPr>
            <w:rFonts w:asciiTheme="minorEastAsia" w:eastAsiaTheme="minorEastAsia" w:hAnsiTheme="minorEastAsia"/>
            <w:noProof/>
            <w:webHidden/>
          </w:rPr>
          <w:fldChar w:fldCharType="end"/>
        </w:r>
      </w:hyperlink>
    </w:p>
    <w:p w:rsidR="00EE7D6F" w:rsidRPr="00EE7D6F" w:rsidRDefault="00A11229" w:rsidP="00EE7D6F">
      <w:pPr>
        <w:pStyle w:val="TOC3"/>
        <w:ind w:firstLineChars="200" w:firstLine="420"/>
        <w:rPr>
          <w:rFonts w:asciiTheme="minorEastAsia" w:eastAsiaTheme="minorEastAsia" w:hAnsiTheme="minorEastAsia" w:cstheme="minorBidi"/>
          <w:noProof/>
          <w:szCs w:val="22"/>
        </w:rPr>
      </w:pPr>
      <w:hyperlink w:anchor="_Toc9924495" w:history="1">
        <w:r w:rsidR="00EE7D6F" w:rsidRPr="00EE7D6F">
          <w:rPr>
            <w:rStyle w:val="afff5"/>
            <w:rFonts w:asciiTheme="minorEastAsia" w:eastAsiaTheme="minorEastAsia" w:hAnsiTheme="minorEastAsia"/>
            <w:kern w:val="0"/>
          </w:rPr>
          <w:t>6.3.1 风险评估的步骤</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_Toc9924495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5</w:t>
        </w:r>
        <w:r w:rsidR="00EE7D6F" w:rsidRPr="00EE7D6F">
          <w:rPr>
            <w:rFonts w:asciiTheme="minorEastAsia" w:eastAsiaTheme="minorEastAsia" w:hAnsiTheme="minorEastAsia"/>
            <w:noProof/>
            <w:webHidden/>
          </w:rPr>
          <w:fldChar w:fldCharType="end"/>
        </w:r>
      </w:hyperlink>
    </w:p>
    <w:p w:rsidR="00EE7D6F" w:rsidRPr="00EE7D6F" w:rsidRDefault="00A11229" w:rsidP="00EE7D6F">
      <w:pPr>
        <w:pStyle w:val="TOC3"/>
        <w:ind w:firstLineChars="200" w:firstLine="420"/>
        <w:rPr>
          <w:rFonts w:asciiTheme="minorEastAsia" w:eastAsiaTheme="minorEastAsia" w:hAnsiTheme="minorEastAsia" w:cstheme="minorBidi"/>
          <w:noProof/>
          <w:szCs w:val="22"/>
        </w:rPr>
      </w:pPr>
      <w:hyperlink w:anchor="_Toc9924496" w:history="1">
        <w:r w:rsidR="00EE7D6F" w:rsidRPr="00EE7D6F">
          <w:rPr>
            <w:rStyle w:val="afff5"/>
            <w:rFonts w:asciiTheme="minorEastAsia" w:eastAsiaTheme="minorEastAsia" w:hAnsiTheme="minorEastAsia"/>
            <w:kern w:val="0"/>
          </w:rPr>
          <w:t>6.3.2 风险等级的划分</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_Toc9924496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5</w:t>
        </w:r>
        <w:r w:rsidR="00EE7D6F" w:rsidRPr="00EE7D6F">
          <w:rPr>
            <w:rFonts w:asciiTheme="minorEastAsia" w:eastAsiaTheme="minorEastAsia" w:hAnsiTheme="minorEastAsia"/>
            <w:noProof/>
            <w:webHidden/>
          </w:rPr>
          <w:fldChar w:fldCharType="end"/>
        </w:r>
      </w:hyperlink>
    </w:p>
    <w:p w:rsidR="00EE7D6F" w:rsidRPr="00EE7D6F" w:rsidRDefault="00A11229">
      <w:pPr>
        <w:pStyle w:val="TOC3"/>
        <w:ind w:firstLine="210"/>
        <w:rPr>
          <w:rFonts w:asciiTheme="minorEastAsia" w:eastAsiaTheme="minorEastAsia" w:hAnsiTheme="minorEastAsia" w:cstheme="minorBidi"/>
          <w:noProof/>
          <w:szCs w:val="22"/>
        </w:rPr>
      </w:pPr>
      <w:hyperlink w:anchor="_Toc9924497" w:history="1">
        <w:r w:rsidR="00EE7D6F" w:rsidRPr="00EE7D6F">
          <w:rPr>
            <w:rStyle w:val="afff5"/>
            <w:rFonts w:asciiTheme="minorEastAsia" w:eastAsiaTheme="minorEastAsia" w:hAnsiTheme="minorEastAsia"/>
          </w:rPr>
          <w:t>6.4 数据质量管理要求</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_Toc9924497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6</w:t>
        </w:r>
        <w:r w:rsidR="00EE7D6F" w:rsidRPr="00EE7D6F">
          <w:rPr>
            <w:rFonts w:asciiTheme="minorEastAsia" w:eastAsiaTheme="minorEastAsia" w:hAnsiTheme="minorEastAsia"/>
            <w:noProof/>
            <w:webHidden/>
          </w:rPr>
          <w:fldChar w:fldCharType="end"/>
        </w:r>
      </w:hyperlink>
    </w:p>
    <w:p w:rsidR="00EE7D6F" w:rsidRPr="00EE7D6F" w:rsidRDefault="00A11229" w:rsidP="00EE7D6F">
      <w:pPr>
        <w:pStyle w:val="TOC3"/>
        <w:ind w:firstLineChars="200" w:firstLine="420"/>
        <w:rPr>
          <w:rFonts w:asciiTheme="minorEastAsia" w:eastAsiaTheme="minorEastAsia" w:hAnsiTheme="minorEastAsia" w:cstheme="minorBidi"/>
          <w:noProof/>
          <w:szCs w:val="22"/>
        </w:rPr>
      </w:pPr>
      <w:hyperlink w:anchor="_Toc9924498" w:history="1">
        <w:r w:rsidR="00EE7D6F" w:rsidRPr="00EE7D6F">
          <w:rPr>
            <w:rStyle w:val="afff5"/>
            <w:rFonts w:asciiTheme="minorEastAsia" w:eastAsiaTheme="minorEastAsia" w:hAnsiTheme="minorEastAsia"/>
            <w:kern w:val="0"/>
          </w:rPr>
          <w:t>6.4.1 人员管理</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_Toc9924498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6</w:t>
        </w:r>
        <w:r w:rsidR="00EE7D6F" w:rsidRPr="00EE7D6F">
          <w:rPr>
            <w:rFonts w:asciiTheme="minorEastAsia" w:eastAsiaTheme="minorEastAsia" w:hAnsiTheme="minorEastAsia"/>
            <w:noProof/>
            <w:webHidden/>
          </w:rPr>
          <w:fldChar w:fldCharType="end"/>
        </w:r>
      </w:hyperlink>
    </w:p>
    <w:p w:rsidR="00EE7D6F" w:rsidRPr="00EE7D6F" w:rsidRDefault="00A11229" w:rsidP="00EE7D6F">
      <w:pPr>
        <w:pStyle w:val="TOC3"/>
        <w:ind w:firstLineChars="200" w:firstLine="420"/>
        <w:rPr>
          <w:rFonts w:asciiTheme="minorEastAsia" w:eastAsiaTheme="minorEastAsia" w:hAnsiTheme="minorEastAsia" w:cstheme="minorBidi"/>
          <w:noProof/>
          <w:szCs w:val="22"/>
        </w:rPr>
      </w:pPr>
      <w:hyperlink w:anchor="_Toc9924499" w:history="1">
        <w:r w:rsidR="00EE7D6F" w:rsidRPr="00EE7D6F">
          <w:rPr>
            <w:rStyle w:val="afff5"/>
            <w:rFonts w:asciiTheme="minorEastAsia" w:eastAsiaTheme="minorEastAsia" w:hAnsiTheme="minorEastAsia"/>
            <w:kern w:val="0"/>
          </w:rPr>
          <w:t>6.4.2 数据记录管理</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_Toc9924499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6</w:t>
        </w:r>
        <w:r w:rsidR="00EE7D6F" w:rsidRPr="00EE7D6F">
          <w:rPr>
            <w:rFonts w:asciiTheme="minorEastAsia" w:eastAsiaTheme="minorEastAsia" w:hAnsiTheme="minorEastAsia"/>
            <w:noProof/>
            <w:webHidden/>
          </w:rPr>
          <w:fldChar w:fldCharType="end"/>
        </w:r>
      </w:hyperlink>
    </w:p>
    <w:p w:rsidR="00EE7D6F" w:rsidRPr="00EE7D6F" w:rsidRDefault="00A11229" w:rsidP="00EE7D6F">
      <w:pPr>
        <w:pStyle w:val="TOC3"/>
        <w:ind w:firstLineChars="200" w:firstLine="420"/>
        <w:rPr>
          <w:rFonts w:asciiTheme="minorEastAsia" w:eastAsiaTheme="minorEastAsia" w:hAnsiTheme="minorEastAsia" w:cstheme="minorBidi"/>
          <w:noProof/>
          <w:szCs w:val="22"/>
        </w:rPr>
      </w:pPr>
      <w:hyperlink w:anchor="_Toc9924500" w:history="1">
        <w:r w:rsidR="00EE7D6F" w:rsidRPr="00EE7D6F">
          <w:rPr>
            <w:rStyle w:val="afff5"/>
            <w:rFonts w:asciiTheme="minorEastAsia" w:eastAsiaTheme="minorEastAsia" w:hAnsiTheme="minorEastAsia"/>
            <w:kern w:val="0"/>
          </w:rPr>
          <w:t>6.4.3 计量器具、检测设备和在线监测仪表的管理</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_Toc9924500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6</w:t>
        </w:r>
        <w:r w:rsidR="00EE7D6F" w:rsidRPr="00EE7D6F">
          <w:rPr>
            <w:rFonts w:asciiTheme="minorEastAsia" w:eastAsiaTheme="minorEastAsia" w:hAnsiTheme="minorEastAsia"/>
            <w:noProof/>
            <w:webHidden/>
          </w:rPr>
          <w:fldChar w:fldCharType="end"/>
        </w:r>
      </w:hyperlink>
    </w:p>
    <w:p w:rsidR="00EE7D6F" w:rsidRPr="00EE7D6F" w:rsidRDefault="00A11229" w:rsidP="00EE7D6F">
      <w:pPr>
        <w:pStyle w:val="TOC3"/>
        <w:ind w:firstLineChars="200" w:firstLine="420"/>
        <w:rPr>
          <w:rFonts w:asciiTheme="minorEastAsia" w:eastAsiaTheme="minorEastAsia" w:hAnsiTheme="minorEastAsia" w:cstheme="minorBidi"/>
          <w:noProof/>
          <w:szCs w:val="22"/>
        </w:rPr>
      </w:pPr>
      <w:hyperlink w:anchor="_Toc9924501" w:history="1">
        <w:r w:rsidR="00EE7D6F" w:rsidRPr="00EE7D6F">
          <w:rPr>
            <w:rStyle w:val="afff5"/>
            <w:rFonts w:asciiTheme="minorEastAsia" w:eastAsiaTheme="minorEastAsia" w:hAnsiTheme="minorEastAsia"/>
            <w:kern w:val="0"/>
          </w:rPr>
          <w:t>6.4.4 数据的质量检验</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_Toc9924501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7</w:t>
        </w:r>
        <w:r w:rsidR="00EE7D6F" w:rsidRPr="00EE7D6F">
          <w:rPr>
            <w:rFonts w:asciiTheme="minorEastAsia" w:eastAsiaTheme="minorEastAsia" w:hAnsiTheme="minorEastAsia"/>
            <w:noProof/>
            <w:webHidden/>
          </w:rPr>
          <w:fldChar w:fldCharType="end"/>
        </w:r>
      </w:hyperlink>
    </w:p>
    <w:p w:rsidR="00EE7D6F" w:rsidRPr="00EE7D6F" w:rsidRDefault="00A11229">
      <w:pPr>
        <w:pStyle w:val="TOC3"/>
        <w:ind w:firstLine="210"/>
        <w:rPr>
          <w:rFonts w:asciiTheme="minorEastAsia" w:eastAsiaTheme="minorEastAsia" w:hAnsiTheme="minorEastAsia" w:cstheme="minorBidi"/>
          <w:noProof/>
          <w:szCs w:val="22"/>
        </w:rPr>
      </w:pPr>
      <w:hyperlink w:anchor="_Toc9924502" w:history="1">
        <w:r w:rsidR="00EE7D6F" w:rsidRPr="00EE7D6F">
          <w:rPr>
            <w:rStyle w:val="afff5"/>
            <w:rFonts w:asciiTheme="minorEastAsia" w:eastAsiaTheme="minorEastAsia" w:hAnsiTheme="minorEastAsia"/>
          </w:rPr>
          <w:t>6.5 数据不确定性分析</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_Toc9924502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7</w:t>
        </w:r>
        <w:r w:rsidR="00EE7D6F" w:rsidRPr="00EE7D6F">
          <w:rPr>
            <w:rFonts w:asciiTheme="minorEastAsia" w:eastAsiaTheme="minorEastAsia" w:hAnsiTheme="minorEastAsia"/>
            <w:noProof/>
            <w:webHidden/>
          </w:rPr>
          <w:fldChar w:fldCharType="end"/>
        </w:r>
      </w:hyperlink>
    </w:p>
    <w:p w:rsidR="00EE7D6F" w:rsidRPr="00EE7D6F" w:rsidRDefault="00A11229">
      <w:pPr>
        <w:pStyle w:val="TOC3"/>
        <w:ind w:firstLine="210"/>
        <w:rPr>
          <w:rFonts w:asciiTheme="minorEastAsia" w:eastAsiaTheme="minorEastAsia" w:hAnsiTheme="minorEastAsia" w:cstheme="minorBidi"/>
          <w:noProof/>
          <w:szCs w:val="22"/>
        </w:rPr>
      </w:pPr>
      <w:hyperlink w:anchor="_Toc9924503" w:history="1">
        <w:r w:rsidR="00EE7D6F" w:rsidRPr="00EE7D6F">
          <w:rPr>
            <w:rStyle w:val="afff5"/>
            <w:rFonts w:asciiTheme="minorEastAsia" w:eastAsiaTheme="minorEastAsia" w:hAnsiTheme="minorEastAsia"/>
          </w:rPr>
          <w:t>6.6 监测计划</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_Toc9924503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7</w:t>
        </w:r>
        <w:r w:rsidR="00EE7D6F" w:rsidRPr="00EE7D6F">
          <w:rPr>
            <w:rFonts w:asciiTheme="minorEastAsia" w:eastAsiaTheme="minorEastAsia" w:hAnsiTheme="minorEastAsia"/>
            <w:noProof/>
            <w:webHidden/>
          </w:rPr>
          <w:fldChar w:fldCharType="end"/>
        </w:r>
      </w:hyperlink>
    </w:p>
    <w:p w:rsidR="00EE7D6F" w:rsidRPr="00EE7D6F" w:rsidRDefault="00A11229" w:rsidP="00EE7D6F">
      <w:pPr>
        <w:pStyle w:val="TOC3"/>
        <w:ind w:firstLineChars="200" w:firstLine="420"/>
        <w:rPr>
          <w:rFonts w:asciiTheme="minorEastAsia" w:eastAsiaTheme="minorEastAsia" w:hAnsiTheme="minorEastAsia" w:cstheme="minorBidi"/>
          <w:noProof/>
          <w:szCs w:val="22"/>
        </w:rPr>
      </w:pPr>
      <w:hyperlink w:anchor="_Toc9924504" w:history="1">
        <w:r w:rsidR="00EE7D6F" w:rsidRPr="00EE7D6F">
          <w:rPr>
            <w:rStyle w:val="afff5"/>
            <w:rFonts w:asciiTheme="minorEastAsia" w:eastAsiaTheme="minorEastAsia" w:hAnsiTheme="minorEastAsia"/>
            <w:kern w:val="0"/>
          </w:rPr>
          <w:t>6.6.1 监测计划的编制要求</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_Toc9924504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7</w:t>
        </w:r>
        <w:r w:rsidR="00EE7D6F" w:rsidRPr="00EE7D6F">
          <w:rPr>
            <w:rFonts w:asciiTheme="minorEastAsia" w:eastAsiaTheme="minorEastAsia" w:hAnsiTheme="minorEastAsia"/>
            <w:noProof/>
            <w:webHidden/>
          </w:rPr>
          <w:fldChar w:fldCharType="end"/>
        </w:r>
      </w:hyperlink>
    </w:p>
    <w:p w:rsidR="00EE7D6F" w:rsidRPr="00EE7D6F" w:rsidRDefault="00A11229" w:rsidP="00EE7D6F">
      <w:pPr>
        <w:pStyle w:val="TOC3"/>
        <w:ind w:firstLineChars="200" w:firstLine="420"/>
        <w:rPr>
          <w:rFonts w:asciiTheme="minorEastAsia" w:eastAsiaTheme="minorEastAsia" w:hAnsiTheme="minorEastAsia" w:cstheme="minorBidi"/>
          <w:noProof/>
          <w:szCs w:val="22"/>
        </w:rPr>
      </w:pPr>
      <w:hyperlink w:anchor="_Toc9924505" w:history="1">
        <w:r w:rsidR="00EE7D6F" w:rsidRPr="00EE7D6F">
          <w:rPr>
            <w:rStyle w:val="afff5"/>
            <w:rFonts w:asciiTheme="minorEastAsia" w:eastAsiaTheme="minorEastAsia" w:hAnsiTheme="minorEastAsia"/>
            <w:kern w:val="0"/>
          </w:rPr>
          <w:t>6.6.2 监测计划的编制内容</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_Toc9924505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7</w:t>
        </w:r>
        <w:r w:rsidR="00EE7D6F" w:rsidRPr="00EE7D6F">
          <w:rPr>
            <w:rFonts w:asciiTheme="minorEastAsia" w:eastAsiaTheme="minorEastAsia" w:hAnsiTheme="minorEastAsia"/>
            <w:noProof/>
            <w:webHidden/>
          </w:rPr>
          <w:fldChar w:fldCharType="end"/>
        </w:r>
      </w:hyperlink>
    </w:p>
    <w:p w:rsidR="00EE7D6F" w:rsidRPr="00EE7D6F" w:rsidRDefault="00A11229">
      <w:pPr>
        <w:pStyle w:val="TOC2"/>
        <w:rPr>
          <w:rFonts w:asciiTheme="minorEastAsia" w:eastAsiaTheme="minorEastAsia" w:hAnsiTheme="minorEastAsia" w:cstheme="minorBidi"/>
          <w:noProof/>
          <w:szCs w:val="22"/>
        </w:rPr>
      </w:pPr>
      <w:hyperlink w:anchor="_Toc9924506" w:history="1">
        <w:r w:rsidR="00EE7D6F" w:rsidRPr="00EE7D6F">
          <w:rPr>
            <w:rStyle w:val="afff5"/>
            <w:rFonts w:asciiTheme="minorEastAsia" w:eastAsiaTheme="minorEastAsia" w:hAnsiTheme="minorEastAsia"/>
          </w:rPr>
          <w:t>7 数据质量管理方案的改进</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_Toc9924506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8</w:t>
        </w:r>
        <w:r w:rsidR="00EE7D6F" w:rsidRPr="00EE7D6F">
          <w:rPr>
            <w:rFonts w:asciiTheme="minorEastAsia" w:eastAsiaTheme="minorEastAsia" w:hAnsiTheme="minorEastAsia"/>
            <w:noProof/>
            <w:webHidden/>
          </w:rPr>
          <w:fldChar w:fldCharType="end"/>
        </w:r>
      </w:hyperlink>
    </w:p>
    <w:p w:rsidR="00EE7D6F" w:rsidRPr="00EE7D6F" w:rsidRDefault="00A11229">
      <w:pPr>
        <w:pStyle w:val="TOC3"/>
        <w:ind w:firstLine="210"/>
        <w:rPr>
          <w:rFonts w:asciiTheme="minorEastAsia" w:eastAsiaTheme="minorEastAsia" w:hAnsiTheme="minorEastAsia" w:cstheme="minorBidi"/>
          <w:noProof/>
          <w:szCs w:val="22"/>
        </w:rPr>
      </w:pPr>
      <w:hyperlink w:anchor="_Toc9924507" w:history="1">
        <w:r w:rsidR="00EE7D6F" w:rsidRPr="00EE7D6F">
          <w:rPr>
            <w:rStyle w:val="afff5"/>
            <w:rFonts w:asciiTheme="minorEastAsia" w:eastAsiaTheme="minorEastAsia" w:hAnsiTheme="minorEastAsia"/>
          </w:rPr>
          <w:t>7.1 数据质量的内审</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_Toc9924507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8</w:t>
        </w:r>
        <w:r w:rsidR="00EE7D6F" w:rsidRPr="00EE7D6F">
          <w:rPr>
            <w:rFonts w:asciiTheme="minorEastAsia" w:eastAsiaTheme="minorEastAsia" w:hAnsiTheme="minorEastAsia"/>
            <w:noProof/>
            <w:webHidden/>
          </w:rPr>
          <w:fldChar w:fldCharType="end"/>
        </w:r>
      </w:hyperlink>
    </w:p>
    <w:p w:rsidR="00EE7D6F" w:rsidRPr="00EE7D6F" w:rsidRDefault="00A11229">
      <w:pPr>
        <w:pStyle w:val="TOC3"/>
        <w:ind w:firstLine="210"/>
        <w:rPr>
          <w:rFonts w:asciiTheme="minorEastAsia" w:eastAsiaTheme="minorEastAsia" w:hAnsiTheme="minorEastAsia" w:cstheme="minorBidi"/>
          <w:noProof/>
          <w:szCs w:val="22"/>
        </w:rPr>
      </w:pPr>
      <w:hyperlink w:anchor="_Toc9924508" w:history="1">
        <w:r w:rsidR="00EE7D6F" w:rsidRPr="00EE7D6F">
          <w:rPr>
            <w:rStyle w:val="afff5"/>
            <w:rFonts w:asciiTheme="minorEastAsia" w:eastAsiaTheme="minorEastAsia" w:hAnsiTheme="minorEastAsia"/>
          </w:rPr>
          <w:t>7.2 改进措施</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_Toc9924508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8</w:t>
        </w:r>
        <w:r w:rsidR="00EE7D6F" w:rsidRPr="00EE7D6F">
          <w:rPr>
            <w:rFonts w:asciiTheme="minorEastAsia" w:eastAsiaTheme="minorEastAsia" w:hAnsiTheme="minorEastAsia"/>
            <w:noProof/>
            <w:webHidden/>
          </w:rPr>
          <w:fldChar w:fldCharType="end"/>
        </w:r>
      </w:hyperlink>
    </w:p>
    <w:p w:rsidR="00EE7D6F" w:rsidRPr="00EE7D6F" w:rsidRDefault="00A11229">
      <w:pPr>
        <w:pStyle w:val="TOC1"/>
        <w:spacing w:before="78" w:after="78"/>
        <w:rPr>
          <w:rFonts w:asciiTheme="minorEastAsia" w:eastAsiaTheme="minorEastAsia" w:hAnsiTheme="minorEastAsia" w:cstheme="minorBidi"/>
          <w:noProof/>
          <w:szCs w:val="22"/>
        </w:rPr>
      </w:pPr>
      <w:hyperlink w:anchor="_Toc9924509" w:history="1">
        <w:r w:rsidR="00EE7D6F" w:rsidRPr="00EE7D6F">
          <w:rPr>
            <w:rStyle w:val="afff5"/>
            <w:rFonts w:asciiTheme="minorEastAsia" w:eastAsiaTheme="minorEastAsia" w:hAnsiTheme="minorEastAsia"/>
          </w:rPr>
          <w:t>附　录　A （资料性附录） 工业企业重点排放设施示例</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_Toc9924509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10</w:t>
        </w:r>
        <w:r w:rsidR="00EE7D6F" w:rsidRPr="00EE7D6F">
          <w:rPr>
            <w:rFonts w:asciiTheme="minorEastAsia" w:eastAsiaTheme="minorEastAsia" w:hAnsiTheme="minorEastAsia"/>
            <w:noProof/>
            <w:webHidden/>
          </w:rPr>
          <w:fldChar w:fldCharType="end"/>
        </w:r>
      </w:hyperlink>
    </w:p>
    <w:p w:rsidR="00EE7D6F" w:rsidRPr="00EE7D6F" w:rsidRDefault="00A11229">
      <w:pPr>
        <w:pStyle w:val="TOC1"/>
        <w:spacing w:before="78" w:after="78"/>
        <w:rPr>
          <w:rFonts w:asciiTheme="minorEastAsia" w:eastAsiaTheme="minorEastAsia" w:hAnsiTheme="minorEastAsia" w:cstheme="minorBidi"/>
          <w:noProof/>
          <w:szCs w:val="22"/>
        </w:rPr>
      </w:pPr>
      <w:hyperlink w:anchor="_Toc9924510" w:history="1">
        <w:r w:rsidR="00EE7D6F" w:rsidRPr="00EE7D6F">
          <w:rPr>
            <w:rStyle w:val="afff5"/>
            <w:rFonts w:asciiTheme="minorEastAsia" w:eastAsiaTheme="minorEastAsia" w:hAnsiTheme="minorEastAsia"/>
          </w:rPr>
          <w:t>附　录　B （资料性附录） 监测计划的排放源等级划分及数据要求示例</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_Toc9924510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11</w:t>
        </w:r>
        <w:r w:rsidR="00EE7D6F" w:rsidRPr="00EE7D6F">
          <w:rPr>
            <w:rFonts w:asciiTheme="minorEastAsia" w:eastAsiaTheme="minorEastAsia" w:hAnsiTheme="minorEastAsia"/>
            <w:noProof/>
            <w:webHidden/>
          </w:rPr>
          <w:fldChar w:fldCharType="end"/>
        </w:r>
      </w:hyperlink>
    </w:p>
    <w:p w:rsidR="00EE7D6F" w:rsidRPr="00EE7D6F" w:rsidRDefault="00A11229">
      <w:pPr>
        <w:pStyle w:val="TOC1"/>
        <w:spacing w:before="78" w:after="78"/>
        <w:rPr>
          <w:rFonts w:asciiTheme="minorEastAsia" w:eastAsiaTheme="minorEastAsia" w:hAnsiTheme="minorEastAsia" w:cstheme="minorBidi"/>
          <w:noProof/>
          <w:szCs w:val="22"/>
        </w:rPr>
      </w:pPr>
      <w:hyperlink w:anchor="_Toc9924511" w:history="1">
        <w:r w:rsidR="00EE7D6F" w:rsidRPr="00EE7D6F">
          <w:rPr>
            <w:rStyle w:val="afff5"/>
            <w:rFonts w:asciiTheme="minorEastAsia" w:eastAsiaTheme="minorEastAsia" w:hAnsiTheme="minorEastAsia"/>
          </w:rPr>
          <w:t>附　录　C （资料性附录） 数据流活动任务列表示例</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_Toc9924511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12</w:t>
        </w:r>
        <w:r w:rsidR="00EE7D6F" w:rsidRPr="00EE7D6F">
          <w:rPr>
            <w:rFonts w:asciiTheme="minorEastAsia" w:eastAsiaTheme="minorEastAsia" w:hAnsiTheme="minorEastAsia"/>
            <w:noProof/>
            <w:webHidden/>
          </w:rPr>
          <w:fldChar w:fldCharType="end"/>
        </w:r>
      </w:hyperlink>
    </w:p>
    <w:p w:rsidR="00EE7D6F" w:rsidRPr="00EE7D6F" w:rsidRDefault="00A11229">
      <w:pPr>
        <w:pStyle w:val="TOC1"/>
        <w:spacing w:before="78" w:after="78"/>
        <w:rPr>
          <w:rFonts w:asciiTheme="minorEastAsia" w:eastAsiaTheme="minorEastAsia" w:hAnsiTheme="minorEastAsia" w:cstheme="minorBidi"/>
          <w:noProof/>
          <w:szCs w:val="22"/>
        </w:rPr>
      </w:pPr>
      <w:hyperlink w:anchor="_Toc9924512" w:history="1">
        <w:r w:rsidR="00EE7D6F" w:rsidRPr="00EE7D6F">
          <w:rPr>
            <w:rStyle w:val="afff5"/>
            <w:rFonts w:asciiTheme="minorEastAsia" w:eastAsiaTheme="minorEastAsia" w:hAnsiTheme="minorEastAsia"/>
          </w:rPr>
          <w:t>附　录　D （资料性附录） 数据记录管理表示例</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_Toc9924512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13</w:t>
        </w:r>
        <w:r w:rsidR="00EE7D6F" w:rsidRPr="00EE7D6F">
          <w:rPr>
            <w:rFonts w:asciiTheme="minorEastAsia" w:eastAsiaTheme="minorEastAsia" w:hAnsiTheme="minorEastAsia"/>
            <w:noProof/>
            <w:webHidden/>
          </w:rPr>
          <w:fldChar w:fldCharType="end"/>
        </w:r>
      </w:hyperlink>
    </w:p>
    <w:p w:rsidR="00EE7D6F" w:rsidRPr="00EE7D6F" w:rsidRDefault="00A11229">
      <w:pPr>
        <w:pStyle w:val="TOC1"/>
        <w:spacing w:before="78" w:after="78"/>
        <w:rPr>
          <w:rFonts w:asciiTheme="minorEastAsia" w:eastAsiaTheme="minorEastAsia" w:hAnsiTheme="minorEastAsia" w:cstheme="minorBidi"/>
          <w:noProof/>
          <w:szCs w:val="22"/>
        </w:rPr>
      </w:pPr>
      <w:hyperlink w:anchor="_Toc9924513" w:history="1">
        <w:r w:rsidR="00EE7D6F" w:rsidRPr="00EE7D6F">
          <w:rPr>
            <w:rStyle w:val="afff5"/>
            <w:rFonts w:asciiTheme="minorEastAsia" w:eastAsiaTheme="minorEastAsia" w:hAnsiTheme="minorEastAsia"/>
          </w:rPr>
          <w:t>附　录　E （资料性附录） 计量器具管理表示例</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_Toc9924513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14</w:t>
        </w:r>
        <w:r w:rsidR="00EE7D6F" w:rsidRPr="00EE7D6F">
          <w:rPr>
            <w:rFonts w:asciiTheme="minorEastAsia" w:eastAsiaTheme="minorEastAsia" w:hAnsiTheme="minorEastAsia"/>
            <w:noProof/>
            <w:webHidden/>
          </w:rPr>
          <w:fldChar w:fldCharType="end"/>
        </w:r>
      </w:hyperlink>
    </w:p>
    <w:p w:rsidR="00EE7D6F" w:rsidRPr="00EE7D6F" w:rsidRDefault="00A11229">
      <w:pPr>
        <w:pStyle w:val="TOC1"/>
        <w:spacing w:before="78" w:after="78"/>
        <w:rPr>
          <w:rFonts w:asciiTheme="minorEastAsia" w:eastAsiaTheme="minorEastAsia" w:hAnsiTheme="minorEastAsia" w:cstheme="minorBidi"/>
          <w:noProof/>
          <w:szCs w:val="22"/>
        </w:rPr>
      </w:pPr>
      <w:hyperlink w:anchor="_Toc9924514" w:history="1">
        <w:r w:rsidR="00EE7D6F" w:rsidRPr="00EE7D6F">
          <w:rPr>
            <w:rStyle w:val="afff5"/>
            <w:rFonts w:asciiTheme="minorEastAsia" w:eastAsiaTheme="minorEastAsia" w:hAnsiTheme="minorEastAsia"/>
          </w:rPr>
          <w:t>参考文献</w:t>
        </w:r>
        <w:r w:rsidR="00EE7D6F" w:rsidRPr="00EE7D6F">
          <w:rPr>
            <w:rFonts w:asciiTheme="minorEastAsia" w:eastAsiaTheme="minorEastAsia" w:hAnsiTheme="minorEastAsia"/>
            <w:noProof/>
            <w:webHidden/>
          </w:rPr>
          <w:tab/>
        </w:r>
        <w:r w:rsidR="00EE7D6F" w:rsidRPr="00EE7D6F">
          <w:rPr>
            <w:rFonts w:asciiTheme="minorEastAsia" w:eastAsiaTheme="minorEastAsia" w:hAnsiTheme="minorEastAsia"/>
            <w:noProof/>
            <w:webHidden/>
          </w:rPr>
          <w:fldChar w:fldCharType="begin"/>
        </w:r>
        <w:r w:rsidR="00EE7D6F" w:rsidRPr="00EE7D6F">
          <w:rPr>
            <w:rFonts w:asciiTheme="minorEastAsia" w:eastAsiaTheme="minorEastAsia" w:hAnsiTheme="minorEastAsia"/>
            <w:noProof/>
            <w:webHidden/>
          </w:rPr>
          <w:instrText xml:space="preserve"> PAGEREF _Toc9924514 \h </w:instrText>
        </w:r>
        <w:r w:rsidR="00EE7D6F" w:rsidRPr="00EE7D6F">
          <w:rPr>
            <w:rFonts w:asciiTheme="minorEastAsia" w:eastAsiaTheme="minorEastAsia" w:hAnsiTheme="minorEastAsia"/>
            <w:noProof/>
            <w:webHidden/>
          </w:rPr>
        </w:r>
        <w:r w:rsidR="00EE7D6F" w:rsidRPr="00EE7D6F">
          <w:rPr>
            <w:rFonts w:asciiTheme="minorEastAsia" w:eastAsiaTheme="minorEastAsia" w:hAnsiTheme="minorEastAsia"/>
            <w:noProof/>
            <w:webHidden/>
          </w:rPr>
          <w:fldChar w:fldCharType="separate"/>
        </w:r>
        <w:r w:rsidR="00EE7D6F" w:rsidRPr="00EE7D6F">
          <w:rPr>
            <w:rFonts w:asciiTheme="minorEastAsia" w:eastAsiaTheme="minorEastAsia" w:hAnsiTheme="minorEastAsia"/>
            <w:noProof/>
            <w:webHidden/>
          </w:rPr>
          <w:t>15</w:t>
        </w:r>
        <w:r w:rsidR="00EE7D6F" w:rsidRPr="00EE7D6F">
          <w:rPr>
            <w:rFonts w:asciiTheme="minorEastAsia" w:eastAsiaTheme="minorEastAsia" w:hAnsiTheme="minorEastAsia"/>
            <w:noProof/>
            <w:webHidden/>
          </w:rPr>
          <w:fldChar w:fldCharType="end"/>
        </w:r>
      </w:hyperlink>
    </w:p>
    <w:p w:rsidR="00414BD9" w:rsidRPr="00EE7D6F" w:rsidRDefault="009273D8" w:rsidP="00173E68">
      <w:pPr>
        <w:pStyle w:val="TOC1"/>
        <w:spacing w:before="78" w:after="78"/>
        <w:rPr>
          <w:rFonts w:asciiTheme="minorEastAsia" w:eastAsiaTheme="minorEastAsia" w:hAnsiTheme="minorEastAsia" w:cstheme="minorBidi"/>
          <w:noProof/>
          <w:szCs w:val="22"/>
        </w:rPr>
      </w:pPr>
      <w:r w:rsidRPr="00EE7D6F">
        <w:rPr>
          <w:rFonts w:asciiTheme="minorEastAsia" w:eastAsiaTheme="minorEastAsia" w:hAnsiTheme="minorEastAsia" w:cstheme="minorBidi"/>
        </w:rPr>
        <w:fldChar w:fldCharType="end"/>
      </w:r>
    </w:p>
    <w:p w:rsidR="00414BD9" w:rsidRDefault="0070193B" w:rsidP="00173E68">
      <w:pPr>
        <w:pStyle w:val="afffff"/>
      </w:pPr>
      <w:r w:rsidRPr="00EE7D6F">
        <w:rPr>
          <w:rFonts w:asciiTheme="minorEastAsia" w:eastAsiaTheme="minorEastAsia" w:hAnsiTheme="minorEastAsia"/>
        </w:rPr>
        <w:lastRenderedPageBreak/>
        <w:fldChar w:fldCharType="end"/>
      </w:r>
      <w:bookmarkStart w:id="18" w:name="BKQY"/>
      <w:bookmarkStart w:id="19" w:name="_Toc9924479"/>
      <w:r w:rsidR="00414BD9">
        <w:rPr>
          <w:rFonts w:hint="eastAsia"/>
        </w:rPr>
        <w:t>前</w:t>
      </w:r>
      <w:r w:rsidR="00414BD9">
        <w:rPr>
          <w:rFonts w:hAnsi="黑体"/>
        </w:rPr>
        <w:t> </w:t>
      </w:r>
      <w:r w:rsidR="00414BD9">
        <w:rPr>
          <w:rFonts w:hAnsi="黑体"/>
        </w:rPr>
        <w:t> </w:t>
      </w:r>
      <w:r w:rsidR="00414BD9">
        <w:rPr>
          <w:rFonts w:hint="eastAsia"/>
        </w:rPr>
        <w:t>言</w:t>
      </w:r>
      <w:bookmarkEnd w:id="18"/>
      <w:bookmarkEnd w:id="19"/>
    </w:p>
    <w:p w:rsidR="00F25BB4" w:rsidRDefault="00F25BB4" w:rsidP="00F25BB4">
      <w:pPr>
        <w:pStyle w:val="aff3"/>
      </w:pPr>
      <w:r>
        <w:rPr>
          <w:rFonts w:hint="eastAsia"/>
        </w:rPr>
        <w:t>本标准依据GB/T1.1-2009的规则起草。</w:t>
      </w:r>
    </w:p>
    <w:p w:rsidR="00F25BB4" w:rsidRDefault="00F25BB4" w:rsidP="00F25BB4">
      <w:pPr>
        <w:pStyle w:val="aff3"/>
      </w:pPr>
      <w:r>
        <w:rPr>
          <w:rFonts w:hint="eastAsia"/>
        </w:rPr>
        <w:t>本标准由</w:t>
      </w:r>
      <w:r w:rsidR="001D19AE">
        <w:rPr>
          <w:rFonts w:ascii="Times New Roman" w:hint="eastAsia"/>
        </w:rPr>
        <w:t>生态环境部</w:t>
      </w:r>
      <w:r>
        <w:rPr>
          <w:rFonts w:hint="eastAsia"/>
        </w:rPr>
        <w:t>提出。</w:t>
      </w:r>
    </w:p>
    <w:p w:rsidR="00F25BB4" w:rsidRDefault="00F25BB4" w:rsidP="00F25BB4">
      <w:pPr>
        <w:pStyle w:val="aff3"/>
      </w:pPr>
      <w:r>
        <w:rPr>
          <w:rFonts w:hint="eastAsia"/>
        </w:rPr>
        <w:t>本标准由</w:t>
      </w:r>
      <w:r w:rsidRPr="004F46D3">
        <w:rPr>
          <w:rFonts w:ascii="Times New Roman" w:hint="eastAsia"/>
        </w:rPr>
        <w:t>全国碳排放管理标准化技术委员会（</w:t>
      </w:r>
      <w:r w:rsidRPr="004F46D3">
        <w:rPr>
          <w:rFonts w:ascii="Times New Roman"/>
        </w:rPr>
        <w:t>SAC/TC 548</w:t>
      </w:r>
      <w:r w:rsidRPr="004F46D3">
        <w:rPr>
          <w:rFonts w:ascii="Times New Roman" w:hint="eastAsia"/>
        </w:rPr>
        <w:t>）</w:t>
      </w:r>
      <w:r>
        <w:rPr>
          <w:rFonts w:hint="eastAsia"/>
        </w:rPr>
        <w:t>归口。</w:t>
      </w:r>
    </w:p>
    <w:p w:rsidR="00F25BB4" w:rsidRDefault="00F25BB4" w:rsidP="00F25BB4">
      <w:pPr>
        <w:pStyle w:val="aff3"/>
      </w:pPr>
      <w:r>
        <w:rPr>
          <w:rFonts w:hint="eastAsia"/>
        </w:rPr>
        <w:t>本标准起草单位：</w:t>
      </w:r>
      <w:r w:rsidR="001D19AE">
        <w:t xml:space="preserve"> </w:t>
      </w:r>
    </w:p>
    <w:p w:rsidR="00D777F1" w:rsidRDefault="00F25BB4" w:rsidP="00F25BB4">
      <w:pPr>
        <w:pStyle w:val="aff3"/>
      </w:pPr>
      <w:r>
        <w:rPr>
          <w:rFonts w:hint="eastAsia"/>
        </w:rPr>
        <w:t>本标准主要起草人：</w:t>
      </w:r>
      <w:r w:rsidR="001D19AE">
        <w:t xml:space="preserve"> </w:t>
      </w:r>
    </w:p>
    <w:p w:rsidR="00D777F1" w:rsidRDefault="00D777F1" w:rsidP="00D777F1">
      <w:pPr>
        <w:pStyle w:val="afffff"/>
      </w:pPr>
      <w:bookmarkStart w:id="20" w:name="_Toc9924480"/>
      <w:r>
        <w:rPr>
          <w:rFonts w:hint="eastAsia"/>
        </w:rPr>
        <w:lastRenderedPageBreak/>
        <w:t>引</w:t>
      </w:r>
      <w:bookmarkStart w:id="21" w:name="BKYY"/>
      <w:r>
        <w:rPr>
          <w:rFonts w:hAnsi="黑体"/>
        </w:rPr>
        <w:t> </w:t>
      </w:r>
      <w:r>
        <w:rPr>
          <w:rFonts w:hAnsi="黑体"/>
        </w:rPr>
        <w:t> </w:t>
      </w:r>
      <w:r>
        <w:rPr>
          <w:rFonts w:hint="eastAsia"/>
        </w:rPr>
        <w:t>言</w:t>
      </w:r>
      <w:bookmarkEnd w:id="20"/>
      <w:bookmarkEnd w:id="21"/>
    </w:p>
    <w:p w:rsidR="00414BD9" w:rsidRPr="00D777F1" w:rsidRDefault="00414BD9" w:rsidP="00D777F1">
      <w:pPr>
        <w:pStyle w:val="aff3"/>
      </w:pPr>
    </w:p>
    <w:p w:rsidR="00F25BB4" w:rsidRDefault="00F25BB4" w:rsidP="00F25BB4">
      <w:pPr>
        <w:spacing w:line="360" w:lineRule="auto"/>
        <w:ind w:firstLineChars="200" w:firstLine="420"/>
        <w:rPr>
          <w:szCs w:val="21"/>
        </w:rPr>
      </w:pPr>
      <w:r w:rsidRPr="00CA314A">
        <w:rPr>
          <w:rFonts w:hint="eastAsia"/>
          <w:szCs w:val="21"/>
        </w:rPr>
        <w:t>工业企业作为温室气体排放的主要来源，面临着巨大的减排压力。工业企业温室气体排放数据质量管理工作是监测和上报过程的重要环节，可以有效推进以“可测量、可报告、可核实”为特征的温室气体统计和管理体系的建立，而且还可以有效的解决</w:t>
      </w:r>
      <w:proofErr w:type="gramStart"/>
      <w:r w:rsidRPr="00CA314A">
        <w:rPr>
          <w:rFonts w:hint="eastAsia"/>
          <w:szCs w:val="21"/>
        </w:rPr>
        <w:t>我国碳排放权</w:t>
      </w:r>
      <w:proofErr w:type="gramEnd"/>
      <w:r w:rsidRPr="00CA314A">
        <w:rPr>
          <w:rFonts w:hint="eastAsia"/>
          <w:szCs w:val="21"/>
        </w:rPr>
        <w:t>交易中有关数据质量的问题。因此，加强企业温室气体排放数据管理能力十分必要也十分迫切。</w:t>
      </w:r>
    </w:p>
    <w:p w:rsidR="00F25BB4" w:rsidRPr="00CA314A" w:rsidRDefault="00F25BB4" w:rsidP="00F25BB4">
      <w:pPr>
        <w:spacing w:line="360" w:lineRule="auto"/>
        <w:ind w:firstLineChars="200" w:firstLine="420"/>
        <w:rPr>
          <w:szCs w:val="21"/>
        </w:rPr>
      </w:pPr>
      <w:r w:rsidRPr="00CA314A">
        <w:rPr>
          <w:rFonts w:hint="eastAsia"/>
          <w:szCs w:val="21"/>
        </w:rPr>
        <w:t>然而，我国目前企业层面的温室气体数据质量管理工作基础还比较薄弱，给企业的温室气体排放管理和减排目标的实现</w:t>
      </w:r>
      <w:r w:rsidR="001D19AE">
        <w:rPr>
          <w:rFonts w:hint="eastAsia"/>
          <w:szCs w:val="21"/>
        </w:rPr>
        <w:t>以及</w:t>
      </w:r>
      <w:proofErr w:type="gramStart"/>
      <w:r w:rsidRPr="00CA314A">
        <w:rPr>
          <w:rFonts w:hint="eastAsia"/>
          <w:szCs w:val="21"/>
        </w:rPr>
        <w:t>参与碳排放权</w:t>
      </w:r>
      <w:proofErr w:type="gramEnd"/>
      <w:r w:rsidRPr="00CA314A">
        <w:rPr>
          <w:rFonts w:hint="eastAsia"/>
          <w:szCs w:val="21"/>
        </w:rPr>
        <w:t>交易带来很大的障碍。</w:t>
      </w:r>
      <w:r w:rsidRPr="00CA314A">
        <w:rPr>
          <w:rFonts w:ascii="宋体" w:hAnsi="宋体" w:hint="eastAsia"/>
          <w:color w:val="000000"/>
          <w:szCs w:val="21"/>
        </w:rPr>
        <w:t>因此，本标准的编制和实施可以为全面提升工业企业的温室气体排放数据质量提供重要的技术支撑，</w:t>
      </w:r>
      <w:r w:rsidRPr="00CA314A">
        <w:rPr>
          <w:rFonts w:hint="eastAsia"/>
          <w:szCs w:val="21"/>
        </w:rPr>
        <w:t>而且还将</w:t>
      </w:r>
      <w:proofErr w:type="gramStart"/>
      <w:r w:rsidRPr="00CA314A">
        <w:rPr>
          <w:rFonts w:hint="eastAsia"/>
          <w:szCs w:val="21"/>
        </w:rPr>
        <w:t>对碳排放权</w:t>
      </w:r>
      <w:proofErr w:type="gramEnd"/>
      <w:r w:rsidRPr="00CA314A">
        <w:rPr>
          <w:rFonts w:hint="eastAsia"/>
          <w:szCs w:val="21"/>
        </w:rPr>
        <w:t>交易试点工作提供保障作用，提高</w:t>
      </w:r>
      <w:proofErr w:type="gramStart"/>
      <w:r w:rsidRPr="00CA314A">
        <w:rPr>
          <w:rFonts w:hint="eastAsia"/>
          <w:szCs w:val="21"/>
        </w:rPr>
        <w:t>碳交易</w:t>
      </w:r>
      <w:proofErr w:type="gramEnd"/>
      <w:r w:rsidRPr="00CA314A">
        <w:rPr>
          <w:rFonts w:hint="eastAsia"/>
          <w:szCs w:val="21"/>
        </w:rPr>
        <w:t>市场中的公平性。</w:t>
      </w:r>
    </w:p>
    <w:p w:rsidR="00414BD9" w:rsidRPr="00414BD9" w:rsidRDefault="00414BD9" w:rsidP="00414BD9">
      <w:pPr>
        <w:pStyle w:val="aff3"/>
        <w:sectPr w:rsidR="00414BD9" w:rsidRPr="00414BD9" w:rsidSect="00414BD9">
          <w:headerReference w:type="default" r:id="rId11"/>
          <w:footerReference w:type="default" r:id="rId12"/>
          <w:pgSz w:w="11906" w:h="16838" w:code="9"/>
          <w:pgMar w:top="567" w:right="1134" w:bottom="1134" w:left="1418" w:header="1418" w:footer="1134" w:gutter="0"/>
          <w:pgNumType w:fmt="upperRoman" w:start="1"/>
          <w:cols w:space="425"/>
          <w:formProt w:val="0"/>
          <w:docGrid w:type="lines" w:linePitch="312"/>
        </w:sectPr>
      </w:pPr>
    </w:p>
    <w:bookmarkStart w:id="22" w:name="_Toc9924481"/>
    <w:p w:rsidR="00F34B99" w:rsidRPr="00B74441" w:rsidRDefault="00A11229" w:rsidP="00414BD9">
      <w:pPr>
        <w:pStyle w:val="aff6"/>
      </w:pPr>
      <w:sdt>
        <w:sdtPr>
          <w:alias w:val="标准名称"/>
          <w:tag w:val="标准名称"/>
          <w:id w:val="1795105741"/>
          <w:lock w:val="sdtLocked"/>
          <w:placeholder>
            <w:docPart w:val="111"/>
          </w:placeholder>
          <w:text w:multiLine="1"/>
        </w:sdtPr>
        <w:sdtEndPr/>
        <w:sdtContent>
          <w:r w:rsidR="004212C2" w:rsidRPr="004212C2">
            <w:rPr>
              <w:rFonts w:hint="eastAsia"/>
            </w:rPr>
            <w:t>工业企业温室气体排放数据质量管理技术规范</w:t>
          </w:r>
        </w:sdtContent>
      </w:sdt>
      <w:bookmarkStart w:id="23" w:name="StandardName"/>
      <w:bookmarkEnd w:id="22"/>
      <w:bookmarkEnd w:id="23"/>
    </w:p>
    <w:p w:rsidR="004200D9" w:rsidRDefault="00F34B99" w:rsidP="004200D9">
      <w:pPr>
        <w:pStyle w:val="a1"/>
        <w:spacing w:before="312" w:after="312"/>
      </w:pPr>
      <w:bookmarkStart w:id="24" w:name="_Toc527969692"/>
      <w:bookmarkStart w:id="25" w:name="_Toc9924482"/>
      <w:r>
        <w:rPr>
          <w:rFonts w:hint="eastAsia"/>
        </w:rPr>
        <w:t>范围</w:t>
      </w:r>
      <w:bookmarkEnd w:id="24"/>
      <w:bookmarkEnd w:id="25"/>
    </w:p>
    <w:p w:rsidR="00EE7D6F" w:rsidRDefault="004212C2" w:rsidP="004212C2">
      <w:pPr>
        <w:pStyle w:val="aff3"/>
      </w:pPr>
      <w:r>
        <w:rPr>
          <w:rFonts w:hint="eastAsia"/>
        </w:rPr>
        <w:t>本标准</w:t>
      </w:r>
      <w:r w:rsidR="00EE7D6F">
        <w:rPr>
          <w:rFonts w:hint="eastAsia"/>
        </w:rPr>
        <w:t>规定了</w:t>
      </w:r>
      <w:r w:rsidR="00EE7D6F" w:rsidRPr="00EE7D6F">
        <w:rPr>
          <w:rFonts w:hint="eastAsia"/>
        </w:rPr>
        <w:t>工业企业温室气体排放数据质量管理技术</w:t>
      </w:r>
      <w:r w:rsidR="00EE7D6F">
        <w:rPr>
          <w:rFonts w:hint="eastAsia"/>
        </w:rPr>
        <w:t>相关的术语和定义、温室气体数据管理概述、排放源等级划分、数据质量管理方案制定和数据质量管理方案等内容。</w:t>
      </w:r>
    </w:p>
    <w:p w:rsidR="0090690F" w:rsidRPr="0090690F" w:rsidRDefault="004212C2" w:rsidP="004212C2">
      <w:pPr>
        <w:pStyle w:val="aff3"/>
      </w:pPr>
      <w:r>
        <w:rPr>
          <w:rFonts w:hint="eastAsia"/>
        </w:rPr>
        <w:t>本标准适用于中国境内具有法人资格的或视同具有法人资格的工业企业。同时也可为节能减排目标考核及其他监管工作提供依据。</w:t>
      </w:r>
    </w:p>
    <w:p w:rsidR="00F34B99" w:rsidRDefault="00F34B99" w:rsidP="003234E0">
      <w:pPr>
        <w:pStyle w:val="a1"/>
        <w:spacing w:before="312" w:after="312"/>
      </w:pPr>
      <w:bookmarkStart w:id="26" w:name="_Toc527969693"/>
      <w:bookmarkStart w:id="27" w:name="_Toc9924483"/>
      <w:r>
        <w:rPr>
          <w:rFonts w:hint="eastAsia"/>
        </w:rPr>
        <w:t>规范性引用文件</w:t>
      </w:r>
      <w:bookmarkEnd w:id="26"/>
      <w:bookmarkEnd w:id="27"/>
    </w:p>
    <w:p w:rsidR="008805AC" w:rsidRDefault="002527DD" w:rsidP="008805AC">
      <w:pPr>
        <w:pStyle w:val="aff3"/>
      </w:pPr>
      <w:r>
        <w:rPr>
          <w:rFonts w:hint="eastAsia"/>
        </w:rPr>
        <w:t>下列文件对于本文件的应用是必不可少的。凡是注日期的引用文件，仅</w:t>
      </w:r>
      <w:r w:rsidR="00F34B99">
        <w:rPr>
          <w:rFonts w:hint="eastAsia"/>
        </w:rPr>
        <w:t>注日期的版本适用于本文件。凡是不注日期的引用文件，其最新版本（包括所有的修改单）适用于本文件。</w:t>
      </w:r>
    </w:p>
    <w:p w:rsidR="004212C2" w:rsidRPr="00DD43BF" w:rsidRDefault="004212C2" w:rsidP="004212C2">
      <w:pPr>
        <w:pStyle w:val="aff3"/>
        <w:rPr>
          <w:rFonts w:ascii="Times New Roman"/>
        </w:rPr>
      </w:pPr>
      <w:bookmarkStart w:id="28" w:name="_Hlk8908212"/>
      <w:r w:rsidRPr="00DD43BF">
        <w:rPr>
          <w:rFonts w:ascii="Times New Roman" w:hint="eastAsia"/>
        </w:rPr>
        <w:t>GB</w:t>
      </w:r>
      <w:r w:rsidR="000B7F21" w:rsidRPr="00DD43BF">
        <w:rPr>
          <w:rFonts w:ascii="Times New Roman"/>
        </w:rPr>
        <w:t xml:space="preserve"> </w:t>
      </w:r>
      <w:r w:rsidRPr="00DD43BF">
        <w:rPr>
          <w:rFonts w:ascii="Times New Roman" w:hint="eastAsia"/>
        </w:rPr>
        <w:t xml:space="preserve">17167  </w:t>
      </w:r>
      <w:r w:rsidRPr="00DD43BF">
        <w:rPr>
          <w:rFonts w:ascii="Times New Roman" w:hint="eastAsia"/>
        </w:rPr>
        <w:t>用能单位能源计量器具配备和管理通则</w:t>
      </w:r>
      <w:bookmarkEnd w:id="28"/>
    </w:p>
    <w:p w:rsidR="00CC4AB1" w:rsidRPr="00DD43BF" w:rsidRDefault="00CC4AB1" w:rsidP="004212C2">
      <w:pPr>
        <w:pStyle w:val="aff3"/>
        <w:rPr>
          <w:rFonts w:ascii="Times New Roman"/>
        </w:rPr>
      </w:pPr>
      <w:bookmarkStart w:id="29" w:name="_Hlk9925487"/>
      <w:r w:rsidRPr="00DD43BF">
        <w:rPr>
          <w:rFonts w:ascii="Times New Roman" w:hint="eastAsia"/>
        </w:rPr>
        <w:t xml:space="preserve">GB/T 32150 </w:t>
      </w:r>
      <w:r w:rsidRPr="00DD43BF">
        <w:rPr>
          <w:rFonts w:ascii="Times New Roman" w:hint="eastAsia"/>
        </w:rPr>
        <w:t>工业企业温室气体排放核算和报告通则</w:t>
      </w:r>
    </w:p>
    <w:p w:rsidR="004212C2" w:rsidRPr="00DD43BF" w:rsidRDefault="004212C2" w:rsidP="004212C2">
      <w:pPr>
        <w:pStyle w:val="aff3"/>
        <w:rPr>
          <w:rFonts w:ascii="Times New Roman"/>
        </w:rPr>
      </w:pPr>
      <w:bookmarkStart w:id="30" w:name="_Hlk8908231"/>
      <w:bookmarkEnd w:id="29"/>
      <w:r w:rsidRPr="00DD43BF">
        <w:rPr>
          <w:rFonts w:ascii="Times New Roman" w:hint="eastAsia"/>
        </w:rPr>
        <w:t>ISO 14064-1</w:t>
      </w:r>
      <w:r w:rsidRPr="00DD43BF">
        <w:rPr>
          <w:rFonts w:ascii="Times New Roman" w:hint="eastAsia"/>
        </w:rPr>
        <w:t>温室气体第</w:t>
      </w:r>
      <w:r w:rsidRPr="00DD43BF">
        <w:rPr>
          <w:rFonts w:ascii="Times New Roman" w:hint="eastAsia"/>
        </w:rPr>
        <w:t xml:space="preserve"> 1</w:t>
      </w:r>
      <w:r w:rsidRPr="00DD43BF">
        <w:rPr>
          <w:rFonts w:ascii="Times New Roman" w:hint="eastAsia"/>
        </w:rPr>
        <w:t>部分组织层次上对温室气体排放和清除的量化与报告的规范及指南（</w:t>
      </w:r>
      <w:r w:rsidRPr="00DD43BF">
        <w:rPr>
          <w:rFonts w:ascii="Times New Roman" w:hint="eastAsia"/>
        </w:rPr>
        <w:t xml:space="preserve">Greenhouse gases </w:t>
      </w:r>
      <w:r w:rsidRPr="00DD43BF">
        <w:rPr>
          <w:rFonts w:ascii="Times New Roman" w:hint="eastAsia"/>
        </w:rPr>
        <w:t>—</w:t>
      </w:r>
      <w:r w:rsidR="00DD43BF" w:rsidRPr="00DD43BF">
        <w:rPr>
          <w:rFonts w:ascii="Times New Roman" w:hint="eastAsia"/>
        </w:rPr>
        <w:t xml:space="preserve"> </w:t>
      </w:r>
      <w:r w:rsidRPr="00DD43BF">
        <w:rPr>
          <w:rFonts w:ascii="Times New Roman" w:hint="eastAsia"/>
        </w:rPr>
        <w:t>Part 1: Specification with guidance at the organization level for quantification and reporting of greenhouse gas emissions and removals</w:t>
      </w:r>
      <w:r w:rsidRPr="00DD43BF">
        <w:rPr>
          <w:rFonts w:ascii="Times New Roman" w:hint="eastAsia"/>
        </w:rPr>
        <w:t>）</w:t>
      </w:r>
    </w:p>
    <w:p w:rsidR="00414BD9" w:rsidRPr="00DD43BF" w:rsidRDefault="004212C2" w:rsidP="00183FE1">
      <w:pPr>
        <w:pStyle w:val="a1"/>
        <w:spacing w:before="312" w:after="312"/>
        <w:rPr>
          <w:rFonts w:ascii="Times New Roman"/>
        </w:rPr>
      </w:pPr>
      <w:bookmarkStart w:id="31" w:name="_Toc527969694"/>
      <w:bookmarkStart w:id="32" w:name="_Toc9924484"/>
      <w:bookmarkEnd w:id="30"/>
      <w:bookmarkEnd w:id="31"/>
      <w:r w:rsidRPr="00DD43BF">
        <w:rPr>
          <w:rFonts w:ascii="Times New Roman" w:hint="eastAsia"/>
        </w:rPr>
        <w:t>术语和定义</w:t>
      </w:r>
      <w:bookmarkStart w:id="33" w:name="_GoBack"/>
      <w:bookmarkEnd w:id="32"/>
      <w:bookmarkEnd w:id="33"/>
    </w:p>
    <w:p w:rsidR="004212C2" w:rsidRPr="00DD43BF" w:rsidRDefault="00EC3D37" w:rsidP="004212C2">
      <w:pPr>
        <w:pStyle w:val="aff3"/>
        <w:rPr>
          <w:rFonts w:ascii="Times New Roman"/>
        </w:rPr>
      </w:pPr>
      <w:r w:rsidRPr="00DD43BF">
        <w:rPr>
          <w:rFonts w:ascii="Times New Roman" w:hint="eastAsia"/>
        </w:rPr>
        <w:t>GB/T 32150</w:t>
      </w:r>
      <w:r w:rsidRPr="00DD43BF">
        <w:rPr>
          <w:rFonts w:ascii="Times New Roman" w:hint="eastAsia"/>
        </w:rPr>
        <w:t>界定的以及下列术语和定义适用于本文件。为了方便使用，以下重复列出了</w:t>
      </w:r>
      <w:r w:rsidRPr="00DD43BF">
        <w:rPr>
          <w:rFonts w:ascii="Times New Roman" w:hint="eastAsia"/>
        </w:rPr>
        <w:t>GB/T 32150</w:t>
      </w:r>
      <w:r w:rsidRPr="00DD43BF">
        <w:rPr>
          <w:rFonts w:ascii="Times New Roman" w:hint="eastAsia"/>
        </w:rPr>
        <w:t>中的某些术语和定义。</w:t>
      </w:r>
    </w:p>
    <w:p w:rsidR="00EC3D37" w:rsidRPr="00EC3D37" w:rsidRDefault="00EC3D37" w:rsidP="003E6AB8">
      <w:pPr>
        <w:widowControl/>
        <w:numPr>
          <w:ilvl w:val="1"/>
          <w:numId w:val="8"/>
        </w:numPr>
        <w:spacing w:beforeLines="50" w:before="156" w:afterLines="50" w:after="156"/>
        <w:jc w:val="left"/>
        <w:rPr>
          <w:rFonts w:eastAsia="黑体"/>
          <w:kern w:val="0"/>
          <w:szCs w:val="21"/>
        </w:rPr>
      </w:pPr>
    </w:p>
    <w:p w:rsidR="00EC3D37" w:rsidRPr="00EC3D37" w:rsidRDefault="00EC3D37" w:rsidP="00EC3D37">
      <w:pPr>
        <w:widowControl/>
        <w:spacing w:beforeLines="50" w:before="156" w:afterLines="50" w:after="156"/>
        <w:ind w:firstLineChars="200" w:firstLine="420"/>
        <w:jc w:val="left"/>
        <w:rPr>
          <w:rFonts w:eastAsia="黑体"/>
          <w:kern w:val="0"/>
          <w:szCs w:val="21"/>
        </w:rPr>
      </w:pPr>
      <w:r w:rsidRPr="00EC3D37">
        <w:rPr>
          <w:rFonts w:eastAsia="黑体" w:hint="eastAsia"/>
          <w:kern w:val="0"/>
          <w:szCs w:val="21"/>
        </w:rPr>
        <w:t>数据质量管理体系</w:t>
      </w:r>
      <w:r w:rsidRPr="00EC3D37">
        <w:rPr>
          <w:rFonts w:eastAsia="黑体" w:hint="eastAsia"/>
          <w:kern w:val="0"/>
          <w:szCs w:val="21"/>
        </w:rPr>
        <w:t xml:space="preserve"> </w:t>
      </w:r>
      <w:r w:rsidRPr="00EC3D37">
        <w:rPr>
          <w:rFonts w:eastAsia="黑体" w:hint="eastAsia"/>
          <w:b/>
          <w:kern w:val="0"/>
          <w:szCs w:val="21"/>
        </w:rPr>
        <w:t>data quality management system</w:t>
      </w:r>
    </w:p>
    <w:p w:rsidR="00EC3D37" w:rsidRDefault="00EC3D37" w:rsidP="004212C2">
      <w:pPr>
        <w:pStyle w:val="aff3"/>
        <w:rPr>
          <w:rFonts w:ascii="Times New Roman"/>
          <w:noProof w:val="0"/>
          <w:kern w:val="2"/>
          <w:szCs w:val="24"/>
        </w:rPr>
      </w:pPr>
      <w:r w:rsidRPr="00EC3D37">
        <w:rPr>
          <w:rFonts w:ascii="Times New Roman" w:hint="eastAsia"/>
          <w:noProof w:val="0"/>
          <w:kern w:val="2"/>
          <w:szCs w:val="24"/>
        </w:rPr>
        <w:t>为了规范数据质量管理工作并有效提高数据质量，工业企业进行的排放源等级划分、数据质量管理方案制定和数据质量管理方案改进等一系列相互关联的活动的总称。</w:t>
      </w:r>
    </w:p>
    <w:p w:rsidR="00EC3D37" w:rsidRPr="00EC3D37" w:rsidRDefault="00EC3D37" w:rsidP="003E6AB8">
      <w:pPr>
        <w:widowControl/>
        <w:numPr>
          <w:ilvl w:val="1"/>
          <w:numId w:val="8"/>
        </w:numPr>
        <w:spacing w:beforeLines="50" w:before="156" w:afterLines="50" w:after="156"/>
        <w:jc w:val="left"/>
        <w:rPr>
          <w:rFonts w:eastAsia="黑体"/>
          <w:kern w:val="0"/>
          <w:szCs w:val="21"/>
        </w:rPr>
      </w:pPr>
    </w:p>
    <w:p w:rsidR="00EC3D37" w:rsidRPr="00EC3D37" w:rsidRDefault="00EC3D37" w:rsidP="00EC3D37">
      <w:pPr>
        <w:spacing w:beforeLines="50" w:before="156" w:afterLines="50" w:after="156"/>
        <w:ind w:firstLineChars="200" w:firstLine="420"/>
        <w:rPr>
          <w:rFonts w:eastAsia="黑体"/>
          <w:b/>
        </w:rPr>
      </w:pPr>
      <w:r w:rsidRPr="00EC3D37">
        <w:rPr>
          <w:rFonts w:eastAsia="黑体" w:hint="eastAsia"/>
        </w:rPr>
        <w:t>排放源等级</w:t>
      </w:r>
      <w:r w:rsidRPr="00EC3D37">
        <w:rPr>
          <w:rFonts w:eastAsia="黑体" w:hint="eastAsia"/>
          <w:b/>
        </w:rPr>
        <w:t xml:space="preserve"> tier of emission sources</w:t>
      </w:r>
    </w:p>
    <w:p w:rsidR="00EC3D37" w:rsidRDefault="00EC3D37" w:rsidP="00EC3D37">
      <w:pPr>
        <w:pStyle w:val="aff3"/>
        <w:rPr>
          <w:rFonts w:ascii="Times New Roman"/>
          <w:noProof w:val="0"/>
          <w:kern w:val="2"/>
          <w:szCs w:val="24"/>
        </w:rPr>
      </w:pPr>
      <w:r w:rsidRPr="00EC3D37">
        <w:rPr>
          <w:rFonts w:ascii="Times New Roman" w:hint="eastAsia"/>
          <w:noProof w:val="0"/>
          <w:kern w:val="2"/>
          <w:szCs w:val="24"/>
        </w:rPr>
        <w:t>根据工业企业内部涵盖的温室气体排放源的重要程度进行合理分级。</w:t>
      </w:r>
    </w:p>
    <w:p w:rsidR="00EC3D37" w:rsidRPr="00EC3D37" w:rsidRDefault="00EC3D37" w:rsidP="003E6AB8">
      <w:pPr>
        <w:widowControl/>
        <w:numPr>
          <w:ilvl w:val="1"/>
          <w:numId w:val="8"/>
        </w:numPr>
        <w:spacing w:beforeLines="50" w:before="156" w:afterLines="50" w:after="156"/>
        <w:jc w:val="left"/>
        <w:rPr>
          <w:rFonts w:eastAsia="黑体"/>
          <w:kern w:val="0"/>
          <w:szCs w:val="21"/>
        </w:rPr>
      </w:pPr>
    </w:p>
    <w:p w:rsidR="00EC3D37" w:rsidRPr="00EC3D37" w:rsidRDefault="00EC3D37" w:rsidP="00EC3D37">
      <w:pPr>
        <w:spacing w:beforeLines="50" w:before="156" w:afterLines="50" w:after="156"/>
        <w:ind w:firstLineChars="200" w:firstLine="420"/>
        <w:rPr>
          <w:rFonts w:eastAsia="黑体"/>
        </w:rPr>
      </w:pPr>
      <w:r w:rsidRPr="00EC3D37">
        <w:rPr>
          <w:rFonts w:eastAsia="黑体" w:hint="eastAsia"/>
        </w:rPr>
        <w:t>重点排放设施</w:t>
      </w:r>
      <w:r w:rsidRPr="00EC3D37">
        <w:rPr>
          <w:rFonts w:eastAsia="黑体" w:hint="eastAsia"/>
        </w:rPr>
        <w:t xml:space="preserve"> </w:t>
      </w:r>
      <w:r w:rsidRPr="00EC3D37">
        <w:rPr>
          <w:rFonts w:eastAsia="黑体" w:hint="eastAsia"/>
          <w:b/>
        </w:rPr>
        <w:t>key emission facilities</w:t>
      </w:r>
    </w:p>
    <w:p w:rsidR="00EC3D37" w:rsidRPr="00EC3D37" w:rsidRDefault="00EC3D37" w:rsidP="00EC3D37">
      <w:pPr>
        <w:pStyle w:val="aff3"/>
        <w:spacing w:before="120" w:after="120"/>
        <w:rPr>
          <w:rFonts w:ascii="Times New Roman"/>
          <w:noProof w:val="0"/>
          <w:kern w:val="2"/>
          <w:szCs w:val="24"/>
        </w:rPr>
      </w:pPr>
      <w:r w:rsidRPr="00EC3D37">
        <w:rPr>
          <w:rFonts w:ascii="Times New Roman" w:hint="eastAsia"/>
          <w:noProof w:val="0"/>
          <w:kern w:val="2"/>
          <w:szCs w:val="24"/>
        </w:rPr>
        <w:t>企业报告边界内部存在的和主要生产过程相关的温室气体排放设备。</w:t>
      </w:r>
    </w:p>
    <w:p w:rsidR="00EC3D37" w:rsidRDefault="00EC3D37" w:rsidP="00EC3D37">
      <w:pPr>
        <w:pStyle w:val="aff3"/>
        <w:spacing w:before="120" w:after="120"/>
        <w:ind w:firstLine="360"/>
        <w:rPr>
          <w:rFonts w:ascii="Times New Roman"/>
          <w:noProof w:val="0"/>
          <w:kern w:val="2"/>
          <w:sz w:val="18"/>
          <w:szCs w:val="18"/>
        </w:rPr>
      </w:pPr>
      <w:r w:rsidRPr="00EC3D37">
        <w:rPr>
          <w:rFonts w:ascii="Times New Roman" w:hint="eastAsia"/>
          <w:noProof w:val="0"/>
          <w:kern w:val="2"/>
          <w:sz w:val="18"/>
          <w:szCs w:val="18"/>
        </w:rPr>
        <w:t>注：参考</w:t>
      </w:r>
      <w:r w:rsidRPr="00EC3D37">
        <w:rPr>
          <w:rFonts w:ascii="Times New Roman" w:hint="eastAsia"/>
          <w:noProof w:val="0"/>
          <w:kern w:val="2"/>
          <w:sz w:val="18"/>
          <w:szCs w:val="18"/>
        </w:rPr>
        <w:t xml:space="preserve">ISO 14064-1 </w:t>
      </w:r>
      <w:r w:rsidRPr="00EC3D37">
        <w:rPr>
          <w:rFonts w:ascii="Times New Roman" w:hint="eastAsia"/>
          <w:noProof w:val="0"/>
          <w:kern w:val="2"/>
          <w:sz w:val="18"/>
          <w:szCs w:val="18"/>
        </w:rPr>
        <w:t>定义</w:t>
      </w:r>
      <w:r w:rsidRPr="00EC3D37">
        <w:rPr>
          <w:rFonts w:ascii="Times New Roman" w:hint="eastAsia"/>
          <w:noProof w:val="0"/>
          <w:kern w:val="2"/>
          <w:sz w:val="18"/>
          <w:szCs w:val="18"/>
        </w:rPr>
        <w:t>2.21</w:t>
      </w:r>
      <w:r w:rsidRPr="00EC3D37">
        <w:rPr>
          <w:rFonts w:ascii="Times New Roman" w:hint="eastAsia"/>
          <w:noProof w:val="0"/>
          <w:kern w:val="2"/>
          <w:sz w:val="18"/>
          <w:szCs w:val="18"/>
        </w:rPr>
        <w:t>。例如发电锅炉、水泥窑等。</w:t>
      </w:r>
    </w:p>
    <w:p w:rsidR="00A72C32" w:rsidRDefault="00A72C32" w:rsidP="00EC3D37">
      <w:pPr>
        <w:pStyle w:val="aff3"/>
        <w:spacing w:before="120" w:after="120"/>
        <w:ind w:firstLine="360"/>
        <w:rPr>
          <w:rFonts w:ascii="Times New Roman"/>
          <w:noProof w:val="0"/>
          <w:kern w:val="2"/>
          <w:sz w:val="18"/>
          <w:szCs w:val="18"/>
        </w:rPr>
      </w:pPr>
    </w:p>
    <w:p w:rsidR="00EC3D37" w:rsidRPr="00EC3D37" w:rsidRDefault="00EC3D37" w:rsidP="003E6AB8">
      <w:pPr>
        <w:widowControl/>
        <w:numPr>
          <w:ilvl w:val="1"/>
          <w:numId w:val="8"/>
        </w:numPr>
        <w:spacing w:beforeLines="50" w:before="156" w:afterLines="50" w:after="156"/>
        <w:jc w:val="left"/>
        <w:rPr>
          <w:rFonts w:eastAsia="黑体"/>
          <w:kern w:val="0"/>
          <w:szCs w:val="21"/>
        </w:rPr>
      </w:pPr>
    </w:p>
    <w:p w:rsidR="00A72C32" w:rsidRPr="00EC3D37" w:rsidRDefault="00A72C32" w:rsidP="00A72C32">
      <w:pPr>
        <w:widowControl/>
        <w:tabs>
          <w:tab w:val="center" w:pos="4201"/>
          <w:tab w:val="right" w:leader="dot" w:pos="9298"/>
        </w:tabs>
        <w:autoSpaceDE w:val="0"/>
        <w:autoSpaceDN w:val="0"/>
        <w:spacing w:beforeLines="50" w:before="156" w:afterLines="50" w:after="156"/>
        <w:ind w:firstLineChars="200" w:firstLine="420"/>
        <w:rPr>
          <w:rFonts w:eastAsia="黑体"/>
          <w:b/>
          <w:noProof/>
          <w:kern w:val="0"/>
          <w:szCs w:val="30"/>
        </w:rPr>
      </w:pPr>
      <w:r w:rsidRPr="00276B56">
        <w:rPr>
          <w:rFonts w:eastAsia="黑体" w:hAnsi="黑体" w:hint="eastAsia"/>
        </w:rPr>
        <w:t>活动数据</w:t>
      </w:r>
      <w:r w:rsidRPr="00276B56">
        <w:rPr>
          <w:rFonts w:eastAsia="黑体" w:hAnsi="黑体"/>
        </w:rPr>
        <w:t xml:space="preserve"> </w:t>
      </w:r>
      <w:r w:rsidRPr="00A72C32">
        <w:rPr>
          <w:rFonts w:eastAsia="黑体" w:hAnsi="黑体" w:hint="eastAsia"/>
          <w:b/>
        </w:rPr>
        <w:t>a</w:t>
      </w:r>
      <w:r w:rsidRPr="00A72C32">
        <w:rPr>
          <w:rFonts w:eastAsia="黑体" w:hAnsi="黑体"/>
          <w:b/>
        </w:rPr>
        <w:t xml:space="preserve">ctivity </w:t>
      </w:r>
      <w:r w:rsidRPr="00A72C32">
        <w:rPr>
          <w:rFonts w:eastAsia="黑体" w:hAnsi="黑体" w:hint="eastAsia"/>
          <w:b/>
        </w:rPr>
        <w:t>d</w:t>
      </w:r>
      <w:r w:rsidRPr="00A72C32">
        <w:rPr>
          <w:rFonts w:eastAsia="黑体" w:hAnsi="黑体"/>
          <w:b/>
        </w:rPr>
        <w:t>ata</w:t>
      </w:r>
    </w:p>
    <w:p w:rsidR="00F8368C" w:rsidRDefault="00F8368C" w:rsidP="001D19AE">
      <w:pPr>
        <w:pStyle w:val="aff3"/>
        <w:spacing w:after="120"/>
        <w:ind w:firstLineChars="0"/>
        <w:rPr>
          <w:rFonts w:hAnsi="宋体"/>
          <w:noProof w:val="0"/>
          <w:kern w:val="2"/>
          <w:szCs w:val="28"/>
        </w:rPr>
      </w:pPr>
      <w:r w:rsidRPr="00F8368C">
        <w:rPr>
          <w:rFonts w:hAnsi="宋体" w:hint="eastAsia"/>
          <w:noProof w:val="0"/>
          <w:kern w:val="2"/>
          <w:szCs w:val="28"/>
        </w:rPr>
        <w:t>导致温室气体排放的生产或消费活动量的表征值。</w:t>
      </w:r>
    </w:p>
    <w:p w:rsidR="00F8368C" w:rsidRDefault="00F8368C" w:rsidP="001D19AE">
      <w:pPr>
        <w:pStyle w:val="aff3"/>
        <w:spacing w:after="120"/>
        <w:ind w:firstLineChars="0"/>
        <w:rPr>
          <w:rFonts w:hAnsi="宋体"/>
          <w:noProof w:val="0"/>
          <w:kern w:val="2"/>
          <w:szCs w:val="28"/>
        </w:rPr>
      </w:pPr>
      <w:r w:rsidRPr="00C2398B">
        <w:rPr>
          <w:rFonts w:ascii="Times New Roman"/>
          <w:color w:val="000000"/>
        </w:rPr>
        <w:t>[GB/T 32150-2015</w:t>
      </w:r>
      <w:r w:rsidRPr="00C2398B">
        <w:rPr>
          <w:rFonts w:ascii="Times New Roman"/>
          <w:color w:val="000000"/>
        </w:rPr>
        <w:t>，定义</w:t>
      </w:r>
      <w:r w:rsidRPr="00C2398B">
        <w:rPr>
          <w:rFonts w:ascii="Times New Roman"/>
          <w:color w:val="000000"/>
        </w:rPr>
        <w:t>3.12]</w:t>
      </w:r>
    </w:p>
    <w:p w:rsidR="00A72C32" w:rsidRDefault="00F8368C" w:rsidP="00F8368C">
      <w:pPr>
        <w:spacing w:before="120" w:after="120"/>
        <w:ind w:firstLineChars="200" w:firstLine="360"/>
        <w:rPr>
          <w:noProof/>
          <w:kern w:val="0"/>
          <w:sz w:val="18"/>
          <w:szCs w:val="18"/>
        </w:rPr>
      </w:pPr>
      <w:r w:rsidRPr="00F8368C">
        <w:rPr>
          <w:rFonts w:hint="eastAsia"/>
          <w:noProof/>
          <w:kern w:val="0"/>
          <w:sz w:val="18"/>
          <w:szCs w:val="18"/>
        </w:rPr>
        <w:t>注：如各种化石燃料的消耗量、碳酸盐等原材料的使用量、购入和输出的电量、热量等。</w:t>
      </w:r>
    </w:p>
    <w:p w:rsidR="00F8368C" w:rsidRPr="00F8368C" w:rsidRDefault="00F8368C" w:rsidP="00F8368C">
      <w:pPr>
        <w:widowControl/>
        <w:numPr>
          <w:ilvl w:val="1"/>
          <w:numId w:val="8"/>
        </w:numPr>
        <w:spacing w:beforeLines="50" w:before="156" w:afterLines="50" w:after="156"/>
        <w:jc w:val="left"/>
        <w:rPr>
          <w:rFonts w:eastAsia="黑体"/>
          <w:kern w:val="0"/>
          <w:szCs w:val="21"/>
        </w:rPr>
      </w:pPr>
    </w:p>
    <w:p w:rsidR="00A72C32" w:rsidRDefault="00A72C32" w:rsidP="00A72C32">
      <w:pPr>
        <w:spacing w:before="120" w:after="120"/>
        <w:ind w:firstLineChars="200" w:firstLine="420"/>
        <w:rPr>
          <w:rFonts w:eastAsia="黑体"/>
          <w:kern w:val="0"/>
          <w:szCs w:val="21"/>
        </w:rPr>
      </w:pPr>
      <w:bookmarkStart w:id="34" w:name="_Hlk8911945"/>
      <w:r w:rsidRPr="00A72C32">
        <w:rPr>
          <w:rFonts w:eastAsia="黑体" w:hint="eastAsia"/>
          <w:kern w:val="0"/>
          <w:szCs w:val="21"/>
        </w:rPr>
        <w:t>温室气体排放因子及计算参数</w:t>
      </w:r>
      <w:bookmarkEnd w:id="34"/>
      <w:r w:rsidRPr="00A72C32">
        <w:rPr>
          <w:rFonts w:eastAsia="黑体" w:hint="eastAsia"/>
          <w:kern w:val="0"/>
          <w:szCs w:val="21"/>
        </w:rPr>
        <w:t xml:space="preserve"> </w:t>
      </w:r>
      <w:r w:rsidRPr="00A72C32">
        <w:rPr>
          <w:rFonts w:eastAsia="黑体" w:hint="eastAsia"/>
          <w:b/>
          <w:kern w:val="0"/>
          <w:szCs w:val="21"/>
        </w:rPr>
        <w:t>greenhouse gases emission factor &amp; calculation factor</w:t>
      </w:r>
    </w:p>
    <w:p w:rsidR="00A72C32" w:rsidRPr="00CA314A" w:rsidRDefault="00A72C32" w:rsidP="00A72C32">
      <w:pPr>
        <w:pStyle w:val="affffffb"/>
        <w:spacing w:before="120" w:after="120"/>
        <w:ind w:firstLineChars="200" w:firstLine="420"/>
        <w:rPr>
          <w:rFonts w:ascii="宋体" w:hAnsi="宋体"/>
          <w:szCs w:val="28"/>
        </w:rPr>
      </w:pPr>
      <w:r w:rsidRPr="00CA314A">
        <w:rPr>
          <w:rFonts w:ascii="宋体" w:hAnsi="宋体" w:hint="eastAsia"/>
          <w:szCs w:val="28"/>
        </w:rPr>
        <w:t>每单位活动水平的温室气体排放量的系数及相关计算参数，通常基于抽样测量或统计分析获得。</w:t>
      </w:r>
    </w:p>
    <w:p w:rsidR="00A72C32" w:rsidRDefault="00A72C32" w:rsidP="00A72C32">
      <w:pPr>
        <w:pStyle w:val="aff3"/>
        <w:spacing w:after="120"/>
        <w:ind w:firstLineChars="0"/>
        <w:rPr>
          <w:rFonts w:ascii="Times New Roman"/>
          <w:sz w:val="18"/>
          <w:szCs w:val="18"/>
        </w:rPr>
      </w:pPr>
      <w:r w:rsidRPr="006D0B6D">
        <w:rPr>
          <w:rFonts w:ascii="Times New Roman" w:hint="eastAsia"/>
          <w:sz w:val="18"/>
          <w:szCs w:val="18"/>
        </w:rPr>
        <w:t>注：例如</w:t>
      </w:r>
      <w:r>
        <w:rPr>
          <w:rFonts w:ascii="Times New Roman" w:hint="eastAsia"/>
          <w:sz w:val="18"/>
          <w:szCs w:val="18"/>
        </w:rPr>
        <w:t>，</w:t>
      </w:r>
      <w:r w:rsidRPr="006D0B6D">
        <w:rPr>
          <w:rFonts w:ascii="Times New Roman" w:hint="eastAsia"/>
          <w:sz w:val="18"/>
          <w:szCs w:val="18"/>
        </w:rPr>
        <w:t>二氧化碳排放因子、含碳量、氧化率等数据。</w:t>
      </w:r>
    </w:p>
    <w:p w:rsidR="00A72C32" w:rsidRPr="004F46D3" w:rsidRDefault="00A72C32" w:rsidP="003E6AB8">
      <w:pPr>
        <w:pStyle w:val="affffffd"/>
        <w:numPr>
          <w:ilvl w:val="1"/>
          <w:numId w:val="8"/>
        </w:numPr>
        <w:spacing w:before="120" w:after="120"/>
        <w:ind w:firstLineChars="0"/>
      </w:pPr>
    </w:p>
    <w:p w:rsidR="00A72C32" w:rsidRPr="00A72C32" w:rsidRDefault="00A72C32" w:rsidP="00A72C32">
      <w:pPr>
        <w:pStyle w:val="aff3"/>
      </w:pPr>
      <w:r w:rsidRPr="00A72C32">
        <w:rPr>
          <w:rFonts w:ascii="Times New Roman" w:eastAsia="黑体" w:hint="eastAsia"/>
          <w:noProof w:val="0"/>
          <w:szCs w:val="21"/>
        </w:rPr>
        <w:t>数据源</w:t>
      </w:r>
      <w:r w:rsidRPr="00A72C32">
        <w:rPr>
          <w:rFonts w:ascii="Times New Roman" w:eastAsia="黑体" w:hint="eastAsia"/>
          <w:noProof w:val="0"/>
          <w:szCs w:val="21"/>
        </w:rPr>
        <w:t xml:space="preserve"> </w:t>
      </w:r>
      <w:r w:rsidRPr="00A72C32">
        <w:rPr>
          <w:rFonts w:ascii="Times New Roman" w:eastAsia="黑体" w:hint="eastAsia"/>
          <w:b/>
          <w:noProof w:val="0"/>
          <w:szCs w:val="21"/>
        </w:rPr>
        <w:t>data sources</w:t>
      </w:r>
    </w:p>
    <w:p w:rsidR="00A72C32" w:rsidRDefault="00A72C32" w:rsidP="00A72C32">
      <w:pPr>
        <w:pStyle w:val="affffffb"/>
        <w:spacing w:before="156" w:after="156"/>
        <w:ind w:firstLineChars="200" w:firstLine="420"/>
        <w:rPr>
          <w:rFonts w:hAnsi="宋体"/>
          <w:szCs w:val="28"/>
        </w:rPr>
      </w:pPr>
      <w:r w:rsidRPr="00CA314A">
        <w:rPr>
          <w:rFonts w:ascii="宋体" w:hAnsi="宋体" w:hint="eastAsia"/>
          <w:szCs w:val="28"/>
        </w:rPr>
        <w:t>用于温室气体核算的相关数据获取的来源。</w:t>
      </w:r>
    </w:p>
    <w:p w:rsidR="00A72C32" w:rsidRDefault="00A72C32" w:rsidP="00A72C32">
      <w:pPr>
        <w:pStyle w:val="aff3"/>
        <w:spacing w:after="120"/>
        <w:ind w:firstLine="360"/>
        <w:rPr>
          <w:rFonts w:hAnsi="宋体"/>
          <w:noProof w:val="0"/>
          <w:kern w:val="2"/>
          <w:sz w:val="18"/>
          <w:szCs w:val="18"/>
        </w:rPr>
      </w:pPr>
      <w:r w:rsidRPr="00284643">
        <w:rPr>
          <w:rFonts w:hAnsi="宋体" w:hint="eastAsia"/>
          <w:noProof w:val="0"/>
          <w:kern w:val="2"/>
          <w:sz w:val="18"/>
          <w:szCs w:val="18"/>
        </w:rPr>
        <w:t>注：例如原料结算单据上的购买数量、场内原料消耗量、企业内自测燃料低位发热量等。</w:t>
      </w:r>
    </w:p>
    <w:p w:rsidR="00A72C32" w:rsidRPr="00A72C32" w:rsidRDefault="00A72C32" w:rsidP="003E6AB8">
      <w:pPr>
        <w:widowControl/>
        <w:numPr>
          <w:ilvl w:val="1"/>
          <w:numId w:val="8"/>
        </w:numPr>
        <w:spacing w:beforeLines="50" w:before="156" w:afterLines="50" w:after="156"/>
        <w:jc w:val="left"/>
        <w:rPr>
          <w:rFonts w:eastAsia="黑体"/>
          <w:kern w:val="0"/>
          <w:szCs w:val="21"/>
        </w:rPr>
      </w:pPr>
    </w:p>
    <w:p w:rsidR="00A72C32" w:rsidRPr="00A72C32" w:rsidRDefault="00A72C32" w:rsidP="00A72C32">
      <w:pPr>
        <w:widowControl/>
        <w:spacing w:beforeLines="50" w:before="156" w:afterLines="50" w:after="156"/>
        <w:ind w:firstLineChars="200" w:firstLine="420"/>
        <w:jc w:val="left"/>
        <w:rPr>
          <w:rFonts w:eastAsia="黑体"/>
          <w:b/>
          <w:kern w:val="0"/>
          <w:szCs w:val="21"/>
        </w:rPr>
      </w:pPr>
      <w:bookmarkStart w:id="35" w:name="OLE_LINK1"/>
      <w:bookmarkStart w:id="36" w:name="OLE_LINK2"/>
      <w:r w:rsidRPr="00276B56">
        <w:rPr>
          <w:rFonts w:eastAsia="黑体" w:hAnsi="黑体" w:hint="eastAsia"/>
        </w:rPr>
        <w:t>数据流</w:t>
      </w:r>
      <w:r w:rsidRPr="00276B56">
        <w:rPr>
          <w:rFonts w:eastAsia="黑体" w:hAnsi="黑体"/>
        </w:rPr>
        <w:t xml:space="preserve"> </w:t>
      </w:r>
      <w:r w:rsidRPr="00A72C32">
        <w:rPr>
          <w:rFonts w:eastAsia="黑体" w:hAnsi="黑体" w:hint="eastAsia"/>
          <w:b/>
        </w:rPr>
        <w:t>d</w:t>
      </w:r>
      <w:r w:rsidRPr="00A72C32">
        <w:rPr>
          <w:rFonts w:eastAsia="黑体" w:hAnsi="黑体"/>
          <w:b/>
        </w:rPr>
        <w:t xml:space="preserve">ata </w:t>
      </w:r>
      <w:r w:rsidRPr="00A72C32">
        <w:rPr>
          <w:rFonts w:eastAsia="黑体" w:hAnsi="黑体" w:hint="eastAsia"/>
          <w:b/>
        </w:rPr>
        <w:t>f</w:t>
      </w:r>
      <w:r w:rsidRPr="00A72C32">
        <w:rPr>
          <w:rFonts w:eastAsia="黑体" w:hAnsi="黑体"/>
          <w:b/>
        </w:rPr>
        <w:t>low</w:t>
      </w:r>
    </w:p>
    <w:bookmarkEnd w:id="35"/>
    <w:bookmarkEnd w:id="36"/>
    <w:p w:rsidR="00A72C32" w:rsidRPr="00311C65" w:rsidRDefault="00A72C32" w:rsidP="00A72C32">
      <w:pPr>
        <w:pStyle w:val="affffffb"/>
        <w:spacing w:before="156" w:after="156"/>
        <w:ind w:firstLineChars="200" w:firstLine="420"/>
        <w:rPr>
          <w:rFonts w:ascii="宋体" w:hAnsi="宋体"/>
          <w:szCs w:val="28"/>
        </w:rPr>
      </w:pPr>
      <w:r>
        <w:rPr>
          <w:rFonts w:ascii="宋体" w:hAnsi="宋体" w:hint="eastAsia"/>
          <w:szCs w:val="28"/>
        </w:rPr>
        <w:t>数据质量管理过程中涉及到的数据监测、收集、统计、核算和上报等一系列工作</w:t>
      </w:r>
      <w:r w:rsidRPr="00471CAB">
        <w:rPr>
          <w:rFonts w:ascii="宋体" w:hAnsi="宋体" w:hint="eastAsia"/>
          <w:szCs w:val="28"/>
        </w:rPr>
        <w:t>流程。</w:t>
      </w:r>
    </w:p>
    <w:p w:rsidR="00A72C32" w:rsidRPr="00A72C32" w:rsidRDefault="00A72C32" w:rsidP="003E6AB8">
      <w:pPr>
        <w:widowControl/>
        <w:numPr>
          <w:ilvl w:val="1"/>
          <w:numId w:val="8"/>
        </w:numPr>
        <w:spacing w:beforeLines="50" w:before="156" w:afterLines="50" w:after="156"/>
        <w:jc w:val="left"/>
        <w:rPr>
          <w:rFonts w:eastAsia="黑体"/>
          <w:kern w:val="0"/>
          <w:szCs w:val="21"/>
        </w:rPr>
      </w:pPr>
    </w:p>
    <w:p w:rsidR="00A72C32" w:rsidRPr="00A72C32" w:rsidRDefault="00A72C32" w:rsidP="00A72C32">
      <w:pPr>
        <w:widowControl/>
        <w:spacing w:beforeLines="50" w:before="156" w:afterLines="50" w:after="156"/>
        <w:ind w:firstLineChars="200" w:firstLine="420"/>
        <w:jc w:val="left"/>
        <w:rPr>
          <w:rFonts w:eastAsia="黑体"/>
        </w:rPr>
      </w:pPr>
      <w:r w:rsidRPr="00A72C32">
        <w:rPr>
          <w:rFonts w:eastAsia="黑体" w:hint="eastAsia"/>
        </w:rPr>
        <w:t>数据流活动</w:t>
      </w:r>
      <w:r w:rsidRPr="00A72C32">
        <w:rPr>
          <w:rFonts w:eastAsia="黑体" w:hint="eastAsia"/>
        </w:rPr>
        <w:t xml:space="preserve"> </w:t>
      </w:r>
      <w:r w:rsidRPr="00A72C32">
        <w:rPr>
          <w:rFonts w:eastAsia="黑体" w:hint="eastAsia"/>
          <w:b/>
        </w:rPr>
        <w:t xml:space="preserve">data flow activities </w:t>
      </w:r>
      <w:r w:rsidRPr="00A72C32">
        <w:rPr>
          <w:rFonts w:eastAsia="黑体" w:hint="eastAsia"/>
        </w:rPr>
        <w:t xml:space="preserve">   </w:t>
      </w:r>
    </w:p>
    <w:p w:rsidR="00A72C32" w:rsidRPr="00311C65" w:rsidRDefault="00A72C32" w:rsidP="00A72C32">
      <w:pPr>
        <w:pStyle w:val="affffffb"/>
        <w:spacing w:before="156" w:after="156"/>
        <w:ind w:firstLineChars="200" w:firstLine="420"/>
        <w:rPr>
          <w:rFonts w:ascii="宋体" w:hAnsi="宋体"/>
          <w:szCs w:val="28"/>
        </w:rPr>
      </w:pPr>
      <w:r>
        <w:rPr>
          <w:rFonts w:ascii="宋体" w:hAnsi="宋体" w:hint="eastAsia"/>
          <w:szCs w:val="28"/>
        </w:rPr>
        <w:t>数据流中涉及</w:t>
      </w:r>
      <w:r w:rsidRPr="00DC5935">
        <w:rPr>
          <w:rFonts w:ascii="宋体" w:hAnsi="宋体" w:hint="eastAsia"/>
          <w:szCs w:val="28"/>
        </w:rPr>
        <w:t>的数据记录、化学分析、燃料取样、汇总数据、计算排放量、</w:t>
      </w:r>
      <w:r>
        <w:rPr>
          <w:rFonts w:ascii="宋体" w:hAnsi="宋体" w:hint="eastAsia"/>
          <w:szCs w:val="28"/>
        </w:rPr>
        <w:t>存储</w:t>
      </w:r>
      <w:r w:rsidRPr="00DC5935">
        <w:rPr>
          <w:rFonts w:ascii="宋体" w:hAnsi="宋体" w:hint="eastAsia"/>
          <w:szCs w:val="28"/>
        </w:rPr>
        <w:t>等具体工作内容。</w:t>
      </w:r>
    </w:p>
    <w:p w:rsidR="00A72C32" w:rsidRPr="00A72C32" w:rsidRDefault="00A72C32" w:rsidP="003E6AB8">
      <w:pPr>
        <w:widowControl/>
        <w:numPr>
          <w:ilvl w:val="1"/>
          <w:numId w:val="8"/>
        </w:numPr>
        <w:spacing w:beforeLines="50" w:before="156" w:afterLines="50" w:after="156"/>
        <w:jc w:val="left"/>
        <w:rPr>
          <w:rFonts w:eastAsia="黑体"/>
          <w:kern w:val="0"/>
          <w:szCs w:val="21"/>
        </w:rPr>
      </w:pPr>
    </w:p>
    <w:p w:rsidR="00A72C32" w:rsidRPr="00A72C32" w:rsidRDefault="00A72C32" w:rsidP="00A72C32">
      <w:pPr>
        <w:widowControl/>
        <w:spacing w:beforeLines="50" w:before="156" w:afterLines="50" w:after="156"/>
        <w:ind w:left="420"/>
        <w:jc w:val="left"/>
        <w:rPr>
          <w:rFonts w:eastAsia="黑体"/>
          <w:b/>
          <w:kern w:val="0"/>
          <w:szCs w:val="21"/>
        </w:rPr>
      </w:pPr>
      <w:r w:rsidRPr="00276B56">
        <w:rPr>
          <w:rFonts w:eastAsia="黑体" w:hAnsi="黑体" w:hint="eastAsia"/>
        </w:rPr>
        <w:t>风险识别</w:t>
      </w:r>
      <w:r w:rsidRPr="00276B56">
        <w:rPr>
          <w:rFonts w:eastAsia="黑体" w:hAnsi="黑体"/>
        </w:rPr>
        <w:t xml:space="preserve"> </w:t>
      </w:r>
      <w:r w:rsidRPr="00A72C32">
        <w:rPr>
          <w:rFonts w:eastAsia="黑体" w:hint="eastAsia"/>
          <w:b/>
          <w:kern w:val="0"/>
          <w:szCs w:val="21"/>
        </w:rPr>
        <w:t>r</w:t>
      </w:r>
      <w:r w:rsidRPr="00A72C32">
        <w:rPr>
          <w:rFonts w:eastAsia="黑体"/>
          <w:b/>
          <w:kern w:val="0"/>
          <w:szCs w:val="21"/>
        </w:rPr>
        <w:t xml:space="preserve">isk </w:t>
      </w:r>
      <w:r w:rsidRPr="00A72C32">
        <w:rPr>
          <w:rFonts w:eastAsia="黑体" w:hint="eastAsia"/>
          <w:b/>
          <w:kern w:val="0"/>
          <w:szCs w:val="21"/>
        </w:rPr>
        <w:t>i</w:t>
      </w:r>
      <w:r w:rsidRPr="00A72C32">
        <w:rPr>
          <w:rFonts w:eastAsia="黑体"/>
          <w:b/>
          <w:kern w:val="0"/>
          <w:szCs w:val="21"/>
        </w:rPr>
        <w:t>dentification</w:t>
      </w:r>
    </w:p>
    <w:p w:rsidR="00A72C32" w:rsidRDefault="00A72C32" w:rsidP="00A72C32">
      <w:pPr>
        <w:pStyle w:val="aff3"/>
        <w:spacing w:after="120"/>
        <w:rPr>
          <w:rFonts w:hAnsi="宋体"/>
          <w:szCs w:val="28"/>
        </w:rPr>
      </w:pPr>
      <w:r w:rsidRPr="00CA314A">
        <w:rPr>
          <w:rFonts w:hAnsi="宋体" w:hint="eastAsia"/>
          <w:szCs w:val="28"/>
        </w:rPr>
        <w:t>对数据质量管理过程中出现遗漏和失误的可能性进行分析，并根据风险的大小进行分级的过程。</w:t>
      </w:r>
    </w:p>
    <w:p w:rsidR="00A72C32" w:rsidRPr="00A72C32" w:rsidRDefault="00A72C32" w:rsidP="003E6AB8">
      <w:pPr>
        <w:widowControl/>
        <w:numPr>
          <w:ilvl w:val="1"/>
          <w:numId w:val="8"/>
        </w:numPr>
        <w:spacing w:beforeLines="50" w:before="156" w:afterLines="50" w:after="156"/>
        <w:jc w:val="left"/>
        <w:rPr>
          <w:rFonts w:eastAsia="黑体"/>
          <w:kern w:val="0"/>
          <w:szCs w:val="21"/>
        </w:rPr>
      </w:pPr>
    </w:p>
    <w:p w:rsidR="00A72C32" w:rsidRPr="00A72C32" w:rsidRDefault="00A72C32" w:rsidP="00A72C32">
      <w:pPr>
        <w:widowControl/>
        <w:spacing w:beforeLines="50" w:before="156" w:afterLines="50" w:after="156"/>
        <w:ind w:left="420"/>
        <w:jc w:val="left"/>
        <w:rPr>
          <w:rFonts w:eastAsia="黑体"/>
          <w:kern w:val="0"/>
          <w:szCs w:val="21"/>
        </w:rPr>
      </w:pPr>
      <w:r w:rsidRPr="00A72C32">
        <w:rPr>
          <w:rFonts w:eastAsia="黑体" w:hint="eastAsia"/>
          <w:kern w:val="0"/>
          <w:szCs w:val="21"/>
        </w:rPr>
        <w:t>数据质量检验</w:t>
      </w:r>
      <w:r w:rsidRPr="00A72C32">
        <w:rPr>
          <w:rFonts w:eastAsia="黑体" w:hint="eastAsia"/>
          <w:b/>
          <w:kern w:val="0"/>
          <w:szCs w:val="21"/>
        </w:rPr>
        <w:t xml:space="preserve"> data quality check</w:t>
      </w:r>
    </w:p>
    <w:p w:rsidR="00A72C32" w:rsidRPr="00F51941" w:rsidRDefault="00A72C32" w:rsidP="00A72C32">
      <w:pPr>
        <w:pStyle w:val="affffffb"/>
        <w:spacing w:before="156" w:after="156"/>
        <w:ind w:firstLineChars="200" w:firstLine="420"/>
        <w:rPr>
          <w:rFonts w:ascii="宋体" w:hAnsi="宋体"/>
          <w:szCs w:val="28"/>
        </w:rPr>
      </w:pPr>
      <w:r>
        <w:rPr>
          <w:rFonts w:ascii="宋体" w:hAnsi="宋体" w:hint="eastAsia"/>
          <w:szCs w:val="28"/>
        </w:rPr>
        <w:t>对数据结果的准确性、一致性、完整性和可比性进行验证。</w:t>
      </w:r>
    </w:p>
    <w:p w:rsidR="00A72C32" w:rsidRPr="00A72C32" w:rsidRDefault="00A72C32" w:rsidP="003E6AB8">
      <w:pPr>
        <w:widowControl/>
        <w:numPr>
          <w:ilvl w:val="1"/>
          <w:numId w:val="8"/>
        </w:numPr>
        <w:spacing w:beforeLines="50" w:before="156" w:afterLines="50" w:after="156"/>
        <w:jc w:val="left"/>
        <w:rPr>
          <w:rFonts w:eastAsia="黑体"/>
          <w:kern w:val="0"/>
          <w:szCs w:val="21"/>
        </w:rPr>
      </w:pPr>
    </w:p>
    <w:p w:rsidR="00A72C32" w:rsidRPr="00A72C32" w:rsidRDefault="00A72C32" w:rsidP="00A72C32">
      <w:pPr>
        <w:widowControl/>
        <w:spacing w:beforeLines="50" w:before="156" w:afterLines="50" w:after="156"/>
        <w:ind w:left="420"/>
        <w:jc w:val="left"/>
        <w:rPr>
          <w:rFonts w:eastAsia="黑体"/>
          <w:b/>
          <w:kern w:val="0"/>
          <w:szCs w:val="21"/>
        </w:rPr>
      </w:pPr>
      <w:r w:rsidRPr="00A72C32">
        <w:rPr>
          <w:rFonts w:eastAsia="黑体" w:hint="eastAsia"/>
          <w:kern w:val="0"/>
          <w:szCs w:val="21"/>
        </w:rPr>
        <w:t>数据质量内审</w:t>
      </w:r>
      <w:r w:rsidRPr="00A72C32">
        <w:rPr>
          <w:rFonts w:eastAsia="黑体" w:hint="eastAsia"/>
          <w:b/>
          <w:kern w:val="0"/>
          <w:szCs w:val="21"/>
        </w:rPr>
        <w:t xml:space="preserve"> data quality internal auditing </w:t>
      </w:r>
      <w:r w:rsidRPr="00A72C32">
        <w:rPr>
          <w:rFonts w:eastAsia="黑体" w:hint="eastAsia"/>
          <w:kern w:val="0"/>
          <w:szCs w:val="21"/>
        </w:rPr>
        <w:t xml:space="preserve">  </w:t>
      </w:r>
    </w:p>
    <w:p w:rsidR="00A72C32" w:rsidRPr="00A72C32" w:rsidRDefault="00A72C32" w:rsidP="00A72C32">
      <w:pPr>
        <w:pStyle w:val="aff3"/>
        <w:spacing w:after="120"/>
        <w:rPr>
          <w:rFonts w:ascii="Times New Roman"/>
          <w:sz w:val="18"/>
          <w:szCs w:val="18"/>
        </w:rPr>
      </w:pPr>
      <w:r w:rsidRPr="00DC5935">
        <w:rPr>
          <w:rFonts w:hAnsi="宋体" w:hint="eastAsia"/>
          <w:szCs w:val="28"/>
        </w:rPr>
        <w:t>由</w:t>
      </w:r>
      <w:r>
        <w:rPr>
          <w:rFonts w:hAnsi="宋体" w:hint="eastAsia"/>
          <w:szCs w:val="28"/>
        </w:rPr>
        <w:t>未直接参与温室气体数据质量管理相关工作的企业</w:t>
      </w:r>
      <w:r w:rsidRPr="0002636C">
        <w:rPr>
          <w:rFonts w:hAnsi="宋体" w:hint="eastAsia"/>
          <w:szCs w:val="28"/>
        </w:rPr>
        <w:t>内部人员</w:t>
      </w:r>
      <w:r>
        <w:rPr>
          <w:rFonts w:hAnsi="宋体" w:hint="eastAsia"/>
          <w:szCs w:val="28"/>
        </w:rPr>
        <w:t>执行的，</w:t>
      </w:r>
      <w:r w:rsidRPr="00DC5935">
        <w:rPr>
          <w:rFonts w:hAnsi="宋体" w:hint="eastAsia"/>
          <w:szCs w:val="28"/>
        </w:rPr>
        <w:t>对整个</w:t>
      </w:r>
      <w:r>
        <w:rPr>
          <w:rFonts w:hAnsi="宋体" w:hint="eastAsia"/>
          <w:szCs w:val="28"/>
        </w:rPr>
        <w:t>数据</w:t>
      </w:r>
      <w:r w:rsidRPr="00DC5935">
        <w:rPr>
          <w:rFonts w:hAnsi="宋体" w:hint="eastAsia"/>
          <w:szCs w:val="28"/>
        </w:rPr>
        <w:t>质量管理</w:t>
      </w:r>
      <w:r>
        <w:rPr>
          <w:rFonts w:hAnsi="宋体" w:hint="eastAsia"/>
          <w:szCs w:val="28"/>
        </w:rPr>
        <w:t>体系</w:t>
      </w:r>
      <w:r w:rsidRPr="00DC5935">
        <w:rPr>
          <w:rFonts w:hAnsi="宋体" w:hint="eastAsia"/>
          <w:szCs w:val="28"/>
        </w:rPr>
        <w:t>进行内部核查的过程</w:t>
      </w:r>
      <w:r>
        <w:rPr>
          <w:rFonts w:hAnsi="宋体" w:hint="eastAsia"/>
          <w:szCs w:val="28"/>
        </w:rPr>
        <w:t>。</w:t>
      </w:r>
    </w:p>
    <w:p w:rsidR="00A72C32" w:rsidRDefault="00A72C32" w:rsidP="00A72C32">
      <w:pPr>
        <w:spacing w:before="120" w:after="120"/>
        <w:rPr>
          <w:sz w:val="18"/>
          <w:szCs w:val="21"/>
        </w:rPr>
      </w:pPr>
    </w:p>
    <w:p w:rsidR="00FA1A0C" w:rsidRPr="00180FAA" w:rsidRDefault="000B23BE" w:rsidP="00180FAA">
      <w:pPr>
        <w:pStyle w:val="a1"/>
        <w:spacing w:before="312" w:after="312"/>
      </w:pPr>
      <w:bookmarkStart w:id="37" w:name="_Toc9924485"/>
      <w:r>
        <w:rPr>
          <w:rFonts w:hint="eastAsia"/>
        </w:rPr>
        <w:t>温室气体数据管理</w:t>
      </w:r>
      <w:r w:rsidRPr="00180FAA">
        <w:rPr>
          <w:rFonts w:hint="eastAsia"/>
        </w:rPr>
        <w:t>概述</w:t>
      </w:r>
      <w:bookmarkEnd w:id="37"/>
    </w:p>
    <w:p w:rsidR="00FA1A0C" w:rsidRPr="00FA1A0C" w:rsidRDefault="00FA1A0C" w:rsidP="00FA1A0C">
      <w:pPr>
        <w:pStyle w:val="aff3"/>
        <w:rPr>
          <w:rFonts w:ascii="Times New Roman"/>
        </w:rPr>
      </w:pPr>
      <w:r w:rsidRPr="00FA1A0C">
        <w:rPr>
          <w:rFonts w:ascii="Times New Roman" w:hint="eastAsia"/>
        </w:rPr>
        <w:t>工业企业应建立、实施并持续改进温室气体排放数据质量管理体系。</w:t>
      </w:r>
      <w:bookmarkStart w:id="38" w:name="_Hlk8912412"/>
      <w:r w:rsidRPr="00FA1A0C">
        <w:rPr>
          <w:rFonts w:ascii="Times New Roman" w:hint="eastAsia"/>
        </w:rPr>
        <w:t>温室气体排放数据质量管理体系的建立应包括排放源等级划分、数据质量管理方案制定和数据质量管理方案改进三个阶段</w:t>
      </w:r>
      <w:bookmarkEnd w:id="38"/>
      <w:r w:rsidRPr="00FA1A0C">
        <w:rPr>
          <w:rFonts w:ascii="Times New Roman" w:hint="eastAsia"/>
        </w:rPr>
        <w:t>，如图</w:t>
      </w:r>
      <w:r w:rsidRPr="00FA1A0C">
        <w:rPr>
          <w:rFonts w:ascii="Times New Roman" w:hint="eastAsia"/>
        </w:rPr>
        <w:t>1</w:t>
      </w:r>
      <w:r w:rsidRPr="00FA1A0C">
        <w:rPr>
          <w:rFonts w:ascii="Times New Roman" w:hint="eastAsia"/>
        </w:rPr>
        <w:t>。</w:t>
      </w:r>
    </w:p>
    <w:p w:rsidR="00FA1A0C" w:rsidRDefault="00EE7D6F" w:rsidP="00FA1A0C">
      <w:pPr>
        <w:spacing w:line="360" w:lineRule="auto"/>
        <w:ind w:firstLine="420"/>
        <w:rPr>
          <w:rFonts w:ascii="宋体" w:hAnsi="宋体"/>
          <w:szCs w:val="28"/>
        </w:rPr>
      </w:pPr>
      <w:r>
        <w:rPr>
          <w:rFonts w:ascii="宋体" w:hAnsi="宋体"/>
          <w:noProof/>
          <w:szCs w:val="28"/>
        </w:rPr>
        <mc:AlternateContent>
          <mc:Choice Requires="wpg">
            <w:drawing>
              <wp:anchor distT="0" distB="0" distL="114300" distR="114300" simplePos="0" relativeHeight="251668480" behindDoc="0" locked="0" layoutInCell="1" allowOverlap="1" wp14:anchorId="66BBD9FC" wp14:editId="4FA67EAC">
                <wp:simplePos x="0" y="0"/>
                <wp:positionH relativeFrom="column">
                  <wp:posOffset>737870</wp:posOffset>
                </wp:positionH>
                <wp:positionV relativeFrom="paragraph">
                  <wp:posOffset>83185</wp:posOffset>
                </wp:positionV>
                <wp:extent cx="4451350" cy="3509010"/>
                <wp:effectExtent l="0" t="0" r="25400" b="15240"/>
                <wp:wrapNone/>
                <wp:docPr id="10"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1350" cy="3509010"/>
                          <a:chOff x="2605" y="4398"/>
                          <a:chExt cx="7010" cy="5526"/>
                        </a:xfrm>
                      </wpg:grpSpPr>
                      <wps:wsp>
                        <wps:cNvPr id="36" name="AutoShape 59"/>
                        <wps:cNvSpPr>
                          <a:spLocks/>
                        </wps:cNvSpPr>
                        <wps:spPr bwMode="auto">
                          <a:xfrm>
                            <a:off x="5760" y="4553"/>
                            <a:ext cx="276" cy="853"/>
                          </a:xfrm>
                          <a:prstGeom prst="leftBrace">
                            <a:avLst>
                              <a:gd name="adj1" fmla="val 267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67"/>
                        <wps:cNvSpPr>
                          <a:spLocks noChangeArrowheads="1"/>
                        </wps:cNvSpPr>
                        <wps:spPr bwMode="auto">
                          <a:xfrm>
                            <a:off x="6047" y="4398"/>
                            <a:ext cx="3568" cy="479"/>
                          </a:xfrm>
                          <a:prstGeom prst="rect">
                            <a:avLst/>
                          </a:prstGeom>
                          <a:solidFill>
                            <a:srgbClr val="FFFFFF"/>
                          </a:solidFill>
                          <a:ln w="9525">
                            <a:solidFill>
                              <a:srgbClr val="000000"/>
                            </a:solidFill>
                            <a:miter lim="800000"/>
                            <a:headEnd/>
                            <a:tailEnd/>
                          </a:ln>
                        </wps:spPr>
                        <wps:txbx>
                          <w:txbxContent>
                            <w:p w:rsidR="00CC4AB1" w:rsidRPr="00276B56" w:rsidRDefault="00CC4AB1" w:rsidP="00EE7D6F">
                              <w:pPr>
                                <w:rPr>
                                  <w:szCs w:val="21"/>
                                </w:rPr>
                              </w:pPr>
                              <w:r w:rsidRPr="008B04EC">
                                <w:rPr>
                                  <w:rFonts w:hAnsi="宋体"/>
                                  <w:szCs w:val="21"/>
                                </w:rPr>
                                <w:t>排放源等级划分</w:t>
                              </w:r>
                              <w:r>
                                <w:rPr>
                                  <w:rFonts w:hAnsi="宋体" w:hint="eastAsia"/>
                                  <w:szCs w:val="21"/>
                                </w:rPr>
                                <w:t>规则</w:t>
                              </w:r>
                              <w:r w:rsidRPr="00276B56">
                                <w:rPr>
                                  <w:szCs w:val="21"/>
                                </w:rPr>
                                <w:t xml:space="preserve"> </w:t>
                              </w:r>
                              <w:r w:rsidRPr="008B04EC">
                                <w:rPr>
                                  <w:rFonts w:hAnsi="宋体"/>
                                  <w:szCs w:val="21"/>
                                </w:rPr>
                                <w:t>（</w:t>
                              </w:r>
                              <w:r>
                                <w:rPr>
                                  <w:szCs w:val="21"/>
                                </w:rPr>
                                <w:t>5</w:t>
                              </w:r>
                              <w:r w:rsidRPr="00276B56">
                                <w:rPr>
                                  <w:szCs w:val="21"/>
                                </w:rPr>
                                <w:t>.1</w:t>
                              </w:r>
                              <w:r w:rsidRPr="008B04EC">
                                <w:rPr>
                                  <w:rFonts w:hAnsi="宋体"/>
                                  <w:szCs w:val="21"/>
                                </w:rPr>
                                <w:t>）</w:t>
                              </w:r>
                            </w:p>
                          </w:txbxContent>
                        </wps:txbx>
                        <wps:bodyPr rot="0" vert="horz" wrap="square" lIns="91440" tIns="45720" rIns="91440" bIns="45720" anchor="t" anchorCtr="0" upright="1">
                          <a:noAutofit/>
                        </wps:bodyPr>
                      </wps:wsp>
                      <wps:wsp>
                        <wps:cNvPr id="38" name="Rectangle 50"/>
                        <wps:cNvSpPr>
                          <a:spLocks noChangeArrowheads="1"/>
                        </wps:cNvSpPr>
                        <wps:spPr bwMode="auto">
                          <a:xfrm>
                            <a:off x="6033" y="5074"/>
                            <a:ext cx="3568" cy="479"/>
                          </a:xfrm>
                          <a:prstGeom prst="rect">
                            <a:avLst/>
                          </a:prstGeom>
                          <a:solidFill>
                            <a:srgbClr val="FFFFFF"/>
                          </a:solidFill>
                          <a:ln w="9525">
                            <a:solidFill>
                              <a:srgbClr val="000000"/>
                            </a:solidFill>
                            <a:miter lim="800000"/>
                            <a:headEnd/>
                            <a:tailEnd/>
                          </a:ln>
                        </wps:spPr>
                        <wps:txbx>
                          <w:txbxContent>
                            <w:p w:rsidR="00CC4AB1" w:rsidRPr="00276B56" w:rsidRDefault="00CC4AB1" w:rsidP="00EE7D6F">
                              <w:pPr>
                                <w:rPr>
                                  <w:szCs w:val="21"/>
                                </w:rPr>
                              </w:pPr>
                              <w:r w:rsidRPr="008B04EC">
                                <w:rPr>
                                  <w:rFonts w:hAnsi="宋体"/>
                                  <w:szCs w:val="21"/>
                                </w:rPr>
                                <w:t>数据获取要求</w:t>
                              </w:r>
                              <w:r w:rsidRPr="00276B56">
                                <w:rPr>
                                  <w:szCs w:val="21"/>
                                </w:rPr>
                                <w:t xml:space="preserve"> </w:t>
                              </w:r>
                              <w:r w:rsidRPr="008B04EC">
                                <w:rPr>
                                  <w:rFonts w:hAnsi="宋体"/>
                                  <w:szCs w:val="21"/>
                                </w:rPr>
                                <w:t>（</w:t>
                              </w:r>
                              <w:r>
                                <w:rPr>
                                  <w:szCs w:val="21"/>
                                </w:rPr>
                                <w:t>5</w:t>
                              </w:r>
                              <w:r w:rsidRPr="00276B56">
                                <w:rPr>
                                  <w:szCs w:val="21"/>
                                </w:rPr>
                                <w:t>.2</w:t>
                              </w:r>
                              <w:r w:rsidRPr="008B04EC">
                                <w:rPr>
                                  <w:rFonts w:hAnsi="宋体"/>
                                  <w:szCs w:val="21"/>
                                </w:rPr>
                                <w:t>）</w:t>
                              </w:r>
                            </w:p>
                          </w:txbxContent>
                        </wps:txbx>
                        <wps:bodyPr rot="0" vert="horz" wrap="square" lIns="91440" tIns="45720" rIns="91440" bIns="45720" anchor="t" anchorCtr="0" upright="1">
                          <a:noAutofit/>
                        </wps:bodyPr>
                      </wps:wsp>
                      <wps:wsp>
                        <wps:cNvPr id="39" name="Rectangle 72"/>
                        <wps:cNvSpPr>
                          <a:spLocks noChangeArrowheads="1"/>
                        </wps:cNvSpPr>
                        <wps:spPr bwMode="auto">
                          <a:xfrm>
                            <a:off x="6037" y="8328"/>
                            <a:ext cx="3568" cy="438"/>
                          </a:xfrm>
                          <a:prstGeom prst="rect">
                            <a:avLst/>
                          </a:prstGeom>
                          <a:solidFill>
                            <a:srgbClr val="FFFFFF"/>
                          </a:solidFill>
                          <a:ln w="9525">
                            <a:solidFill>
                              <a:srgbClr val="000000"/>
                            </a:solidFill>
                            <a:miter lim="800000"/>
                            <a:headEnd/>
                            <a:tailEnd/>
                          </a:ln>
                        </wps:spPr>
                        <wps:txbx>
                          <w:txbxContent>
                            <w:p w:rsidR="00CC4AB1" w:rsidRPr="00276B56" w:rsidRDefault="00CC4AB1" w:rsidP="00EE7D6F">
                              <w:pPr>
                                <w:rPr>
                                  <w:szCs w:val="21"/>
                                </w:rPr>
                              </w:pPr>
                              <w:r w:rsidRPr="008B04EC">
                                <w:rPr>
                                  <w:rFonts w:hAnsi="宋体"/>
                                  <w:szCs w:val="21"/>
                                </w:rPr>
                                <w:t>监测计划</w:t>
                              </w:r>
                              <w:r w:rsidRPr="00276B56">
                                <w:rPr>
                                  <w:szCs w:val="21"/>
                                </w:rPr>
                                <w:t xml:space="preserve"> </w:t>
                              </w:r>
                              <w:r w:rsidRPr="008B04EC">
                                <w:rPr>
                                  <w:rFonts w:hAnsi="宋体"/>
                                  <w:szCs w:val="21"/>
                                </w:rPr>
                                <w:t>（</w:t>
                              </w:r>
                              <w:r>
                                <w:rPr>
                                  <w:szCs w:val="21"/>
                                </w:rPr>
                                <w:t>6</w:t>
                              </w:r>
                              <w:r w:rsidRPr="00276B56">
                                <w:rPr>
                                  <w:szCs w:val="21"/>
                                </w:rPr>
                                <w:t>.6</w:t>
                              </w:r>
                              <w:r w:rsidRPr="008B04EC">
                                <w:rPr>
                                  <w:rFonts w:hAnsi="宋体"/>
                                  <w:szCs w:val="21"/>
                                </w:rPr>
                                <w:t>）</w:t>
                              </w:r>
                            </w:p>
                          </w:txbxContent>
                        </wps:txbx>
                        <wps:bodyPr rot="0" vert="horz" wrap="square" lIns="91440" tIns="45720" rIns="91440" bIns="45720" anchor="t" anchorCtr="0" upright="1">
                          <a:noAutofit/>
                        </wps:bodyPr>
                      </wps:wsp>
                      <wps:wsp>
                        <wps:cNvPr id="40" name="Rectangle 51"/>
                        <wps:cNvSpPr>
                          <a:spLocks noChangeArrowheads="1"/>
                        </wps:cNvSpPr>
                        <wps:spPr bwMode="auto">
                          <a:xfrm>
                            <a:off x="3620" y="4661"/>
                            <a:ext cx="2141" cy="740"/>
                          </a:xfrm>
                          <a:prstGeom prst="rect">
                            <a:avLst/>
                          </a:prstGeom>
                          <a:solidFill>
                            <a:srgbClr val="FFFFFF"/>
                          </a:solidFill>
                          <a:ln w="9525">
                            <a:solidFill>
                              <a:srgbClr val="000000"/>
                            </a:solidFill>
                            <a:miter lim="800000"/>
                            <a:headEnd/>
                            <a:tailEnd/>
                          </a:ln>
                        </wps:spPr>
                        <wps:txbx>
                          <w:txbxContent>
                            <w:p w:rsidR="00CC4AB1" w:rsidRPr="00276B56" w:rsidRDefault="00CC4AB1" w:rsidP="00EE7D6F">
                              <w:pPr>
                                <w:jc w:val="center"/>
                                <w:rPr>
                                  <w:szCs w:val="21"/>
                                </w:rPr>
                              </w:pPr>
                              <w:r w:rsidRPr="008B04EC">
                                <w:rPr>
                                  <w:rFonts w:hAnsi="宋体"/>
                                  <w:szCs w:val="21"/>
                                </w:rPr>
                                <w:t>排放源等级划分</w:t>
                              </w:r>
                            </w:p>
                            <w:p w:rsidR="00CC4AB1" w:rsidRPr="00276B56" w:rsidRDefault="00CC4AB1" w:rsidP="00EE7D6F">
                              <w:pPr>
                                <w:jc w:val="center"/>
                                <w:rPr>
                                  <w:szCs w:val="21"/>
                                </w:rPr>
                              </w:pPr>
                              <w:r w:rsidRPr="008B04EC">
                                <w:rPr>
                                  <w:rFonts w:hAnsi="宋体"/>
                                  <w:szCs w:val="21"/>
                                </w:rPr>
                                <w:t>（</w:t>
                              </w:r>
                              <w:r>
                                <w:rPr>
                                  <w:szCs w:val="21"/>
                                </w:rPr>
                                <w:t>5</w:t>
                              </w:r>
                              <w:r w:rsidRPr="008B04EC">
                                <w:rPr>
                                  <w:rFonts w:hAnsi="宋体"/>
                                  <w:szCs w:val="21"/>
                                </w:rPr>
                                <w:t>）</w:t>
                              </w:r>
                            </w:p>
                          </w:txbxContent>
                        </wps:txbx>
                        <wps:bodyPr rot="0" vert="horz" wrap="square" lIns="91440" tIns="45720" rIns="91440" bIns="45720" anchor="t" anchorCtr="0" upright="1">
                          <a:noAutofit/>
                        </wps:bodyPr>
                      </wps:wsp>
                      <wps:wsp>
                        <wps:cNvPr id="41" name="Rectangle 52"/>
                        <wps:cNvSpPr>
                          <a:spLocks noChangeArrowheads="1"/>
                        </wps:cNvSpPr>
                        <wps:spPr bwMode="auto">
                          <a:xfrm>
                            <a:off x="3537" y="6819"/>
                            <a:ext cx="2224" cy="709"/>
                          </a:xfrm>
                          <a:prstGeom prst="rect">
                            <a:avLst/>
                          </a:prstGeom>
                          <a:solidFill>
                            <a:srgbClr val="FFFFFF"/>
                          </a:solidFill>
                          <a:ln w="9525">
                            <a:solidFill>
                              <a:srgbClr val="000000"/>
                            </a:solidFill>
                            <a:miter lim="800000"/>
                            <a:headEnd/>
                            <a:tailEnd/>
                          </a:ln>
                        </wps:spPr>
                        <wps:txbx>
                          <w:txbxContent>
                            <w:p w:rsidR="00CC4AB1" w:rsidRPr="00276B56" w:rsidRDefault="00CC4AB1" w:rsidP="00EE7D6F">
                              <w:pPr>
                                <w:jc w:val="center"/>
                                <w:rPr>
                                  <w:szCs w:val="21"/>
                                </w:rPr>
                              </w:pPr>
                              <w:r w:rsidRPr="008B04EC">
                                <w:rPr>
                                  <w:rFonts w:hAnsi="宋体"/>
                                  <w:szCs w:val="21"/>
                                </w:rPr>
                                <w:t>质量管理方案制定</w:t>
                              </w:r>
                            </w:p>
                            <w:p w:rsidR="00CC4AB1" w:rsidRPr="00276B56" w:rsidRDefault="00CC4AB1" w:rsidP="00EE7D6F">
                              <w:pPr>
                                <w:jc w:val="center"/>
                                <w:rPr>
                                  <w:szCs w:val="21"/>
                                </w:rPr>
                              </w:pPr>
                              <w:r w:rsidRPr="008B04EC">
                                <w:rPr>
                                  <w:rFonts w:hAnsi="宋体"/>
                                  <w:szCs w:val="21"/>
                                </w:rPr>
                                <w:t>（</w:t>
                              </w:r>
                              <w:r>
                                <w:rPr>
                                  <w:szCs w:val="21"/>
                                </w:rPr>
                                <w:t>6</w:t>
                              </w:r>
                              <w:r w:rsidRPr="008B04EC">
                                <w:rPr>
                                  <w:rFonts w:hAnsi="宋体"/>
                                  <w:szCs w:val="21"/>
                                </w:rPr>
                                <w:t>）</w:t>
                              </w:r>
                            </w:p>
                            <w:p w:rsidR="00CC4AB1" w:rsidRPr="00276B56" w:rsidRDefault="00CC4AB1" w:rsidP="00EE7D6F">
                              <w:pPr>
                                <w:rPr>
                                  <w:szCs w:val="21"/>
                                </w:rPr>
                              </w:pPr>
                              <w:r w:rsidRPr="00276B56">
                                <w:rPr>
                                  <w:szCs w:val="21"/>
                                </w:rPr>
                                <w:t>4</w:t>
                              </w:r>
                            </w:p>
                          </w:txbxContent>
                        </wps:txbx>
                        <wps:bodyPr rot="0" vert="horz" wrap="square" lIns="91440" tIns="45720" rIns="91440" bIns="45720" anchor="t" anchorCtr="0" upright="1">
                          <a:noAutofit/>
                        </wps:bodyPr>
                      </wps:wsp>
                      <wps:wsp>
                        <wps:cNvPr id="42" name="Rectangle 53"/>
                        <wps:cNvSpPr>
                          <a:spLocks noChangeArrowheads="1"/>
                        </wps:cNvSpPr>
                        <wps:spPr bwMode="auto">
                          <a:xfrm>
                            <a:off x="3619" y="8927"/>
                            <a:ext cx="2141" cy="766"/>
                          </a:xfrm>
                          <a:prstGeom prst="rect">
                            <a:avLst/>
                          </a:prstGeom>
                          <a:solidFill>
                            <a:srgbClr val="FFFFFF"/>
                          </a:solidFill>
                          <a:ln w="9525">
                            <a:solidFill>
                              <a:srgbClr val="000000"/>
                            </a:solidFill>
                            <a:miter lim="800000"/>
                            <a:headEnd/>
                            <a:tailEnd/>
                          </a:ln>
                        </wps:spPr>
                        <wps:txbx>
                          <w:txbxContent>
                            <w:p w:rsidR="00CC4AB1" w:rsidRPr="008B04EC" w:rsidRDefault="00CC4AB1" w:rsidP="00EE7D6F">
                              <w:pPr>
                                <w:jc w:val="center"/>
                                <w:rPr>
                                  <w:color w:val="000000"/>
                                  <w:szCs w:val="21"/>
                                </w:rPr>
                              </w:pPr>
                              <w:r w:rsidRPr="008B04EC">
                                <w:rPr>
                                  <w:rFonts w:hAnsi="宋体"/>
                                  <w:color w:val="000000"/>
                                  <w:szCs w:val="21"/>
                                </w:rPr>
                                <w:t>质量管理方案改进</w:t>
                              </w:r>
                            </w:p>
                            <w:p w:rsidR="00CC4AB1" w:rsidRPr="00276B56" w:rsidRDefault="00CC4AB1" w:rsidP="00EE7D6F">
                              <w:pPr>
                                <w:jc w:val="center"/>
                                <w:rPr>
                                  <w:szCs w:val="21"/>
                                </w:rPr>
                              </w:pPr>
                              <w:r w:rsidRPr="008B04EC">
                                <w:rPr>
                                  <w:rFonts w:hAnsi="宋体"/>
                                  <w:szCs w:val="21"/>
                                </w:rPr>
                                <w:t>（</w:t>
                              </w:r>
                              <w:r>
                                <w:rPr>
                                  <w:szCs w:val="21"/>
                                </w:rPr>
                                <w:t>7</w:t>
                              </w:r>
                              <w:r w:rsidRPr="008B04EC">
                                <w:rPr>
                                  <w:rFonts w:hAnsi="宋体"/>
                                  <w:szCs w:val="21"/>
                                </w:rPr>
                                <w:t>）</w:t>
                              </w:r>
                            </w:p>
                          </w:txbxContent>
                        </wps:txbx>
                        <wps:bodyPr rot="0" vert="horz" wrap="square" lIns="91440" tIns="45720" rIns="91440" bIns="45720" anchor="t" anchorCtr="0" upright="1">
                          <a:noAutofit/>
                        </wps:bodyPr>
                      </wps:wsp>
                      <wps:wsp>
                        <wps:cNvPr id="43" name="Rectangle 54"/>
                        <wps:cNvSpPr>
                          <a:spLocks noChangeArrowheads="1"/>
                        </wps:cNvSpPr>
                        <wps:spPr bwMode="auto">
                          <a:xfrm>
                            <a:off x="6037" y="6819"/>
                            <a:ext cx="3568" cy="424"/>
                          </a:xfrm>
                          <a:prstGeom prst="rect">
                            <a:avLst/>
                          </a:prstGeom>
                          <a:solidFill>
                            <a:srgbClr val="FFFFFF"/>
                          </a:solidFill>
                          <a:ln w="9525">
                            <a:solidFill>
                              <a:srgbClr val="000000"/>
                            </a:solidFill>
                            <a:miter lim="800000"/>
                            <a:headEnd/>
                            <a:tailEnd/>
                          </a:ln>
                        </wps:spPr>
                        <wps:txbx>
                          <w:txbxContent>
                            <w:p w:rsidR="00CC4AB1" w:rsidRPr="00276B56" w:rsidRDefault="00CC4AB1" w:rsidP="00EE7D6F">
                              <w:pPr>
                                <w:rPr>
                                  <w:szCs w:val="21"/>
                                </w:rPr>
                              </w:pPr>
                              <w:r w:rsidRPr="008B04EC">
                                <w:rPr>
                                  <w:rFonts w:hAnsi="宋体"/>
                                  <w:szCs w:val="21"/>
                                </w:rPr>
                                <w:t>风险识别（</w:t>
                              </w:r>
                              <w:r>
                                <w:rPr>
                                  <w:szCs w:val="21"/>
                                </w:rPr>
                                <w:t>6</w:t>
                              </w:r>
                              <w:r w:rsidRPr="00276B56">
                                <w:rPr>
                                  <w:szCs w:val="21"/>
                                </w:rPr>
                                <w:t>.3</w:t>
                              </w:r>
                              <w:r w:rsidRPr="008B04EC">
                                <w:rPr>
                                  <w:rFonts w:hAnsi="宋体"/>
                                  <w:szCs w:val="21"/>
                                </w:rPr>
                                <w:t>）</w:t>
                              </w:r>
                            </w:p>
                          </w:txbxContent>
                        </wps:txbx>
                        <wps:bodyPr rot="0" vert="horz" wrap="square" lIns="91440" tIns="45720" rIns="91440" bIns="45720" anchor="t" anchorCtr="0" upright="1">
                          <a:noAutofit/>
                        </wps:bodyPr>
                      </wps:wsp>
                      <wps:wsp>
                        <wps:cNvPr id="44" name="Rectangle 55"/>
                        <wps:cNvSpPr>
                          <a:spLocks noChangeArrowheads="1"/>
                        </wps:cNvSpPr>
                        <wps:spPr bwMode="auto">
                          <a:xfrm>
                            <a:off x="6037" y="9398"/>
                            <a:ext cx="3568" cy="526"/>
                          </a:xfrm>
                          <a:prstGeom prst="rect">
                            <a:avLst/>
                          </a:prstGeom>
                          <a:solidFill>
                            <a:srgbClr val="FFFFFF"/>
                          </a:solidFill>
                          <a:ln w="9525">
                            <a:solidFill>
                              <a:srgbClr val="000000"/>
                            </a:solidFill>
                            <a:miter lim="800000"/>
                            <a:headEnd/>
                            <a:tailEnd/>
                          </a:ln>
                        </wps:spPr>
                        <wps:txbx>
                          <w:txbxContent>
                            <w:p w:rsidR="00CC4AB1" w:rsidRPr="00276B56" w:rsidRDefault="00CC4AB1" w:rsidP="00EE7D6F">
                              <w:pPr>
                                <w:rPr>
                                  <w:szCs w:val="21"/>
                                </w:rPr>
                              </w:pPr>
                              <w:r w:rsidRPr="008B04EC">
                                <w:rPr>
                                  <w:rFonts w:hAnsi="宋体"/>
                                  <w:szCs w:val="21"/>
                                </w:rPr>
                                <w:t>改进措施</w:t>
                              </w:r>
                              <w:r w:rsidRPr="00276B56">
                                <w:rPr>
                                  <w:szCs w:val="21"/>
                                </w:rPr>
                                <w:t xml:space="preserve">  </w:t>
                              </w:r>
                              <w:r w:rsidRPr="008B04EC">
                                <w:rPr>
                                  <w:rFonts w:hAnsi="宋体"/>
                                  <w:szCs w:val="21"/>
                                </w:rPr>
                                <w:t>（</w:t>
                              </w:r>
                              <w:r>
                                <w:rPr>
                                  <w:szCs w:val="21"/>
                                </w:rPr>
                                <w:t>7</w:t>
                              </w:r>
                              <w:r w:rsidRPr="00276B56">
                                <w:rPr>
                                  <w:szCs w:val="21"/>
                                </w:rPr>
                                <w:t>.2</w:t>
                              </w:r>
                              <w:r w:rsidRPr="008B04EC">
                                <w:rPr>
                                  <w:rFonts w:hAnsi="宋体"/>
                                  <w:szCs w:val="21"/>
                                </w:rPr>
                                <w:t>）</w:t>
                              </w:r>
                            </w:p>
                          </w:txbxContent>
                        </wps:txbx>
                        <wps:bodyPr rot="0" vert="horz" wrap="square" lIns="91440" tIns="45720" rIns="91440" bIns="45720" anchor="t" anchorCtr="0" upright="1">
                          <a:noAutofit/>
                        </wps:bodyPr>
                      </wps:wsp>
                      <wps:wsp>
                        <wps:cNvPr id="45" name="Rectangle 56"/>
                        <wps:cNvSpPr>
                          <a:spLocks noChangeArrowheads="1"/>
                        </wps:cNvSpPr>
                        <wps:spPr bwMode="auto">
                          <a:xfrm>
                            <a:off x="2605" y="5075"/>
                            <a:ext cx="552" cy="4099"/>
                          </a:xfrm>
                          <a:prstGeom prst="rect">
                            <a:avLst/>
                          </a:prstGeom>
                          <a:solidFill>
                            <a:srgbClr val="FFFFFF"/>
                          </a:solidFill>
                          <a:ln w="9525">
                            <a:solidFill>
                              <a:srgbClr val="000000"/>
                            </a:solidFill>
                            <a:miter lim="800000"/>
                            <a:headEnd/>
                            <a:tailEnd/>
                          </a:ln>
                        </wps:spPr>
                        <wps:txbx>
                          <w:txbxContent>
                            <w:p w:rsidR="00CC4AB1" w:rsidRPr="00276B56" w:rsidRDefault="00CC4AB1" w:rsidP="00EE7D6F">
                              <w:pPr>
                                <w:rPr>
                                  <w:szCs w:val="21"/>
                                </w:rPr>
                              </w:pPr>
                              <w:r w:rsidRPr="008B04EC">
                                <w:rPr>
                                  <w:rFonts w:hAnsi="宋体"/>
                                  <w:szCs w:val="21"/>
                                </w:rPr>
                                <w:t>工业企业温室气体排放数据质量管理体系</w:t>
                              </w:r>
                            </w:p>
                          </w:txbxContent>
                        </wps:txbx>
                        <wps:bodyPr rot="0" vert="eaVert" wrap="square" lIns="91440" tIns="45720" rIns="91440" bIns="45720" anchor="t" anchorCtr="0" upright="1">
                          <a:noAutofit/>
                        </wps:bodyPr>
                      </wps:wsp>
                      <wps:wsp>
                        <wps:cNvPr id="46" name="AutoShape 58"/>
                        <wps:cNvSpPr>
                          <a:spLocks/>
                        </wps:cNvSpPr>
                        <wps:spPr bwMode="auto">
                          <a:xfrm>
                            <a:off x="5761" y="5904"/>
                            <a:ext cx="276" cy="2763"/>
                          </a:xfrm>
                          <a:prstGeom prst="leftBrace">
                            <a:avLst>
                              <a:gd name="adj1" fmla="val 626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15"/>
                        <wps:cNvSpPr>
                          <a:spLocks/>
                        </wps:cNvSpPr>
                        <wps:spPr bwMode="auto">
                          <a:xfrm>
                            <a:off x="5761" y="8927"/>
                            <a:ext cx="276" cy="764"/>
                          </a:xfrm>
                          <a:prstGeom prst="leftBrace">
                            <a:avLst>
                              <a:gd name="adj1" fmla="val 267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60"/>
                        <wps:cNvCnPr>
                          <a:cxnSpLocks noChangeShapeType="1"/>
                        </wps:cNvCnPr>
                        <wps:spPr bwMode="auto">
                          <a:xfrm>
                            <a:off x="3432" y="5075"/>
                            <a:ext cx="1" cy="4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61"/>
                        <wps:cNvCnPr>
                          <a:cxnSpLocks noChangeShapeType="1"/>
                        </wps:cNvCnPr>
                        <wps:spPr bwMode="auto">
                          <a:xfrm>
                            <a:off x="3431" y="5074"/>
                            <a:ext cx="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62"/>
                        <wps:cNvCnPr>
                          <a:cxnSpLocks noChangeShapeType="1"/>
                        </wps:cNvCnPr>
                        <wps:spPr bwMode="auto">
                          <a:xfrm>
                            <a:off x="3432" y="6719"/>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63"/>
                        <wps:cNvCnPr>
                          <a:cxnSpLocks noChangeShapeType="1"/>
                        </wps:cNvCnPr>
                        <wps:spPr bwMode="auto">
                          <a:xfrm>
                            <a:off x="3432" y="9170"/>
                            <a:ext cx="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64"/>
                        <wps:cNvCnPr>
                          <a:cxnSpLocks noChangeShapeType="1"/>
                        </wps:cNvCnPr>
                        <wps:spPr bwMode="auto">
                          <a:xfrm>
                            <a:off x="3157" y="7170"/>
                            <a:ext cx="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65"/>
                        <wps:cNvSpPr>
                          <a:spLocks noChangeArrowheads="1"/>
                        </wps:cNvSpPr>
                        <wps:spPr bwMode="auto">
                          <a:xfrm>
                            <a:off x="4463" y="5406"/>
                            <a:ext cx="326" cy="1413"/>
                          </a:xfrm>
                          <a:prstGeom prst="downArrow">
                            <a:avLst>
                              <a:gd name="adj1" fmla="val 50000"/>
                              <a:gd name="adj2" fmla="val 1165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5" name="AutoShape 66"/>
                        <wps:cNvSpPr>
                          <a:spLocks noChangeArrowheads="1"/>
                        </wps:cNvSpPr>
                        <wps:spPr bwMode="auto">
                          <a:xfrm>
                            <a:off x="4463" y="7528"/>
                            <a:ext cx="326" cy="1399"/>
                          </a:xfrm>
                          <a:prstGeom prst="downArrow">
                            <a:avLst>
                              <a:gd name="adj1" fmla="val 50000"/>
                              <a:gd name="adj2" fmla="val 16257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6" name="Rectangle 23"/>
                        <wps:cNvSpPr>
                          <a:spLocks noChangeArrowheads="1"/>
                        </wps:cNvSpPr>
                        <wps:spPr bwMode="auto">
                          <a:xfrm>
                            <a:off x="6029" y="8873"/>
                            <a:ext cx="3568" cy="479"/>
                          </a:xfrm>
                          <a:prstGeom prst="rect">
                            <a:avLst/>
                          </a:prstGeom>
                          <a:solidFill>
                            <a:srgbClr val="FFFFFF"/>
                          </a:solidFill>
                          <a:ln w="9525">
                            <a:solidFill>
                              <a:srgbClr val="000000"/>
                            </a:solidFill>
                            <a:miter lim="800000"/>
                            <a:headEnd/>
                            <a:tailEnd/>
                          </a:ln>
                        </wps:spPr>
                        <wps:txbx>
                          <w:txbxContent>
                            <w:p w:rsidR="00CC4AB1" w:rsidRPr="00276B56" w:rsidRDefault="00CC4AB1" w:rsidP="00EE7D6F">
                              <w:pPr>
                                <w:rPr>
                                  <w:szCs w:val="21"/>
                                </w:rPr>
                              </w:pPr>
                              <w:r w:rsidRPr="008B04EC">
                                <w:rPr>
                                  <w:rFonts w:hAnsi="宋体"/>
                                  <w:szCs w:val="21"/>
                                </w:rPr>
                                <w:t>数据质量内审（</w:t>
                              </w:r>
                              <w:r>
                                <w:rPr>
                                  <w:szCs w:val="21"/>
                                </w:rPr>
                                <w:t>7</w:t>
                              </w:r>
                              <w:r w:rsidRPr="00276B56">
                                <w:rPr>
                                  <w:szCs w:val="21"/>
                                </w:rPr>
                                <w:t>.1</w:t>
                              </w:r>
                              <w:r w:rsidRPr="008B04EC">
                                <w:rPr>
                                  <w:rFonts w:hAnsi="宋体"/>
                                  <w:szCs w:val="21"/>
                                </w:rPr>
                                <w:t>）</w:t>
                              </w:r>
                            </w:p>
                          </w:txbxContent>
                        </wps:txbx>
                        <wps:bodyPr rot="0" vert="horz" wrap="square" lIns="91440" tIns="45720" rIns="91440" bIns="45720" anchor="t" anchorCtr="0" upright="1">
                          <a:noAutofit/>
                        </wps:bodyPr>
                      </wps:wsp>
                      <wps:wsp>
                        <wps:cNvPr id="57" name="Rectangle 70"/>
                        <wps:cNvSpPr>
                          <a:spLocks noChangeArrowheads="1"/>
                        </wps:cNvSpPr>
                        <wps:spPr bwMode="auto">
                          <a:xfrm>
                            <a:off x="6037" y="5735"/>
                            <a:ext cx="3568" cy="413"/>
                          </a:xfrm>
                          <a:prstGeom prst="rect">
                            <a:avLst/>
                          </a:prstGeom>
                          <a:solidFill>
                            <a:srgbClr val="FFFFFF"/>
                          </a:solidFill>
                          <a:ln w="9525">
                            <a:solidFill>
                              <a:srgbClr val="000000"/>
                            </a:solidFill>
                            <a:miter lim="800000"/>
                            <a:headEnd/>
                            <a:tailEnd/>
                          </a:ln>
                        </wps:spPr>
                        <wps:txbx>
                          <w:txbxContent>
                            <w:p w:rsidR="00CC4AB1" w:rsidRPr="00276B56" w:rsidRDefault="00CC4AB1" w:rsidP="00EE7D6F">
                              <w:pPr>
                                <w:rPr>
                                  <w:szCs w:val="21"/>
                                </w:rPr>
                              </w:pPr>
                              <w:r w:rsidRPr="008B04EC">
                                <w:rPr>
                                  <w:rFonts w:hAnsi="宋体"/>
                                  <w:szCs w:val="21"/>
                                </w:rPr>
                                <w:t>监测条件评估</w:t>
                              </w:r>
                              <w:r w:rsidRPr="00276B56">
                                <w:rPr>
                                  <w:szCs w:val="21"/>
                                </w:rPr>
                                <w:t xml:space="preserve"> </w:t>
                              </w:r>
                              <w:r w:rsidRPr="008B04EC">
                                <w:rPr>
                                  <w:rFonts w:hAnsi="宋体"/>
                                  <w:szCs w:val="21"/>
                                </w:rPr>
                                <w:t>（</w:t>
                              </w:r>
                              <w:r>
                                <w:rPr>
                                  <w:szCs w:val="21"/>
                                </w:rPr>
                                <w:t>6</w:t>
                              </w:r>
                              <w:r w:rsidRPr="00276B56">
                                <w:rPr>
                                  <w:szCs w:val="21"/>
                                </w:rPr>
                                <w:t>.1</w:t>
                              </w:r>
                              <w:r w:rsidRPr="008B04EC">
                                <w:rPr>
                                  <w:rFonts w:hAnsi="宋体"/>
                                  <w:szCs w:val="21"/>
                                </w:rPr>
                                <w:t>）</w:t>
                              </w:r>
                            </w:p>
                          </w:txbxContent>
                        </wps:txbx>
                        <wps:bodyPr rot="0" vert="horz" wrap="square" lIns="91440" tIns="45720" rIns="91440" bIns="45720" anchor="t" anchorCtr="0" upright="1">
                          <a:noAutofit/>
                        </wps:bodyPr>
                      </wps:wsp>
                      <wps:wsp>
                        <wps:cNvPr id="58" name="Rectangle 71"/>
                        <wps:cNvSpPr>
                          <a:spLocks noChangeArrowheads="1"/>
                        </wps:cNvSpPr>
                        <wps:spPr bwMode="auto">
                          <a:xfrm>
                            <a:off x="6037" y="7303"/>
                            <a:ext cx="3568" cy="451"/>
                          </a:xfrm>
                          <a:prstGeom prst="rect">
                            <a:avLst/>
                          </a:prstGeom>
                          <a:solidFill>
                            <a:srgbClr val="FFFFFF"/>
                          </a:solidFill>
                          <a:ln w="9525">
                            <a:solidFill>
                              <a:srgbClr val="000000"/>
                            </a:solidFill>
                            <a:miter lim="800000"/>
                            <a:headEnd/>
                            <a:tailEnd/>
                          </a:ln>
                        </wps:spPr>
                        <wps:txbx>
                          <w:txbxContent>
                            <w:p w:rsidR="00CC4AB1" w:rsidRPr="00276B56" w:rsidRDefault="00CC4AB1" w:rsidP="00EE7D6F">
                              <w:pPr>
                                <w:rPr>
                                  <w:szCs w:val="21"/>
                                </w:rPr>
                              </w:pPr>
                              <w:r w:rsidRPr="008B04EC">
                                <w:rPr>
                                  <w:rFonts w:hAnsi="宋体"/>
                                  <w:szCs w:val="21"/>
                                </w:rPr>
                                <w:t>数据质量控制要求（</w:t>
                              </w:r>
                              <w:r>
                                <w:rPr>
                                  <w:szCs w:val="21"/>
                                </w:rPr>
                                <w:t>6</w:t>
                              </w:r>
                              <w:r w:rsidRPr="00276B56">
                                <w:rPr>
                                  <w:szCs w:val="21"/>
                                </w:rPr>
                                <w:t>.4</w:t>
                              </w:r>
                              <w:r w:rsidRPr="008B04EC">
                                <w:rPr>
                                  <w:rFonts w:hAnsi="宋体"/>
                                  <w:szCs w:val="21"/>
                                </w:rPr>
                                <w:t>）</w:t>
                              </w:r>
                            </w:p>
                          </w:txbxContent>
                        </wps:txbx>
                        <wps:bodyPr rot="0" vert="horz" wrap="square" lIns="91440" tIns="45720" rIns="91440" bIns="45720" anchor="t" anchorCtr="0" upright="1">
                          <a:noAutofit/>
                        </wps:bodyPr>
                      </wps:wsp>
                      <wps:wsp>
                        <wps:cNvPr id="59" name="Rectangle 26"/>
                        <wps:cNvSpPr>
                          <a:spLocks noChangeArrowheads="1"/>
                        </wps:cNvSpPr>
                        <wps:spPr bwMode="auto">
                          <a:xfrm>
                            <a:off x="6037" y="7819"/>
                            <a:ext cx="3568" cy="438"/>
                          </a:xfrm>
                          <a:prstGeom prst="rect">
                            <a:avLst/>
                          </a:prstGeom>
                          <a:solidFill>
                            <a:srgbClr val="FFFFFF"/>
                          </a:solidFill>
                          <a:ln w="9525">
                            <a:solidFill>
                              <a:srgbClr val="000000"/>
                            </a:solidFill>
                            <a:miter lim="800000"/>
                            <a:headEnd/>
                            <a:tailEnd/>
                          </a:ln>
                        </wps:spPr>
                        <wps:txbx>
                          <w:txbxContent>
                            <w:p w:rsidR="00CC4AB1" w:rsidRPr="00276B56" w:rsidRDefault="00CC4AB1" w:rsidP="00EE7D6F">
                              <w:pPr>
                                <w:rPr>
                                  <w:szCs w:val="21"/>
                                </w:rPr>
                              </w:pPr>
                              <w:r w:rsidRPr="008B04EC">
                                <w:rPr>
                                  <w:rFonts w:hAnsi="宋体"/>
                                  <w:szCs w:val="21"/>
                                </w:rPr>
                                <w:t>数据不确定性分析</w:t>
                              </w:r>
                              <w:r w:rsidRPr="00276B56">
                                <w:rPr>
                                  <w:szCs w:val="21"/>
                                </w:rPr>
                                <w:t xml:space="preserve"> </w:t>
                              </w:r>
                              <w:r w:rsidRPr="008B04EC">
                                <w:rPr>
                                  <w:rFonts w:hAnsi="宋体"/>
                                  <w:szCs w:val="21"/>
                                </w:rPr>
                                <w:t>（</w:t>
                              </w:r>
                              <w:r>
                                <w:rPr>
                                  <w:szCs w:val="21"/>
                                </w:rPr>
                                <w:t>6</w:t>
                              </w:r>
                              <w:r w:rsidRPr="00276B56">
                                <w:rPr>
                                  <w:szCs w:val="21"/>
                                </w:rPr>
                                <w:t>.5</w:t>
                              </w:r>
                              <w:r w:rsidRPr="008B04EC">
                                <w:rPr>
                                  <w:rFonts w:hAnsi="宋体"/>
                                  <w:szCs w:val="21"/>
                                </w:rPr>
                                <w:t>）</w:t>
                              </w:r>
                            </w:p>
                          </w:txbxContent>
                        </wps:txbx>
                        <wps:bodyPr rot="0" vert="horz" wrap="square" lIns="91440" tIns="45720" rIns="91440" bIns="45720" anchor="t" anchorCtr="0" upright="1">
                          <a:noAutofit/>
                        </wps:bodyPr>
                      </wps:wsp>
                      <wps:wsp>
                        <wps:cNvPr id="60" name="Rectangle 73"/>
                        <wps:cNvSpPr>
                          <a:spLocks noChangeArrowheads="1"/>
                        </wps:cNvSpPr>
                        <wps:spPr bwMode="auto">
                          <a:xfrm>
                            <a:off x="6037" y="6239"/>
                            <a:ext cx="3568" cy="480"/>
                          </a:xfrm>
                          <a:prstGeom prst="rect">
                            <a:avLst/>
                          </a:prstGeom>
                          <a:solidFill>
                            <a:srgbClr val="FFFFFF"/>
                          </a:solidFill>
                          <a:ln w="9525">
                            <a:solidFill>
                              <a:srgbClr val="000000"/>
                            </a:solidFill>
                            <a:miter lim="800000"/>
                            <a:headEnd/>
                            <a:tailEnd/>
                          </a:ln>
                        </wps:spPr>
                        <wps:txbx>
                          <w:txbxContent>
                            <w:p w:rsidR="00CC4AB1" w:rsidRPr="00276B56" w:rsidRDefault="00CC4AB1" w:rsidP="00EE7D6F">
                              <w:pPr>
                                <w:rPr>
                                  <w:szCs w:val="21"/>
                                </w:rPr>
                              </w:pPr>
                              <w:r w:rsidRPr="008B04EC">
                                <w:rPr>
                                  <w:rFonts w:hAnsi="宋体"/>
                                  <w:szCs w:val="21"/>
                                </w:rPr>
                                <w:t>规划数据流活动（</w:t>
                              </w:r>
                              <w:r>
                                <w:rPr>
                                  <w:szCs w:val="21"/>
                                </w:rPr>
                                <w:t>6</w:t>
                              </w:r>
                              <w:r w:rsidRPr="00276B56">
                                <w:rPr>
                                  <w:szCs w:val="21"/>
                                </w:rPr>
                                <w:t>.2</w:t>
                              </w:r>
                              <w:r w:rsidRPr="008B04EC">
                                <w:rPr>
                                  <w:rFonts w:hAnsi="宋体"/>
                                  <w:szCs w:val="21"/>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BD9FC" id="组合 10" o:spid="_x0000_s1026" style="position:absolute;left:0;text-align:left;margin-left:58.1pt;margin-top:6.55pt;width:350.5pt;height:276.3pt;z-index:251668480" coordorigin="2605,4398" coordsize="7010,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9" o:spid="_x0000_s1027" type="#_x0000_t87" style="position:absolute;left:5760;top:4553;width:276;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" adj="1869"/>
                <v:rect id="Rectangle 67" o:spid="_x0000_s1028" style="position:absolute;left:6047;top:4398;width:3568;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rsidR="00CC4AB1" w:rsidRPr="00276B56" w:rsidRDefault="00CC4AB1" w:rsidP="00EE7D6F">
                        <w:pPr>
                          <w:rPr>
                            <w:szCs w:val="21"/>
                          </w:rPr>
                        </w:pPr>
                        <w:r w:rsidRPr="008B04EC">
                          <w:rPr>
                            <w:rFonts w:hAnsi="宋体"/>
                            <w:szCs w:val="21"/>
                          </w:rPr>
                          <w:t>排放源等级划分</w:t>
                        </w:r>
                        <w:r>
                          <w:rPr>
                            <w:rFonts w:hAnsi="宋体" w:hint="eastAsia"/>
                            <w:szCs w:val="21"/>
                          </w:rPr>
                          <w:t>规则</w:t>
                        </w:r>
                        <w:r w:rsidRPr="00276B56">
                          <w:rPr>
                            <w:szCs w:val="21"/>
                          </w:rPr>
                          <w:t xml:space="preserve"> </w:t>
                        </w:r>
                        <w:r w:rsidRPr="008B04EC">
                          <w:rPr>
                            <w:rFonts w:hAnsi="宋体"/>
                            <w:szCs w:val="21"/>
                          </w:rPr>
                          <w:t>（</w:t>
                        </w:r>
                        <w:r>
                          <w:rPr>
                            <w:szCs w:val="21"/>
                          </w:rPr>
                          <w:t>5</w:t>
                        </w:r>
                        <w:r w:rsidRPr="00276B56">
                          <w:rPr>
                            <w:szCs w:val="21"/>
                          </w:rPr>
                          <w:t>.1</w:t>
                        </w:r>
                        <w:r w:rsidRPr="008B04EC">
                          <w:rPr>
                            <w:rFonts w:hAnsi="宋体"/>
                            <w:szCs w:val="21"/>
                          </w:rPr>
                          <w:t>）</w:t>
                        </w:r>
                      </w:p>
                    </w:txbxContent>
                  </v:textbox>
                </v:rect>
                <v:rect id="Rectangle 50" o:spid="_x0000_s1029" style="position:absolute;left:6033;top:5074;width:3568;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CC4AB1" w:rsidRPr="00276B56" w:rsidRDefault="00CC4AB1" w:rsidP="00EE7D6F">
                        <w:pPr>
                          <w:rPr>
                            <w:szCs w:val="21"/>
                          </w:rPr>
                        </w:pPr>
                        <w:r w:rsidRPr="008B04EC">
                          <w:rPr>
                            <w:rFonts w:hAnsi="宋体"/>
                            <w:szCs w:val="21"/>
                          </w:rPr>
                          <w:t>数据获取要求</w:t>
                        </w:r>
                        <w:r w:rsidRPr="00276B56">
                          <w:rPr>
                            <w:szCs w:val="21"/>
                          </w:rPr>
                          <w:t xml:space="preserve"> </w:t>
                        </w:r>
                        <w:r w:rsidRPr="008B04EC">
                          <w:rPr>
                            <w:rFonts w:hAnsi="宋体"/>
                            <w:szCs w:val="21"/>
                          </w:rPr>
                          <w:t>（</w:t>
                        </w:r>
                        <w:r>
                          <w:rPr>
                            <w:szCs w:val="21"/>
                          </w:rPr>
                          <w:t>5</w:t>
                        </w:r>
                        <w:r w:rsidRPr="00276B56">
                          <w:rPr>
                            <w:szCs w:val="21"/>
                          </w:rPr>
                          <w:t>.2</w:t>
                        </w:r>
                        <w:r w:rsidRPr="008B04EC">
                          <w:rPr>
                            <w:rFonts w:hAnsi="宋体"/>
                            <w:szCs w:val="21"/>
                          </w:rPr>
                          <w:t>）</w:t>
                        </w:r>
                      </w:p>
                    </w:txbxContent>
                  </v:textbox>
                </v:rect>
                <v:rect id="Rectangle 72" o:spid="_x0000_s1030" style="position:absolute;left:6037;top:8328;width:3568;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rsidR="00CC4AB1" w:rsidRPr="00276B56" w:rsidRDefault="00CC4AB1" w:rsidP="00EE7D6F">
                        <w:pPr>
                          <w:rPr>
                            <w:szCs w:val="21"/>
                          </w:rPr>
                        </w:pPr>
                        <w:r w:rsidRPr="008B04EC">
                          <w:rPr>
                            <w:rFonts w:hAnsi="宋体"/>
                            <w:szCs w:val="21"/>
                          </w:rPr>
                          <w:t>监测计划</w:t>
                        </w:r>
                        <w:r w:rsidRPr="00276B56">
                          <w:rPr>
                            <w:szCs w:val="21"/>
                          </w:rPr>
                          <w:t xml:space="preserve"> </w:t>
                        </w:r>
                        <w:r w:rsidRPr="008B04EC">
                          <w:rPr>
                            <w:rFonts w:hAnsi="宋体"/>
                            <w:szCs w:val="21"/>
                          </w:rPr>
                          <w:t>（</w:t>
                        </w:r>
                        <w:r>
                          <w:rPr>
                            <w:szCs w:val="21"/>
                          </w:rPr>
                          <w:t>6</w:t>
                        </w:r>
                        <w:r w:rsidRPr="00276B56">
                          <w:rPr>
                            <w:szCs w:val="21"/>
                          </w:rPr>
                          <w:t>.6</w:t>
                        </w:r>
                        <w:r w:rsidRPr="008B04EC">
                          <w:rPr>
                            <w:rFonts w:hAnsi="宋体"/>
                            <w:szCs w:val="21"/>
                          </w:rPr>
                          <w:t>）</w:t>
                        </w:r>
                      </w:p>
                    </w:txbxContent>
                  </v:textbox>
                </v:rect>
                <v:rect id="Rectangle 51" o:spid="_x0000_s1031" style="position:absolute;left:3620;top:4661;width:2141;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rsidR="00CC4AB1" w:rsidRPr="00276B56" w:rsidRDefault="00CC4AB1" w:rsidP="00EE7D6F">
                        <w:pPr>
                          <w:jc w:val="center"/>
                          <w:rPr>
                            <w:szCs w:val="21"/>
                          </w:rPr>
                        </w:pPr>
                        <w:r w:rsidRPr="008B04EC">
                          <w:rPr>
                            <w:rFonts w:hAnsi="宋体"/>
                            <w:szCs w:val="21"/>
                          </w:rPr>
                          <w:t>排放源等级划分</w:t>
                        </w:r>
                      </w:p>
                      <w:p w:rsidR="00CC4AB1" w:rsidRPr="00276B56" w:rsidRDefault="00CC4AB1" w:rsidP="00EE7D6F">
                        <w:pPr>
                          <w:jc w:val="center"/>
                          <w:rPr>
                            <w:szCs w:val="21"/>
                          </w:rPr>
                        </w:pPr>
                        <w:r w:rsidRPr="008B04EC">
                          <w:rPr>
                            <w:rFonts w:hAnsi="宋体"/>
                            <w:szCs w:val="21"/>
                          </w:rPr>
                          <w:t>（</w:t>
                        </w:r>
                        <w:r>
                          <w:rPr>
                            <w:szCs w:val="21"/>
                          </w:rPr>
                          <w:t>5</w:t>
                        </w:r>
                        <w:r w:rsidRPr="008B04EC">
                          <w:rPr>
                            <w:rFonts w:hAnsi="宋体"/>
                            <w:szCs w:val="21"/>
                          </w:rPr>
                          <w:t>）</w:t>
                        </w:r>
                      </w:p>
                    </w:txbxContent>
                  </v:textbox>
                </v:rect>
                <v:rect id="Rectangle 52" o:spid="_x0000_s1032" style="position:absolute;left:3537;top:6819;width:2224;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CC4AB1" w:rsidRPr="00276B56" w:rsidRDefault="00CC4AB1" w:rsidP="00EE7D6F">
                        <w:pPr>
                          <w:jc w:val="center"/>
                          <w:rPr>
                            <w:szCs w:val="21"/>
                          </w:rPr>
                        </w:pPr>
                        <w:r w:rsidRPr="008B04EC">
                          <w:rPr>
                            <w:rFonts w:hAnsi="宋体"/>
                            <w:szCs w:val="21"/>
                          </w:rPr>
                          <w:t>质量管理方案制定</w:t>
                        </w:r>
                      </w:p>
                      <w:p w:rsidR="00CC4AB1" w:rsidRPr="00276B56" w:rsidRDefault="00CC4AB1" w:rsidP="00EE7D6F">
                        <w:pPr>
                          <w:jc w:val="center"/>
                          <w:rPr>
                            <w:szCs w:val="21"/>
                          </w:rPr>
                        </w:pPr>
                        <w:r w:rsidRPr="008B04EC">
                          <w:rPr>
                            <w:rFonts w:hAnsi="宋体"/>
                            <w:szCs w:val="21"/>
                          </w:rPr>
                          <w:t>（</w:t>
                        </w:r>
                        <w:r>
                          <w:rPr>
                            <w:szCs w:val="21"/>
                          </w:rPr>
                          <w:t>6</w:t>
                        </w:r>
                        <w:r w:rsidRPr="008B04EC">
                          <w:rPr>
                            <w:rFonts w:hAnsi="宋体"/>
                            <w:szCs w:val="21"/>
                          </w:rPr>
                          <w:t>）</w:t>
                        </w:r>
                      </w:p>
                      <w:p w:rsidR="00CC4AB1" w:rsidRPr="00276B56" w:rsidRDefault="00CC4AB1" w:rsidP="00EE7D6F">
                        <w:pPr>
                          <w:rPr>
                            <w:szCs w:val="21"/>
                          </w:rPr>
                        </w:pPr>
                        <w:r w:rsidRPr="00276B56">
                          <w:rPr>
                            <w:szCs w:val="21"/>
                          </w:rPr>
                          <w:t>4</w:t>
                        </w:r>
                      </w:p>
                    </w:txbxContent>
                  </v:textbox>
                </v:rect>
                <v:rect id="Rectangle 53" o:spid="_x0000_s1033" style="position:absolute;left:3619;top:8927;width:2141;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CC4AB1" w:rsidRPr="008B04EC" w:rsidRDefault="00CC4AB1" w:rsidP="00EE7D6F">
                        <w:pPr>
                          <w:jc w:val="center"/>
                          <w:rPr>
                            <w:color w:val="000000"/>
                            <w:szCs w:val="21"/>
                          </w:rPr>
                        </w:pPr>
                        <w:r w:rsidRPr="008B04EC">
                          <w:rPr>
                            <w:rFonts w:hAnsi="宋体"/>
                            <w:color w:val="000000"/>
                            <w:szCs w:val="21"/>
                          </w:rPr>
                          <w:t>质量管理方案改进</w:t>
                        </w:r>
                      </w:p>
                      <w:p w:rsidR="00CC4AB1" w:rsidRPr="00276B56" w:rsidRDefault="00CC4AB1" w:rsidP="00EE7D6F">
                        <w:pPr>
                          <w:jc w:val="center"/>
                          <w:rPr>
                            <w:szCs w:val="21"/>
                          </w:rPr>
                        </w:pPr>
                        <w:r w:rsidRPr="008B04EC">
                          <w:rPr>
                            <w:rFonts w:hAnsi="宋体"/>
                            <w:szCs w:val="21"/>
                          </w:rPr>
                          <w:t>（</w:t>
                        </w:r>
                        <w:r>
                          <w:rPr>
                            <w:szCs w:val="21"/>
                          </w:rPr>
                          <w:t>7</w:t>
                        </w:r>
                        <w:r w:rsidRPr="008B04EC">
                          <w:rPr>
                            <w:rFonts w:hAnsi="宋体"/>
                            <w:szCs w:val="21"/>
                          </w:rPr>
                          <w:t>）</w:t>
                        </w:r>
                      </w:p>
                    </w:txbxContent>
                  </v:textbox>
                </v:rect>
                <v:rect id="Rectangle 54" o:spid="_x0000_s1034" style="position:absolute;left:6037;top:6819;width:356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CC4AB1" w:rsidRPr="00276B56" w:rsidRDefault="00CC4AB1" w:rsidP="00EE7D6F">
                        <w:pPr>
                          <w:rPr>
                            <w:szCs w:val="21"/>
                          </w:rPr>
                        </w:pPr>
                        <w:r w:rsidRPr="008B04EC">
                          <w:rPr>
                            <w:rFonts w:hAnsi="宋体"/>
                            <w:szCs w:val="21"/>
                          </w:rPr>
                          <w:t>风险识别（</w:t>
                        </w:r>
                        <w:r>
                          <w:rPr>
                            <w:szCs w:val="21"/>
                          </w:rPr>
                          <w:t>6</w:t>
                        </w:r>
                        <w:r w:rsidRPr="00276B56">
                          <w:rPr>
                            <w:szCs w:val="21"/>
                          </w:rPr>
                          <w:t>.3</w:t>
                        </w:r>
                        <w:r w:rsidRPr="008B04EC">
                          <w:rPr>
                            <w:rFonts w:hAnsi="宋体"/>
                            <w:szCs w:val="21"/>
                          </w:rPr>
                          <w:t>）</w:t>
                        </w:r>
                      </w:p>
                    </w:txbxContent>
                  </v:textbox>
                </v:rect>
                <v:rect id="Rectangle 55" o:spid="_x0000_s1035" style="position:absolute;left:6037;top:9398;width:3568;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rsidR="00CC4AB1" w:rsidRPr="00276B56" w:rsidRDefault="00CC4AB1" w:rsidP="00EE7D6F">
                        <w:pPr>
                          <w:rPr>
                            <w:szCs w:val="21"/>
                          </w:rPr>
                        </w:pPr>
                        <w:r w:rsidRPr="008B04EC">
                          <w:rPr>
                            <w:rFonts w:hAnsi="宋体"/>
                            <w:szCs w:val="21"/>
                          </w:rPr>
                          <w:t>改进措施</w:t>
                        </w:r>
                        <w:r w:rsidRPr="00276B56">
                          <w:rPr>
                            <w:szCs w:val="21"/>
                          </w:rPr>
                          <w:t xml:space="preserve">  </w:t>
                        </w:r>
                        <w:r w:rsidRPr="008B04EC">
                          <w:rPr>
                            <w:rFonts w:hAnsi="宋体"/>
                            <w:szCs w:val="21"/>
                          </w:rPr>
                          <w:t>（</w:t>
                        </w:r>
                        <w:r>
                          <w:rPr>
                            <w:szCs w:val="21"/>
                          </w:rPr>
                          <w:t>7</w:t>
                        </w:r>
                        <w:r w:rsidRPr="00276B56">
                          <w:rPr>
                            <w:szCs w:val="21"/>
                          </w:rPr>
                          <w:t>.2</w:t>
                        </w:r>
                        <w:r w:rsidRPr="008B04EC">
                          <w:rPr>
                            <w:rFonts w:hAnsi="宋体"/>
                            <w:szCs w:val="21"/>
                          </w:rPr>
                          <w:t>）</w:t>
                        </w:r>
                      </w:p>
                    </w:txbxContent>
                  </v:textbox>
                </v:rect>
                <v:rect id="Rectangle 56" o:spid="_x0000_s1036" style="position:absolute;left:2605;top:5075;width:552;height:4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">
                  <v:textbox style="layout-flow:vertical-ideographic">
                    <w:txbxContent>
                      <w:p w:rsidR="00CC4AB1" w:rsidRPr="00276B56" w:rsidRDefault="00CC4AB1" w:rsidP="00EE7D6F">
                        <w:pPr>
                          <w:rPr>
                            <w:szCs w:val="21"/>
                          </w:rPr>
                        </w:pPr>
                        <w:r w:rsidRPr="008B04EC">
                          <w:rPr>
                            <w:rFonts w:hAnsi="宋体"/>
                            <w:szCs w:val="21"/>
                          </w:rPr>
                          <w:t>工业企业温室气体排放数据质量管理体系</w:t>
                        </w:r>
                      </w:p>
                    </w:txbxContent>
                  </v:textbox>
                </v:rect>
                <v:shape id="AutoShape 58" o:spid="_x0000_s1037" type="#_x0000_t87" style="position:absolute;left:5761;top:5904;width:2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" adj="1352"/>
                <v:shape id="AutoShape 15" o:spid="_x0000_s1038" type="#_x0000_t87" style="position:absolute;left:5761;top:8927;width:276;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" adj="2087"/>
                <v:shapetype id="_x0000_t32" coordsize="21600,21600" o:spt="32" o:oned="t" path="m,l21600,21600e" filled="f">
                  <v:path arrowok="t" fillok="f" o:connecttype="none"/>
                  <o:lock v:ext="edit" shapetype="t"/>
                </v:shapetype>
                <v:shape id="AutoShape 60" o:spid="_x0000_s1039" type="#_x0000_t32" style="position:absolute;left:3432;top:5075;width:1;height:4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61" o:spid="_x0000_s1040" type="#_x0000_t32" style="position:absolute;left:3431;top:5074;width:1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AutoShape 62" o:spid="_x0000_s1041" type="#_x0000_t32" style="position:absolute;left:3432;top:6719;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63" o:spid="_x0000_s1042" type="#_x0000_t32" style="position:absolute;left:3432;top:9170;width:1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shape id="AutoShape 64" o:spid="_x0000_s1043" type="#_x0000_t32" style="position:absolute;left:3157;top:7170;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5" o:spid="_x0000_s1044" type="#_x0000_t67" style="position:absolute;left:4463;top:5406;width:326;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" adj="15791">
                  <v:textbox style="layout-flow:vertical-ideographic"/>
                </v:shape>
                <v:shape id="AutoShape 66" o:spid="_x0000_s1045" type="#_x0000_t67" style="position:absolute;left:4463;top:7528;width:326;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" adj="13417">
                  <v:textbox style="layout-flow:vertical-ideographic"/>
                </v:shape>
                <v:rect id="Rectangle 23" o:spid="_x0000_s1046" style="position:absolute;left:6029;top:8873;width:3568;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CC4AB1" w:rsidRPr="00276B56" w:rsidRDefault="00CC4AB1" w:rsidP="00EE7D6F">
                        <w:pPr>
                          <w:rPr>
                            <w:szCs w:val="21"/>
                          </w:rPr>
                        </w:pPr>
                        <w:r w:rsidRPr="008B04EC">
                          <w:rPr>
                            <w:rFonts w:hAnsi="宋体"/>
                            <w:szCs w:val="21"/>
                          </w:rPr>
                          <w:t>数据质量内审（</w:t>
                        </w:r>
                        <w:r>
                          <w:rPr>
                            <w:szCs w:val="21"/>
                          </w:rPr>
                          <w:t>7</w:t>
                        </w:r>
                        <w:r w:rsidRPr="00276B56">
                          <w:rPr>
                            <w:szCs w:val="21"/>
                          </w:rPr>
                          <w:t>.1</w:t>
                        </w:r>
                        <w:r w:rsidRPr="008B04EC">
                          <w:rPr>
                            <w:rFonts w:hAnsi="宋体"/>
                            <w:szCs w:val="21"/>
                          </w:rPr>
                          <w:t>）</w:t>
                        </w:r>
                      </w:p>
                    </w:txbxContent>
                  </v:textbox>
                </v:rect>
                <v:rect id="Rectangle 70" o:spid="_x0000_s1047" style="position:absolute;left:6037;top:5735;width:3568;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rsidR="00CC4AB1" w:rsidRPr="00276B56" w:rsidRDefault="00CC4AB1" w:rsidP="00EE7D6F">
                        <w:pPr>
                          <w:rPr>
                            <w:szCs w:val="21"/>
                          </w:rPr>
                        </w:pPr>
                        <w:r w:rsidRPr="008B04EC">
                          <w:rPr>
                            <w:rFonts w:hAnsi="宋体"/>
                            <w:szCs w:val="21"/>
                          </w:rPr>
                          <w:t>监测条件评估</w:t>
                        </w:r>
                        <w:r w:rsidRPr="00276B56">
                          <w:rPr>
                            <w:szCs w:val="21"/>
                          </w:rPr>
                          <w:t xml:space="preserve"> </w:t>
                        </w:r>
                        <w:r w:rsidRPr="008B04EC">
                          <w:rPr>
                            <w:rFonts w:hAnsi="宋体"/>
                            <w:szCs w:val="21"/>
                          </w:rPr>
                          <w:t>（</w:t>
                        </w:r>
                        <w:r>
                          <w:rPr>
                            <w:szCs w:val="21"/>
                          </w:rPr>
                          <w:t>6</w:t>
                        </w:r>
                        <w:r w:rsidRPr="00276B56">
                          <w:rPr>
                            <w:szCs w:val="21"/>
                          </w:rPr>
                          <w:t>.1</w:t>
                        </w:r>
                        <w:r w:rsidRPr="008B04EC">
                          <w:rPr>
                            <w:rFonts w:hAnsi="宋体"/>
                            <w:szCs w:val="21"/>
                          </w:rPr>
                          <w:t>）</w:t>
                        </w:r>
                      </w:p>
                    </w:txbxContent>
                  </v:textbox>
                </v:rect>
                <v:rect id="Rectangle 71" o:spid="_x0000_s1048" style="position:absolute;left:6037;top:7303;width:3568;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rsidR="00CC4AB1" w:rsidRPr="00276B56" w:rsidRDefault="00CC4AB1" w:rsidP="00EE7D6F">
                        <w:pPr>
                          <w:rPr>
                            <w:szCs w:val="21"/>
                          </w:rPr>
                        </w:pPr>
                        <w:r w:rsidRPr="008B04EC">
                          <w:rPr>
                            <w:rFonts w:hAnsi="宋体"/>
                            <w:szCs w:val="21"/>
                          </w:rPr>
                          <w:t>数据质量控制要求（</w:t>
                        </w:r>
                        <w:r>
                          <w:rPr>
                            <w:szCs w:val="21"/>
                          </w:rPr>
                          <w:t>6</w:t>
                        </w:r>
                        <w:r w:rsidRPr="00276B56">
                          <w:rPr>
                            <w:szCs w:val="21"/>
                          </w:rPr>
                          <w:t>.4</w:t>
                        </w:r>
                        <w:r w:rsidRPr="008B04EC">
                          <w:rPr>
                            <w:rFonts w:hAnsi="宋体"/>
                            <w:szCs w:val="21"/>
                          </w:rPr>
                          <w:t>）</w:t>
                        </w:r>
                      </w:p>
                    </w:txbxContent>
                  </v:textbox>
                </v:rect>
                <v:rect id="Rectangle 26" o:spid="_x0000_s1049" style="position:absolute;left:6037;top:7819;width:3568;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rsidR="00CC4AB1" w:rsidRPr="00276B56" w:rsidRDefault="00CC4AB1" w:rsidP="00EE7D6F">
                        <w:pPr>
                          <w:rPr>
                            <w:szCs w:val="21"/>
                          </w:rPr>
                        </w:pPr>
                        <w:r w:rsidRPr="008B04EC">
                          <w:rPr>
                            <w:rFonts w:hAnsi="宋体"/>
                            <w:szCs w:val="21"/>
                          </w:rPr>
                          <w:t>数据不确定性分析</w:t>
                        </w:r>
                        <w:r w:rsidRPr="00276B56">
                          <w:rPr>
                            <w:szCs w:val="21"/>
                          </w:rPr>
                          <w:t xml:space="preserve"> </w:t>
                        </w:r>
                        <w:r w:rsidRPr="008B04EC">
                          <w:rPr>
                            <w:rFonts w:hAnsi="宋体"/>
                            <w:szCs w:val="21"/>
                          </w:rPr>
                          <w:t>（</w:t>
                        </w:r>
                        <w:r>
                          <w:rPr>
                            <w:szCs w:val="21"/>
                          </w:rPr>
                          <w:t>6</w:t>
                        </w:r>
                        <w:r w:rsidRPr="00276B56">
                          <w:rPr>
                            <w:szCs w:val="21"/>
                          </w:rPr>
                          <w:t>.5</w:t>
                        </w:r>
                        <w:r w:rsidRPr="008B04EC">
                          <w:rPr>
                            <w:rFonts w:hAnsi="宋体"/>
                            <w:szCs w:val="21"/>
                          </w:rPr>
                          <w:t>）</w:t>
                        </w:r>
                      </w:p>
                    </w:txbxContent>
                  </v:textbox>
                </v:rect>
                <v:rect id="Rectangle 73" o:spid="_x0000_s1050" style="position:absolute;left:6037;top:6239;width:35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rsidR="00CC4AB1" w:rsidRPr="00276B56" w:rsidRDefault="00CC4AB1" w:rsidP="00EE7D6F">
                        <w:pPr>
                          <w:rPr>
                            <w:szCs w:val="21"/>
                          </w:rPr>
                        </w:pPr>
                        <w:r w:rsidRPr="008B04EC">
                          <w:rPr>
                            <w:rFonts w:hAnsi="宋体"/>
                            <w:szCs w:val="21"/>
                          </w:rPr>
                          <w:t>规划数据流活动（</w:t>
                        </w:r>
                        <w:r>
                          <w:rPr>
                            <w:szCs w:val="21"/>
                          </w:rPr>
                          <w:t>6</w:t>
                        </w:r>
                        <w:r w:rsidRPr="00276B56">
                          <w:rPr>
                            <w:szCs w:val="21"/>
                          </w:rPr>
                          <w:t>.2</w:t>
                        </w:r>
                        <w:r w:rsidRPr="008B04EC">
                          <w:rPr>
                            <w:rFonts w:hAnsi="宋体"/>
                            <w:szCs w:val="21"/>
                          </w:rPr>
                          <w:t>）</w:t>
                        </w:r>
                      </w:p>
                    </w:txbxContent>
                  </v:textbox>
                </v:rect>
              </v:group>
            </w:pict>
          </mc:Fallback>
        </mc:AlternateContent>
      </w:r>
    </w:p>
    <w:p w:rsidR="00FA1A0C" w:rsidRDefault="00FA1A0C" w:rsidP="00FA1A0C">
      <w:pPr>
        <w:spacing w:line="360" w:lineRule="auto"/>
        <w:ind w:firstLine="420"/>
        <w:rPr>
          <w:rFonts w:ascii="宋体" w:hAnsi="宋体"/>
          <w:szCs w:val="28"/>
        </w:rPr>
      </w:pPr>
    </w:p>
    <w:p w:rsidR="00FA1A0C" w:rsidRDefault="00FA1A0C" w:rsidP="00FA1A0C">
      <w:pPr>
        <w:spacing w:line="360" w:lineRule="auto"/>
        <w:ind w:firstLine="420"/>
        <w:rPr>
          <w:rFonts w:ascii="宋体" w:hAnsi="宋体"/>
          <w:szCs w:val="28"/>
        </w:rPr>
      </w:pPr>
    </w:p>
    <w:p w:rsidR="00FA1A0C" w:rsidRDefault="00FA1A0C" w:rsidP="00FA1A0C">
      <w:pPr>
        <w:spacing w:line="360" w:lineRule="auto"/>
        <w:ind w:firstLine="420"/>
        <w:rPr>
          <w:rFonts w:ascii="宋体" w:hAnsi="宋体"/>
          <w:szCs w:val="28"/>
        </w:rPr>
      </w:pPr>
    </w:p>
    <w:p w:rsidR="00FA1A0C" w:rsidRDefault="00FA1A0C" w:rsidP="00FA1A0C">
      <w:pPr>
        <w:spacing w:line="360" w:lineRule="auto"/>
        <w:ind w:firstLine="420"/>
        <w:rPr>
          <w:rFonts w:ascii="宋体" w:hAnsi="宋体"/>
          <w:szCs w:val="28"/>
        </w:rPr>
      </w:pPr>
    </w:p>
    <w:p w:rsidR="00FA1A0C" w:rsidRDefault="00FA1A0C" w:rsidP="00FA1A0C">
      <w:pPr>
        <w:spacing w:line="360" w:lineRule="auto"/>
        <w:ind w:firstLine="420"/>
        <w:rPr>
          <w:rFonts w:ascii="宋体" w:hAnsi="宋体"/>
          <w:szCs w:val="28"/>
        </w:rPr>
      </w:pPr>
    </w:p>
    <w:p w:rsidR="00FA1A0C" w:rsidRDefault="00FA1A0C" w:rsidP="00FA1A0C">
      <w:pPr>
        <w:spacing w:line="360" w:lineRule="auto"/>
        <w:ind w:firstLine="420"/>
        <w:rPr>
          <w:rFonts w:ascii="宋体" w:hAnsi="宋体"/>
          <w:szCs w:val="28"/>
        </w:rPr>
      </w:pPr>
    </w:p>
    <w:p w:rsidR="00FA1A0C" w:rsidRDefault="00FA1A0C" w:rsidP="00FA1A0C">
      <w:pPr>
        <w:spacing w:line="360" w:lineRule="auto"/>
        <w:ind w:firstLine="420"/>
        <w:rPr>
          <w:rFonts w:ascii="宋体" w:hAnsi="宋体"/>
          <w:szCs w:val="28"/>
        </w:rPr>
      </w:pPr>
    </w:p>
    <w:p w:rsidR="00FA1A0C" w:rsidRDefault="00FA1A0C" w:rsidP="00FA1A0C">
      <w:pPr>
        <w:spacing w:line="360" w:lineRule="auto"/>
        <w:ind w:firstLine="420"/>
        <w:rPr>
          <w:rFonts w:ascii="宋体" w:hAnsi="宋体"/>
          <w:szCs w:val="28"/>
        </w:rPr>
      </w:pPr>
    </w:p>
    <w:p w:rsidR="00FA1A0C" w:rsidRDefault="00FA1A0C" w:rsidP="00FA1A0C">
      <w:pPr>
        <w:spacing w:line="360" w:lineRule="auto"/>
        <w:ind w:firstLine="420"/>
        <w:rPr>
          <w:rFonts w:ascii="宋体" w:hAnsi="宋体"/>
          <w:szCs w:val="28"/>
        </w:rPr>
      </w:pPr>
    </w:p>
    <w:p w:rsidR="00FA1A0C" w:rsidRDefault="00FA1A0C" w:rsidP="00FA1A0C">
      <w:pPr>
        <w:spacing w:line="360" w:lineRule="auto"/>
        <w:ind w:firstLine="420"/>
        <w:rPr>
          <w:rFonts w:ascii="宋体" w:hAnsi="宋体"/>
          <w:szCs w:val="28"/>
        </w:rPr>
      </w:pPr>
      <w:r>
        <w:rPr>
          <w:rFonts w:ascii="宋体" w:hAnsi="宋体" w:hint="eastAsia"/>
          <w:szCs w:val="28"/>
        </w:rPr>
        <w:t xml:space="preserve"> </w:t>
      </w:r>
      <w:r>
        <w:rPr>
          <w:rFonts w:ascii="宋体" w:hAnsi="宋体"/>
          <w:szCs w:val="28"/>
        </w:rPr>
        <w:t xml:space="preserve"> </w:t>
      </w:r>
    </w:p>
    <w:p w:rsidR="00FA1A0C" w:rsidRDefault="00FA1A0C" w:rsidP="00FA1A0C">
      <w:pPr>
        <w:spacing w:line="360" w:lineRule="auto"/>
        <w:ind w:firstLine="420"/>
        <w:rPr>
          <w:rFonts w:ascii="宋体" w:hAnsi="宋体"/>
          <w:szCs w:val="28"/>
        </w:rPr>
      </w:pPr>
    </w:p>
    <w:p w:rsidR="00FA1A0C" w:rsidRDefault="00FA1A0C" w:rsidP="00FA1A0C">
      <w:pPr>
        <w:spacing w:line="360" w:lineRule="auto"/>
        <w:ind w:firstLine="420"/>
        <w:jc w:val="center"/>
        <w:rPr>
          <w:rFonts w:ascii="黑体" w:eastAsia="黑体" w:hAnsi="黑体"/>
          <w:szCs w:val="28"/>
        </w:rPr>
      </w:pPr>
      <w:r w:rsidRPr="00276B56">
        <w:rPr>
          <w:rFonts w:ascii="黑体" w:eastAsia="黑体" w:hAnsi="黑体" w:hint="eastAsia"/>
          <w:szCs w:val="28"/>
        </w:rPr>
        <w:t>图1 工业企业温室气体排放数据质量管理体系框架图</w:t>
      </w:r>
    </w:p>
    <w:p w:rsidR="00FA1A0C" w:rsidRPr="00180FAA" w:rsidRDefault="00FA1A0C" w:rsidP="00180FAA">
      <w:pPr>
        <w:pStyle w:val="a1"/>
        <w:spacing w:before="312" w:after="312"/>
      </w:pPr>
      <w:bookmarkStart w:id="39" w:name="_Toc9924486"/>
      <w:r w:rsidRPr="00180FAA">
        <w:rPr>
          <w:rFonts w:hint="eastAsia"/>
        </w:rPr>
        <w:t>排放源等级划分</w:t>
      </w:r>
      <w:bookmarkEnd w:id="39"/>
    </w:p>
    <w:p w:rsidR="00FA1A0C" w:rsidRPr="00EE7D6F" w:rsidRDefault="00FA1A0C" w:rsidP="00EE7D6F">
      <w:pPr>
        <w:pStyle w:val="a2"/>
        <w:spacing w:before="156" w:after="156"/>
      </w:pPr>
      <w:bookmarkStart w:id="40" w:name="_Toc9924487"/>
      <w:r w:rsidRPr="00EE7D6F">
        <w:rPr>
          <w:rFonts w:hint="eastAsia"/>
        </w:rPr>
        <w:t>排放源等级划分规则</w:t>
      </w:r>
      <w:bookmarkEnd w:id="40"/>
    </w:p>
    <w:p w:rsidR="00FA1A0C" w:rsidRPr="00276B56" w:rsidRDefault="00FA1A0C" w:rsidP="00FA1A0C">
      <w:pPr>
        <w:pStyle w:val="affffffb"/>
        <w:spacing w:before="156" w:after="156"/>
        <w:ind w:firstLineChars="200" w:firstLine="420"/>
        <w:rPr>
          <w:rFonts w:ascii="Times New Roman" w:hAnsi="Times New Roman"/>
          <w:szCs w:val="28"/>
        </w:rPr>
      </w:pPr>
      <w:bookmarkStart w:id="41" w:name="_Hlk8913246"/>
      <w:r w:rsidRPr="00276B56">
        <w:rPr>
          <w:rFonts w:ascii="Times New Roman" w:hAnsi="宋体"/>
          <w:szCs w:val="28"/>
        </w:rPr>
        <w:t>工业企业应对温室气体排放源进行等级划分，根据设施的重要程度及排放量占企业年度排放总量的比例可将其划分为</w:t>
      </w:r>
      <w:r w:rsidRPr="00276B56">
        <w:rPr>
          <w:rFonts w:ascii="Times New Roman" w:hAnsi="Times New Roman"/>
          <w:szCs w:val="28"/>
        </w:rPr>
        <w:t>3</w:t>
      </w:r>
      <w:r w:rsidRPr="00276B56">
        <w:rPr>
          <w:rFonts w:ascii="Times New Roman" w:hAnsi="宋体"/>
          <w:szCs w:val="28"/>
        </w:rPr>
        <w:t>个等级</w:t>
      </w:r>
      <w:r w:rsidRPr="00276B56">
        <w:rPr>
          <w:rFonts w:ascii="Times New Roman" w:hAnsi="Times New Roman"/>
          <w:szCs w:val="28"/>
        </w:rPr>
        <w:t xml:space="preserve">: </w:t>
      </w:r>
    </w:p>
    <w:p w:rsidR="00FA1A0C" w:rsidRPr="00276B56" w:rsidRDefault="00FA1A0C" w:rsidP="003E6AB8">
      <w:pPr>
        <w:pStyle w:val="affffffb"/>
        <w:numPr>
          <w:ilvl w:val="0"/>
          <w:numId w:val="18"/>
        </w:numPr>
        <w:spacing w:before="156" w:after="156"/>
        <w:rPr>
          <w:rFonts w:ascii="Times New Roman" w:hAnsi="Times New Roman"/>
          <w:szCs w:val="28"/>
        </w:rPr>
      </w:pPr>
      <w:r w:rsidRPr="00276B56">
        <w:rPr>
          <w:rFonts w:ascii="Times New Roman" w:hAnsi="宋体"/>
          <w:szCs w:val="28"/>
        </w:rPr>
        <w:t>等级</w:t>
      </w:r>
      <w:r w:rsidRPr="00276B56">
        <w:rPr>
          <w:rFonts w:ascii="Times New Roman" w:hAnsi="Times New Roman"/>
          <w:szCs w:val="28"/>
        </w:rPr>
        <w:t>1——</w:t>
      </w:r>
      <w:r w:rsidRPr="00276B56">
        <w:rPr>
          <w:rFonts w:ascii="Times New Roman" w:hAnsi="宋体"/>
          <w:szCs w:val="28"/>
        </w:rPr>
        <w:t>在企业重点排放设施之外的排放源，且其年平均排放量占企业总排放量的</w:t>
      </w:r>
      <w:r w:rsidRPr="00276B56">
        <w:rPr>
          <w:rFonts w:ascii="Times New Roman" w:hAnsi="Times New Roman"/>
          <w:szCs w:val="28"/>
        </w:rPr>
        <w:t>30%</w:t>
      </w:r>
      <w:r w:rsidRPr="00276B56">
        <w:rPr>
          <w:rFonts w:ascii="Times New Roman" w:hAnsi="宋体"/>
          <w:szCs w:val="28"/>
        </w:rPr>
        <w:t>以下；</w:t>
      </w:r>
    </w:p>
    <w:p w:rsidR="00FA1A0C" w:rsidRPr="00276B56" w:rsidRDefault="00FA1A0C" w:rsidP="003E6AB8">
      <w:pPr>
        <w:pStyle w:val="affffffb"/>
        <w:numPr>
          <w:ilvl w:val="0"/>
          <w:numId w:val="18"/>
        </w:numPr>
        <w:spacing w:before="156" w:after="156"/>
        <w:rPr>
          <w:rFonts w:ascii="Times New Roman" w:hAnsi="Times New Roman"/>
          <w:szCs w:val="28"/>
        </w:rPr>
      </w:pPr>
      <w:r w:rsidRPr="00276B56">
        <w:rPr>
          <w:rFonts w:ascii="Times New Roman" w:hAnsi="宋体"/>
          <w:szCs w:val="28"/>
        </w:rPr>
        <w:t>等级</w:t>
      </w:r>
      <w:r w:rsidRPr="00276B56">
        <w:rPr>
          <w:rFonts w:ascii="Times New Roman" w:hAnsi="Times New Roman"/>
          <w:szCs w:val="28"/>
        </w:rPr>
        <w:t>2——</w:t>
      </w:r>
      <w:r w:rsidRPr="00276B56">
        <w:rPr>
          <w:rFonts w:ascii="Times New Roman" w:hAnsi="宋体"/>
          <w:szCs w:val="28"/>
        </w:rPr>
        <w:t>在企业重点排放设施之外的排放源，且其年平均排放量占企业总排放量的</w:t>
      </w:r>
      <w:r w:rsidRPr="00276B56">
        <w:rPr>
          <w:rFonts w:ascii="Times New Roman" w:hAnsi="Times New Roman"/>
          <w:szCs w:val="28"/>
        </w:rPr>
        <w:t>30%-59%</w:t>
      </w:r>
      <w:r w:rsidRPr="00276B56">
        <w:rPr>
          <w:rFonts w:ascii="Times New Roman" w:hAnsi="宋体"/>
          <w:szCs w:val="28"/>
        </w:rPr>
        <w:t>；</w:t>
      </w:r>
    </w:p>
    <w:p w:rsidR="00FA1A0C" w:rsidRPr="00276B56" w:rsidRDefault="00FA1A0C" w:rsidP="003E6AB8">
      <w:pPr>
        <w:pStyle w:val="affffffb"/>
        <w:numPr>
          <w:ilvl w:val="0"/>
          <w:numId w:val="18"/>
        </w:numPr>
        <w:spacing w:before="156" w:after="156"/>
        <w:rPr>
          <w:rFonts w:ascii="Times New Roman" w:hAnsi="Times New Roman"/>
          <w:szCs w:val="28"/>
        </w:rPr>
      </w:pPr>
      <w:r w:rsidRPr="00276B56">
        <w:rPr>
          <w:rFonts w:ascii="Times New Roman" w:hAnsi="宋体"/>
          <w:szCs w:val="28"/>
        </w:rPr>
        <w:t>等级</w:t>
      </w:r>
      <w:r w:rsidRPr="00276B56">
        <w:rPr>
          <w:rFonts w:ascii="Times New Roman" w:hAnsi="Times New Roman"/>
          <w:szCs w:val="28"/>
        </w:rPr>
        <w:t>3——</w:t>
      </w:r>
      <w:r w:rsidRPr="00276B56">
        <w:rPr>
          <w:rFonts w:ascii="Times New Roman" w:hAnsi="宋体"/>
          <w:szCs w:val="28"/>
        </w:rPr>
        <w:t>排放</w:t>
      </w:r>
      <w:proofErr w:type="gramStart"/>
      <w:r w:rsidRPr="00276B56">
        <w:rPr>
          <w:rFonts w:ascii="Times New Roman" w:hAnsi="宋体"/>
          <w:szCs w:val="28"/>
        </w:rPr>
        <w:t>源位于</w:t>
      </w:r>
      <w:proofErr w:type="gramEnd"/>
      <w:r w:rsidRPr="00276B56">
        <w:rPr>
          <w:rFonts w:ascii="Times New Roman" w:hAnsi="宋体"/>
          <w:szCs w:val="28"/>
        </w:rPr>
        <w:t>企业内部的重点排放设施内或年平均排放量占企业总排放量的</w:t>
      </w:r>
      <w:r w:rsidRPr="00276B56">
        <w:rPr>
          <w:rFonts w:ascii="Times New Roman" w:hAnsi="Times New Roman"/>
          <w:szCs w:val="28"/>
        </w:rPr>
        <w:t xml:space="preserve">60% </w:t>
      </w:r>
      <w:r w:rsidRPr="00276B56">
        <w:rPr>
          <w:rFonts w:ascii="Times New Roman" w:hAnsi="宋体"/>
          <w:szCs w:val="28"/>
        </w:rPr>
        <w:t>及以上。</w:t>
      </w:r>
    </w:p>
    <w:bookmarkEnd w:id="41"/>
    <w:p w:rsidR="00FA1A0C" w:rsidRDefault="00FA1A0C" w:rsidP="00FA1A0C">
      <w:pPr>
        <w:pStyle w:val="affffffb"/>
        <w:spacing w:before="156" w:after="156"/>
        <w:ind w:firstLineChars="200" w:firstLine="420"/>
        <w:rPr>
          <w:rFonts w:ascii="Times New Roman" w:hAnsi="宋体"/>
          <w:szCs w:val="28"/>
        </w:rPr>
      </w:pPr>
      <w:r w:rsidRPr="00276B56">
        <w:rPr>
          <w:rFonts w:ascii="Times New Roman" w:hAnsi="宋体"/>
          <w:szCs w:val="28"/>
        </w:rPr>
        <w:t>在具体排放源等级划分阶段，</w:t>
      </w:r>
      <w:r w:rsidRPr="00276B56">
        <w:rPr>
          <w:rFonts w:ascii="Times New Roman" w:hAnsi="Times New Roman"/>
          <w:szCs w:val="28"/>
        </w:rPr>
        <w:t xml:space="preserve"> </w:t>
      </w:r>
      <w:r w:rsidRPr="00276B56">
        <w:rPr>
          <w:rFonts w:ascii="Times New Roman" w:hAnsi="宋体"/>
          <w:szCs w:val="28"/>
        </w:rPr>
        <w:t>工业企业可参见附录</w:t>
      </w:r>
      <w:r w:rsidRPr="00276B56">
        <w:rPr>
          <w:rFonts w:ascii="Times New Roman" w:hAnsi="Times New Roman"/>
          <w:szCs w:val="28"/>
        </w:rPr>
        <w:t>A</w:t>
      </w:r>
      <w:r w:rsidRPr="00276B56">
        <w:rPr>
          <w:rFonts w:ascii="Times New Roman" w:hAnsi="宋体"/>
          <w:szCs w:val="28"/>
        </w:rPr>
        <w:t>来确定重点设施。</w:t>
      </w:r>
    </w:p>
    <w:p w:rsidR="00FA1A0C" w:rsidRPr="00180FAA" w:rsidRDefault="00FA1A0C" w:rsidP="00EE7D6F">
      <w:pPr>
        <w:pStyle w:val="a2"/>
        <w:spacing w:before="156" w:after="156"/>
      </w:pPr>
      <w:bookmarkStart w:id="42" w:name="_Toc9924488"/>
      <w:r>
        <w:rPr>
          <w:rFonts w:hint="eastAsia"/>
        </w:rPr>
        <w:t>数据获取要求</w:t>
      </w:r>
      <w:bookmarkEnd w:id="42"/>
    </w:p>
    <w:p w:rsidR="00FA1A0C" w:rsidRPr="00276B56" w:rsidRDefault="00FA1A0C" w:rsidP="00FA1A0C">
      <w:pPr>
        <w:ind w:firstLine="420"/>
        <w:rPr>
          <w:szCs w:val="28"/>
        </w:rPr>
      </w:pPr>
      <w:bookmarkStart w:id="43" w:name="_Hlk8913301"/>
      <w:r w:rsidRPr="00276B56">
        <w:rPr>
          <w:szCs w:val="28"/>
        </w:rPr>
        <w:lastRenderedPageBreak/>
        <w:t>对于不同等级排放源的数据获取要求如下：</w:t>
      </w:r>
    </w:p>
    <w:p w:rsidR="00FA1A0C" w:rsidRPr="00276B56" w:rsidRDefault="00FA1A0C" w:rsidP="003E6AB8">
      <w:pPr>
        <w:pStyle w:val="affffffe"/>
        <w:numPr>
          <w:ilvl w:val="0"/>
          <w:numId w:val="19"/>
        </w:numPr>
        <w:ind w:firstLineChars="0"/>
        <w:rPr>
          <w:rFonts w:ascii="Times New Roman" w:hAnsi="Times New Roman"/>
          <w:szCs w:val="28"/>
        </w:rPr>
      </w:pPr>
      <w:r w:rsidRPr="00276B56">
        <w:rPr>
          <w:rFonts w:ascii="Times New Roman" w:hAnsi="Times New Roman"/>
          <w:szCs w:val="28"/>
        </w:rPr>
        <w:t>等级</w:t>
      </w:r>
      <w:r w:rsidRPr="00276B56">
        <w:rPr>
          <w:rFonts w:ascii="Times New Roman" w:hAnsi="Times New Roman"/>
          <w:szCs w:val="28"/>
        </w:rPr>
        <w:t>1</w:t>
      </w:r>
    </w:p>
    <w:p w:rsidR="00FA1A0C" w:rsidRPr="00276B56" w:rsidRDefault="00FA1A0C" w:rsidP="003E6AB8">
      <w:pPr>
        <w:pStyle w:val="affffffe"/>
        <w:numPr>
          <w:ilvl w:val="0"/>
          <w:numId w:val="20"/>
        </w:numPr>
        <w:ind w:firstLineChars="0"/>
        <w:rPr>
          <w:rFonts w:ascii="Times New Roman" w:hAnsi="Times New Roman"/>
          <w:szCs w:val="28"/>
        </w:rPr>
      </w:pPr>
      <w:r w:rsidRPr="00276B56">
        <w:rPr>
          <w:rFonts w:ascii="Times New Roman" w:hAnsi="Times New Roman"/>
          <w:szCs w:val="28"/>
        </w:rPr>
        <w:t>活动水平数据：宜采用独立的计量器具监测</w:t>
      </w:r>
      <w:r w:rsidRPr="00276B56">
        <w:rPr>
          <w:rFonts w:ascii="Times New Roman" w:hAnsi="Times New Roman"/>
        </w:rPr>
        <w:t>，也可根据燃料或工业生产原料的购买、销售凭证、其他由外部第三方提供的数据或由专业便携计量设备现场监测数据统计核算。</w:t>
      </w:r>
    </w:p>
    <w:p w:rsidR="00FA1A0C" w:rsidRPr="00276B56" w:rsidRDefault="00FA1A0C" w:rsidP="003E6AB8">
      <w:pPr>
        <w:pStyle w:val="affffffe"/>
        <w:numPr>
          <w:ilvl w:val="0"/>
          <w:numId w:val="21"/>
        </w:numPr>
        <w:ind w:firstLineChars="0"/>
        <w:rPr>
          <w:rFonts w:ascii="Times New Roman" w:hAnsi="Times New Roman"/>
          <w:szCs w:val="28"/>
        </w:rPr>
      </w:pPr>
      <w:r w:rsidRPr="00276B56">
        <w:rPr>
          <w:rFonts w:ascii="Times New Roman" w:hAnsi="Times New Roman"/>
          <w:szCs w:val="28"/>
        </w:rPr>
        <w:t>排放因子及计算参数：数据可来源于国家公布的默认值，也可对排放因子中涉及的相关参数进行实测分析。</w:t>
      </w:r>
    </w:p>
    <w:p w:rsidR="00FA1A0C" w:rsidRPr="00276B56" w:rsidRDefault="00FA1A0C" w:rsidP="003E6AB8">
      <w:pPr>
        <w:pStyle w:val="affffffe"/>
        <w:numPr>
          <w:ilvl w:val="0"/>
          <w:numId w:val="19"/>
        </w:numPr>
        <w:ind w:firstLineChars="0"/>
        <w:rPr>
          <w:rFonts w:ascii="Times New Roman" w:hAnsi="Times New Roman"/>
          <w:szCs w:val="28"/>
        </w:rPr>
      </w:pPr>
      <w:r w:rsidRPr="00276B56">
        <w:rPr>
          <w:rFonts w:ascii="Times New Roman" w:hAnsi="Times New Roman"/>
          <w:szCs w:val="28"/>
        </w:rPr>
        <w:t>等级</w:t>
      </w:r>
      <w:r w:rsidRPr="00276B56">
        <w:rPr>
          <w:rFonts w:ascii="Times New Roman" w:hAnsi="Times New Roman"/>
          <w:szCs w:val="28"/>
        </w:rPr>
        <w:t>2</w:t>
      </w:r>
    </w:p>
    <w:p w:rsidR="00FA1A0C" w:rsidRPr="00276B56" w:rsidRDefault="00FA1A0C" w:rsidP="003E6AB8">
      <w:pPr>
        <w:pStyle w:val="affffffe"/>
        <w:numPr>
          <w:ilvl w:val="0"/>
          <w:numId w:val="20"/>
        </w:numPr>
        <w:ind w:firstLineChars="0"/>
        <w:rPr>
          <w:rFonts w:ascii="Times New Roman" w:hAnsi="Times New Roman"/>
          <w:szCs w:val="28"/>
        </w:rPr>
      </w:pPr>
      <w:r w:rsidRPr="00276B56">
        <w:rPr>
          <w:rFonts w:ascii="Times New Roman" w:hAnsi="Times New Roman"/>
          <w:szCs w:val="28"/>
        </w:rPr>
        <w:t>活动水平数据：应采用独立的计量器具监测，宜月度统计汇总。</w:t>
      </w:r>
    </w:p>
    <w:p w:rsidR="00FA1A0C" w:rsidRPr="00276B56" w:rsidRDefault="00FA1A0C" w:rsidP="003E6AB8">
      <w:pPr>
        <w:pStyle w:val="affffffe"/>
        <w:numPr>
          <w:ilvl w:val="0"/>
          <w:numId w:val="20"/>
        </w:numPr>
        <w:ind w:firstLineChars="0"/>
        <w:rPr>
          <w:rFonts w:ascii="Times New Roman" w:hAnsi="Times New Roman"/>
          <w:szCs w:val="28"/>
        </w:rPr>
      </w:pPr>
      <w:r w:rsidRPr="00276B56">
        <w:rPr>
          <w:rFonts w:ascii="Times New Roman" w:hAnsi="Times New Roman"/>
          <w:szCs w:val="28"/>
        </w:rPr>
        <w:t>排放因子及计算参数：数据应来源于工业企业内部的实测数据，测量分析频率应符合国家或地区颁布的相关核算方法的要求，应根据报告期内监测结果计算加权平均值。</w:t>
      </w:r>
    </w:p>
    <w:p w:rsidR="00FA1A0C" w:rsidRPr="00276B56" w:rsidRDefault="00FA1A0C" w:rsidP="003E6AB8">
      <w:pPr>
        <w:pStyle w:val="affffffe"/>
        <w:numPr>
          <w:ilvl w:val="0"/>
          <w:numId w:val="19"/>
        </w:numPr>
        <w:ind w:firstLineChars="0"/>
        <w:rPr>
          <w:rFonts w:ascii="Times New Roman" w:hAnsi="Times New Roman"/>
          <w:szCs w:val="28"/>
        </w:rPr>
      </w:pPr>
      <w:r w:rsidRPr="00276B56">
        <w:rPr>
          <w:rFonts w:ascii="Times New Roman" w:hAnsi="Times New Roman"/>
          <w:szCs w:val="28"/>
        </w:rPr>
        <w:t>等级</w:t>
      </w:r>
      <w:r w:rsidRPr="00276B56">
        <w:rPr>
          <w:rFonts w:ascii="Times New Roman" w:hAnsi="Times New Roman"/>
          <w:szCs w:val="28"/>
        </w:rPr>
        <w:t>3</w:t>
      </w:r>
    </w:p>
    <w:p w:rsidR="00FA1A0C" w:rsidRPr="00276B56" w:rsidRDefault="00FA1A0C" w:rsidP="003E6AB8">
      <w:pPr>
        <w:pStyle w:val="affffffe"/>
        <w:numPr>
          <w:ilvl w:val="0"/>
          <w:numId w:val="20"/>
        </w:numPr>
        <w:ind w:left="839" w:firstLineChars="0"/>
        <w:rPr>
          <w:rFonts w:ascii="Times New Roman" w:hAnsi="Times New Roman"/>
          <w:szCs w:val="28"/>
        </w:rPr>
      </w:pPr>
      <w:r w:rsidRPr="00276B56">
        <w:rPr>
          <w:rFonts w:ascii="Times New Roman" w:hAnsi="Times New Roman"/>
          <w:szCs w:val="28"/>
        </w:rPr>
        <w:t>活动水平数据：应采用独立的计量器具监测，应</w:t>
      </w:r>
      <w:r w:rsidRPr="00276B56">
        <w:rPr>
          <w:rFonts w:ascii="Times New Roman" w:hAnsi="Times New Roman"/>
        </w:rPr>
        <w:t>月度统计汇总。也</w:t>
      </w:r>
      <w:r w:rsidRPr="00276B56">
        <w:rPr>
          <w:rFonts w:ascii="Times New Roman" w:hAnsi="Times New Roman"/>
          <w:szCs w:val="28"/>
        </w:rPr>
        <w:t>可安装温室气体在线监测系统进行监测，并将在线监测结果和计算结果交叉验证；</w:t>
      </w:r>
    </w:p>
    <w:p w:rsidR="00FA1A0C" w:rsidRPr="00276B56" w:rsidRDefault="00FA1A0C" w:rsidP="003E6AB8">
      <w:pPr>
        <w:pStyle w:val="affffffe"/>
        <w:numPr>
          <w:ilvl w:val="0"/>
          <w:numId w:val="20"/>
        </w:numPr>
        <w:ind w:left="839" w:firstLineChars="0"/>
        <w:rPr>
          <w:rFonts w:ascii="Times New Roman" w:hAnsi="Times New Roman"/>
        </w:rPr>
      </w:pPr>
      <w:r w:rsidRPr="00276B56">
        <w:rPr>
          <w:rFonts w:ascii="Times New Roman" w:hAnsi="Times New Roman"/>
        </w:rPr>
        <w:t>排放因子及计算参数：应来源于工业企业内部直接监测的数据，测量分析频率应符合国家或地区颁布的相关核算方法的要求，应根据月度统计结果计算加权平均值。</w:t>
      </w:r>
    </w:p>
    <w:p w:rsidR="00FA1A0C" w:rsidRPr="00276B56" w:rsidRDefault="00FA1A0C" w:rsidP="00FA1A0C">
      <w:pPr>
        <w:pStyle w:val="affffffe"/>
        <w:ind w:left="839" w:firstLineChars="0" w:firstLine="0"/>
        <w:rPr>
          <w:rFonts w:ascii="Times New Roman" w:hAnsi="Times New Roman"/>
          <w:szCs w:val="28"/>
        </w:rPr>
      </w:pPr>
      <w:r w:rsidRPr="00276B56">
        <w:rPr>
          <w:rFonts w:ascii="Times New Roman" w:hAnsi="Times New Roman"/>
          <w:szCs w:val="28"/>
        </w:rPr>
        <w:t>工业企业可参见附录</w:t>
      </w:r>
      <w:r w:rsidRPr="00276B56">
        <w:rPr>
          <w:rFonts w:ascii="Times New Roman" w:hAnsi="Times New Roman"/>
          <w:szCs w:val="28"/>
        </w:rPr>
        <w:t xml:space="preserve">B </w:t>
      </w:r>
      <w:r w:rsidRPr="00276B56">
        <w:rPr>
          <w:rFonts w:ascii="Times New Roman" w:hAnsi="Times New Roman"/>
          <w:szCs w:val="28"/>
        </w:rPr>
        <w:t>填写具体排放源等级划分及数据获取要求。</w:t>
      </w:r>
    </w:p>
    <w:p w:rsidR="00FA1A0C" w:rsidRPr="00180FAA" w:rsidRDefault="00FA1A0C" w:rsidP="00180FAA">
      <w:pPr>
        <w:pStyle w:val="a1"/>
        <w:spacing w:before="312" w:after="312"/>
      </w:pPr>
      <w:bookmarkStart w:id="44" w:name="_Toc9924489"/>
      <w:bookmarkEnd w:id="43"/>
      <w:r w:rsidRPr="00180FAA">
        <w:rPr>
          <w:rFonts w:hint="eastAsia"/>
        </w:rPr>
        <w:t>数据质量管理方案的制定</w:t>
      </w:r>
      <w:bookmarkEnd w:id="44"/>
    </w:p>
    <w:p w:rsidR="00FA1A0C" w:rsidRPr="00180FAA" w:rsidRDefault="00FA1A0C" w:rsidP="00EE7D6F">
      <w:pPr>
        <w:pStyle w:val="a2"/>
        <w:spacing w:before="156" w:after="156"/>
      </w:pPr>
      <w:bookmarkStart w:id="45" w:name="_Toc9924490"/>
      <w:r>
        <w:rPr>
          <w:rFonts w:hint="eastAsia"/>
        </w:rPr>
        <w:t>监测条件评估</w:t>
      </w:r>
      <w:bookmarkEnd w:id="45"/>
    </w:p>
    <w:p w:rsidR="00FA1A0C" w:rsidRPr="00276B56" w:rsidRDefault="00FA1A0C" w:rsidP="00FA1A0C">
      <w:pPr>
        <w:ind w:firstLineChars="200" w:firstLine="420"/>
      </w:pPr>
      <w:r w:rsidRPr="00276B56">
        <w:t>工业企业宜评估现有的监测条件和能力能否满足相应的数据质量管理要求：</w:t>
      </w:r>
      <w:r w:rsidRPr="00276B56">
        <w:t xml:space="preserve"> </w:t>
      </w:r>
    </w:p>
    <w:p w:rsidR="00FA1A0C" w:rsidRPr="00276B56" w:rsidRDefault="00FA1A0C" w:rsidP="003E6AB8">
      <w:pPr>
        <w:pStyle w:val="affffffe"/>
        <w:numPr>
          <w:ilvl w:val="1"/>
          <w:numId w:val="22"/>
        </w:numPr>
        <w:ind w:firstLineChars="0"/>
        <w:rPr>
          <w:rFonts w:ascii="Times New Roman" w:hAnsi="Times New Roman"/>
        </w:rPr>
      </w:pPr>
      <w:bookmarkStart w:id="46" w:name="_Hlk8913985"/>
      <w:r w:rsidRPr="00276B56">
        <w:rPr>
          <w:rFonts w:ascii="Times New Roman"/>
        </w:rPr>
        <w:t>确定排放源的量化方法及核算要求</w:t>
      </w:r>
      <w:bookmarkEnd w:id="46"/>
      <w:r w:rsidRPr="00276B56">
        <w:rPr>
          <w:rFonts w:ascii="Times New Roman"/>
        </w:rPr>
        <w:t>，包括但不限于以下内容：</w:t>
      </w:r>
    </w:p>
    <w:p w:rsidR="00FA1A0C" w:rsidRPr="00276B56" w:rsidRDefault="00FA1A0C" w:rsidP="003E6AB8">
      <w:pPr>
        <w:pStyle w:val="affffffe"/>
        <w:numPr>
          <w:ilvl w:val="0"/>
          <w:numId w:val="23"/>
        </w:numPr>
        <w:ind w:firstLineChars="0"/>
        <w:rPr>
          <w:rFonts w:ascii="Times New Roman" w:hAnsi="Times New Roman"/>
        </w:rPr>
      </w:pPr>
      <w:r w:rsidRPr="00276B56">
        <w:rPr>
          <w:rFonts w:ascii="Times New Roman"/>
        </w:rPr>
        <w:t>排放源量化方法；</w:t>
      </w:r>
    </w:p>
    <w:p w:rsidR="00FA1A0C" w:rsidRPr="00276B56" w:rsidRDefault="00FA1A0C" w:rsidP="003E6AB8">
      <w:pPr>
        <w:pStyle w:val="affffffe"/>
        <w:numPr>
          <w:ilvl w:val="0"/>
          <w:numId w:val="23"/>
        </w:numPr>
        <w:ind w:firstLineChars="0"/>
        <w:rPr>
          <w:rFonts w:ascii="Times New Roman" w:hAnsi="Times New Roman"/>
        </w:rPr>
      </w:pPr>
      <w:r w:rsidRPr="00276B56">
        <w:rPr>
          <w:rFonts w:ascii="Times New Roman"/>
        </w:rPr>
        <w:t>监测参数的定义和核算单位；</w:t>
      </w:r>
    </w:p>
    <w:p w:rsidR="00FA1A0C" w:rsidRPr="00276B56" w:rsidRDefault="00FA1A0C" w:rsidP="003E6AB8">
      <w:pPr>
        <w:pStyle w:val="affffffe"/>
        <w:numPr>
          <w:ilvl w:val="0"/>
          <w:numId w:val="23"/>
        </w:numPr>
        <w:ind w:firstLineChars="0"/>
        <w:rPr>
          <w:rFonts w:ascii="Times New Roman" w:hAnsi="Times New Roman"/>
        </w:rPr>
      </w:pPr>
      <w:r w:rsidRPr="00276B56">
        <w:rPr>
          <w:rFonts w:ascii="Times New Roman"/>
        </w:rPr>
        <w:t>具体数据获取要求及数据收集频率。</w:t>
      </w:r>
    </w:p>
    <w:p w:rsidR="00FA1A0C" w:rsidRPr="00276B56" w:rsidRDefault="00FA1A0C" w:rsidP="003E6AB8">
      <w:pPr>
        <w:pStyle w:val="affffffe"/>
        <w:numPr>
          <w:ilvl w:val="1"/>
          <w:numId w:val="22"/>
        </w:numPr>
        <w:ind w:firstLineChars="0"/>
        <w:rPr>
          <w:rFonts w:ascii="Times New Roman" w:hAnsi="Times New Roman"/>
        </w:rPr>
      </w:pPr>
      <w:r w:rsidRPr="00276B56">
        <w:rPr>
          <w:rFonts w:ascii="Times New Roman"/>
        </w:rPr>
        <w:t>评估监测条件，包括但不限于以下内容：</w:t>
      </w:r>
      <w:r w:rsidRPr="00276B56">
        <w:rPr>
          <w:rFonts w:ascii="Times New Roman" w:hAnsi="Times New Roman"/>
        </w:rPr>
        <w:t xml:space="preserve"> </w:t>
      </w:r>
    </w:p>
    <w:p w:rsidR="00FA1A0C" w:rsidRPr="00276B56" w:rsidRDefault="00FA1A0C" w:rsidP="003E6AB8">
      <w:pPr>
        <w:pStyle w:val="affffffe"/>
        <w:numPr>
          <w:ilvl w:val="0"/>
          <w:numId w:val="23"/>
        </w:numPr>
        <w:ind w:firstLineChars="0"/>
        <w:rPr>
          <w:rFonts w:ascii="Times New Roman" w:hAnsi="Times New Roman"/>
        </w:rPr>
      </w:pPr>
      <w:r w:rsidRPr="00276B56">
        <w:rPr>
          <w:rFonts w:ascii="Times New Roman"/>
        </w:rPr>
        <w:t>计量器具配备情况；</w:t>
      </w:r>
    </w:p>
    <w:p w:rsidR="00FA1A0C" w:rsidRPr="00276B56" w:rsidRDefault="00FA1A0C" w:rsidP="003E6AB8">
      <w:pPr>
        <w:pStyle w:val="affffffe"/>
        <w:numPr>
          <w:ilvl w:val="0"/>
          <w:numId w:val="23"/>
        </w:numPr>
        <w:ind w:firstLineChars="0"/>
        <w:rPr>
          <w:rFonts w:ascii="Times New Roman" w:hAnsi="Times New Roman"/>
        </w:rPr>
      </w:pPr>
      <w:r w:rsidRPr="00276B56">
        <w:rPr>
          <w:rFonts w:ascii="Times New Roman"/>
        </w:rPr>
        <w:t>人员资质与能力；</w:t>
      </w:r>
    </w:p>
    <w:p w:rsidR="00FA1A0C" w:rsidRPr="00276B56" w:rsidRDefault="00FA1A0C" w:rsidP="003E6AB8">
      <w:pPr>
        <w:pStyle w:val="affffffe"/>
        <w:numPr>
          <w:ilvl w:val="0"/>
          <w:numId w:val="23"/>
        </w:numPr>
        <w:ind w:firstLineChars="0"/>
        <w:rPr>
          <w:rFonts w:ascii="Times New Roman" w:hAnsi="Times New Roman"/>
        </w:rPr>
      </w:pPr>
      <w:r w:rsidRPr="00276B56">
        <w:rPr>
          <w:rFonts w:ascii="Times New Roman"/>
        </w:rPr>
        <w:t>现有数据收集或台</w:t>
      </w:r>
      <w:proofErr w:type="gramStart"/>
      <w:r w:rsidRPr="00276B56">
        <w:rPr>
          <w:rFonts w:ascii="Times New Roman"/>
        </w:rPr>
        <w:t>账管理</w:t>
      </w:r>
      <w:proofErr w:type="gramEnd"/>
      <w:r w:rsidRPr="00276B56">
        <w:rPr>
          <w:rFonts w:ascii="Times New Roman"/>
        </w:rPr>
        <w:t>方式；</w:t>
      </w:r>
    </w:p>
    <w:p w:rsidR="00FA1A0C" w:rsidRPr="00276B56" w:rsidRDefault="00FA1A0C" w:rsidP="003E6AB8">
      <w:pPr>
        <w:pStyle w:val="affffffe"/>
        <w:numPr>
          <w:ilvl w:val="0"/>
          <w:numId w:val="23"/>
        </w:numPr>
        <w:ind w:firstLineChars="0"/>
        <w:rPr>
          <w:rFonts w:ascii="Times New Roman" w:hAnsi="Times New Roman"/>
        </w:rPr>
      </w:pPr>
      <w:r w:rsidRPr="00276B56">
        <w:rPr>
          <w:rFonts w:ascii="Times New Roman"/>
        </w:rPr>
        <w:t>排放因子和相关计算参数的检测实验室资质及设备仪器配备情况。</w:t>
      </w:r>
      <w:r w:rsidRPr="00276B56">
        <w:rPr>
          <w:rFonts w:ascii="Times New Roman" w:hAnsi="Times New Roman"/>
        </w:rPr>
        <w:t xml:space="preserve"> </w:t>
      </w:r>
    </w:p>
    <w:p w:rsidR="00FA1A0C" w:rsidRPr="00276B56" w:rsidRDefault="00FA1A0C" w:rsidP="003E6AB8">
      <w:pPr>
        <w:pStyle w:val="affffffe"/>
        <w:numPr>
          <w:ilvl w:val="1"/>
          <w:numId w:val="22"/>
        </w:numPr>
        <w:ind w:firstLineChars="0"/>
        <w:rPr>
          <w:rFonts w:ascii="Times New Roman" w:hAnsi="Times New Roman"/>
        </w:rPr>
      </w:pPr>
      <w:r w:rsidRPr="00276B56">
        <w:rPr>
          <w:rFonts w:ascii="Times New Roman"/>
        </w:rPr>
        <w:t>选定监测数据源</w:t>
      </w:r>
    </w:p>
    <w:p w:rsidR="00FA1A0C" w:rsidRPr="00276B56" w:rsidRDefault="00FA1A0C" w:rsidP="00FA1A0C">
      <w:pPr>
        <w:rPr>
          <w:szCs w:val="28"/>
        </w:rPr>
      </w:pPr>
      <w:r w:rsidRPr="00276B56">
        <w:tab/>
      </w:r>
      <w:r w:rsidRPr="00276B56">
        <w:t>工业企业应结合收集的信息，判断数据获取要求（见</w:t>
      </w:r>
      <w:r w:rsidRPr="00276B56">
        <w:t>4.2.2</w:t>
      </w:r>
      <w:r w:rsidRPr="00276B56">
        <w:t>）的可行性并选出符合要求的数据源。评估结果若呈现出目前的监测条件不能达到本标准的数据获取要求时，工业企业可暂时降低要求并提出可行替代方案，但应在监测期开始之后</w:t>
      </w:r>
      <w:r w:rsidRPr="00276B56">
        <w:t>2</w:t>
      </w:r>
      <w:r w:rsidRPr="00276B56">
        <w:t>年内达到本标准的相应要求。</w:t>
      </w:r>
      <w:r w:rsidRPr="00276B56">
        <w:t xml:space="preserve"> </w:t>
      </w:r>
    </w:p>
    <w:p w:rsidR="005509A2" w:rsidRPr="00180FAA" w:rsidRDefault="005509A2" w:rsidP="00EE7D6F">
      <w:pPr>
        <w:pStyle w:val="a2"/>
        <w:spacing w:before="156" w:after="156"/>
      </w:pPr>
      <w:bookmarkStart w:id="47" w:name="_Toc9924491"/>
      <w:r>
        <w:rPr>
          <w:rFonts w:hint="eastAsia"/>
        </w:rPr>
        <w:t>规划数据流活动</w:t>
      </w:r>
      <w:bookmarkEnd w:id="47"/>
    </w:p>
    <w:p w:rsidR="005509A2" w:rsidRDefault="005509A2" w:rsidP="005509A2">
      <w:pPr>
        <w:ind w:firstLineChars="200" w:firstLine="420"/>
        <w:rPr>
          <w:rFonts w:ascii="宋体" w:hAnsi="宋体"/>
          <w:szCs w:val="28"/>
        </w:rPr>
      </w:pPr>
      <w:r w:rsidRPr="00A501E7">
        <w:rPr>
          <w:rFonts w:ascii="宋体" w:hAnsi="宋体" w:hint="eastAsia"/>
          <w:szCs w:val="28"/>
        </w:rPr>
        <w:t>规划数据流活动是将数据收集过程中的</w:t>
      </w:r>
      <w:r>
        <w:rPr>
          <w:rFonts w:ascii="宋体" w:hAnsi="宋体" w:hint="eastAsia"/>
          <w:szCs w:val="28"/>
        </w:rPr>
        <w:t>一系列工作任务联系</w:t>
      </w:r>
      <w:r w:rsidRPr="00A501E7">
        <w:rPr>
          <w:rFonts w:ascii="宋体" w:hAnsi="宋体" w:hint="eastAsia"/>
          <w:szCs w:val="28"/>
        </w:rPr>
        <w:t>在一起，形成一条工作主线</w:t>
      </w:r>
      <w:r>
        <w:rPr>
          <w:rFonts w:ascii="宋体" w:hAnsi="宋体" w:hint="eastAsia"/>
          <w:szCs w:val="28"/>
        </w:rPr>
        <w:t>， 使整个核算过程有据可依。</w:t>
      </w:r>
    </w:p>
    <w:p w:rsidR="005509A2" w:rsidRPr="003D162C" w:rsidRDefault="005509A2" w:rsidP="003D162C">
      <w:pPr>
        <w:widowControl/>
        <w:numPr>
          <w:ilvl w:val="2"/>
          <w:numId w:val="8"/>
        </w:numPr>
        <w:spacing w:beforeLines="50" w:before="156" w:afterLines="50" w:after="156"/>
        <w:jc w:val="left"/>
        <w:outlineLvl w:val="2"/>
        <w:rPr>
          <w:rFonts w:eastAsia="黑体"/>
          <w:kern w:val="0"/>
          <w:szCs w:val="21"/>
        </w:rPr>
      </w:pPr>
      <w:bookmarkStart w:id="48" w:name="_Toc9924492"/>
      <w:r w:rsidRPr="003D162C">
        <w:rPr>
          <w:rFonts w:eastAsia="黑体" w:hint="eastAsia"/>
          <w:kern w:val="0"/>
          <w:szCs w:val="21"/>
        </w:rPr>
        <w:t>数据流活动的规划原则</w:t>
      </w:r>
      <w:bookmarkEnd w:id="48"/>
    </w:p>
    <w:p w:rsidR="005509A2" w:rsidRPr="00276B56" w:rsidRDefault="005509A2" w:rsidP="003E6AB8">
      <w:pPr>
        <w:pStyle w:val="affffffd"/>
        <w:numPr>
          <w:ilvl w:val="0"/>
          <w:numId w:val="24"/>
        </w:numPr>
        <w:ind w:firstLineChars="0"/>
        <w:rPr>
          <w:szCs w:val="28"/>
        </w:rPr>
      </w:pPr>
      <w:r w:rsidRPr="00276B56">
        <w:rPr>
          <w:rFonts w:hAnsi="宋体"/>
          <w:szCs w:val="28"/>
        </w:rPr>
        <w:t>覆盖各</w:t>
      </w:r>
      <w:proofErr w:type="gramStart"/>
      <w:r w:rsidRPr="00276B56">
        <w:rPr>
          <w:rFonts w:hAnsi="宋体"/>
          <w:szCs w:val="28"/>
        </w:rPr>
        <w:t>步数据</w:t>
      </w:r>
      <w:proofErr w:type="gramEnd"/>
      <w:r w:rsidRPr="00276B56">
        <w:rPr>
          <w:rFonts w:hAnsi="宋体"/>
          <w:szCs w:val="28"/>
        </w:rPr>
        <w:t>监测、收集、统计、计算和上报工作；</w:t>
      </w:r>
    </w:p>
    <w:p w:rsidR="005509A2" w:rsidRPr="00276B56" w:rsidRDefault="005509A2" w:rsidP="003E6AB8">
      <w:pPr>
        <w:pStyle w:val="affffffd"/>
        <w:numPr>
          <w:ilvl w:val="0"/>
          <w:numId w:val="24"/>
        </w:numPr>
        <w:ind w:firstLineChars="0"/>
        <w:rPr>
          <w:szCs w:val="28"/>
        </w:rPr>
      </w:pPr>
      <w:r w:rsidRPr="00276B56">
        <w:rPr>
          <w:rFonts w:hAnsi="宋体"/>
          <w:szCs w:val="28"/>
        </w:rPr>
        <w:t>所有参与数据监测、收集、统计、核算和上报过程的人员都应明确其工作任务和方法；</w:t>
      </w:r>
    </w:p>
    <w:p w:rsidR="005509A2" w:rsidRPr="00276B56" w:rsidRDefault="005509A2" w:rsidP="003E6AB8">
      <w:pPr>
        <w:pStyle w:val="affffffd"/>
        <w:numPr>
          <w:ilvl w:val="0"/>
          <w:numId w:val="24"/>
        </w:numPr>
        <w:ind w:firstLineChars="0"/>
        <w:rPr>
          <w:szCs w:val="28"/>
        </w:rPr>
      </w:pPr>
      <w:r w:rsidRPr="00276B56">
        <w:rPr>
          <w:rFonts w:hAnsi="宋体"/>
          <w:szCs w:val="28"/>
        </w:rPr>
        <w:t>尽可能的保证数据流活动的精简性</w:t>
      </w:r>
      <w:r>
        <w:rPr>
          <w:rFonts w:hAnsi="宋体" w:hint="eastAsia"/>
          <w:szCs w:val="28"/>
        </w:rPr>
        <w:t>。</w:t>
      </w:r>
    </w:p>
    <w:p w:rsidR="005509A2" w:rsidRPr="003D162C" w:rsidRDefault="005509A2" w:rsidP="003D162C">
      <w:pPr>
        <w:widowControl/>
        <w:numPr>
          <w:ilvl w:val="2"/>
          <w:numId w:val="8"/>
        </w:numPr>
        <w:spacing w:beforeLines="50" w:before="156" w:afterLines="50" w:after="156"/>
        <w:jc w:val="left"/>
        <w:outlineLvl w:val="2"/>
        <w:rPr>
          <w:rFonts w:eastAsia="黑体"/>
          <w:kern w:val="0"/>
          <w:szCs w:val="21"/>
        </w:rPr>
      </w:pPr>
      <w:bookmarkStart w:id="49" w:name="_Toc9924493"/>
      <w:r w:rsidRPr="003D162C">
        <w:rPr>
          <w:rFonts w:eastAsia="黑体" w:hint="eastAsia"/>
          <w:kern w:val="0"/>
          <w:szCs w:val="21"/>
        </w:rPr>
        <w:lastRenderedPageBreak/>
        <w:t>规划数据流的活动</w:t>
      </w:r>
      <w:bookmarkEnd w:id="49"/>
    </w:p>
    <w:p w:rsidR="005509A2" w:rsidRDefault="005509A2" w:rsidP="005509A2">
      <w:pPr>
        <w:ind w:firstLineChars="200" w:firstLine="420"/>
        <w:rPr>
          <w:rFonts w:ascii="宋体" w:hAnsi="宋体"/>
          <w:szCs w:val="28"/>
        </w:rPr>
      </w:pPr>
      <w:r>
        <w:rPr>
          <w:rFonts w:ascii="宋体" w:hAnsi="宋体" w:hint="eastAsia"/>
          <w:szCs w:val="28"/>
        </w:rPr>
        <w:t>规划</w:t>
      </w:r>
      <w:r w:rsidRPr="00A501E7">
        <w:rPr>
          <w:rFonts w:ascii="宋体" w:hAnsi="宋体" w:hint="eastAsia"/>
          <w:szCs w:val="28"/>
        </w:rPr>
        <w:t>数据流活动</w:t>
      </w:r>
      <w:r w:rsidRPr="00EB167A">
        <w:rPr>
          <w:rFonts w:ascii="宋体" w:hAnsi="宋体" w:hint="eastAsia"/>
          <w:szCs w:val="28"/>
        </w:rPr>
        <w:t>应</w:t>
      </w:r>
      <w:r w:rsidRPr="00A501E7">
        <w:rPr>
          <w:rFonts w:ascii="宋体" w:hAnsi="宋体" w:hint="eastAsia"/>
          <w:szCs w:val="28"/>
        </w:rPr>
        <w:t>包含但不限于以下</w:t>
      </w:r>
      <w:r>
        <w:rPr>
          <w:rFonts w:ascii="宋体" w:hAnsi="宋体" w:hint="eastAsia"/>
          <w:szCs w:val="28"/>
        </w:rPr>
        <w:t>内容</w:t>
      </w:r>
      <w:r w:rsidRPr="00A501E7">
        <w:rPr>
          <w:rFonts w:ascii="宋体" w:hAnsi="宋体" w:hint="eastAsia"/>
          <w:szCs w:val="28"/>
        </w:rPr>
        <w:t>：</w:t>
      </w:r>
    </w:p>
    <w:p w:rsidR="005509A2" w:rsidRPr="00276B56" w:rsidRDefault="005509A2" w:rsidP="003E6AB8">
      <w:pPr>
        <w:pStyle w:val="affffffd"/>
        <w:numPr>
          <w:ilvl w:val="0"/>
          <w:numId w:val="25"/>
        </w:numPr>
        <w:ind w:firstLineChars="0"/>
        <w:rPr>
          <w:szCs w:val="28"/>
        </w:rPr>
      </w:pPr>
      <w:r w:rsidRPr="00276B56">
        <w:rPr>
          <w:rFonts w:hAnsi="宋体"/>
          <w:szCs w:val="28"/>
        </w:rPr>
        <w:t>各数据流活动中数据的具体来源；</w:t>
      </w:r>
    </w:p>
    <w:p w:rsidR="005509A2" w:rsidRPr="00276B56" w:rsidRDefault="005509A2" w:rsidP="003E6AB8">
      <w:pPr>
        <w:pStyle w:val="affffffd"/>
        <w:numPr>
          <w:ilvl w:val="0"/>
          <w:numId w:val="25"/>
        </w:numPr>
        <w:ind w:firstLineChars="0"/>
        <w:rPr>
          <w:szCs w:val="28"/>
        </w:rPr>
      </w:pPr>
      <w:r w:rsidRPr="00276B56">
        <w:rPr>
          <w:rFonts w:hAnsi="宋体"/>
          <w:szCs w:val="28"/>
        </w:rPr>
        <w:t>整个流程应包含参数监测活动、收集活动、统计活动、核算活动及上报活动等</w:t>
      </w:r>
      <w:r w:rsidRPr="00276B56">
        <w:rPr>
          <w:szCs w:val="28"/>
        </w:rPr>
        <w:t>5</w:t>
      </w:r>
      <w:r w:rsidRPr="00276B56">
        <w:rPr>
          <w:rFonts w:hAnsi="宋体"/>
          <w:szCs w:val="28"/>
        </w:rPr>
        <w:t>部分内容；</w:t>
      </w:r>
    </w:p>
    <w:p w:rsidR="005509A2" w:rsidRPr="00276B56" w:rsidRDefault="005509A2" w:rsidP="003E6AB8">
      <w:pPr>
        <w:pStyle w:val="affffffd"/>
        <w:numPr>
          <w:ilvl w:val="0"/>
          <w:numId w:val="25"/>
        </w:numPr>
        <w:ind w:firstLineChars="0"/>
        <w:rPr>
          <w:szCs w:val="28"/>
        </w:rPr>
      </w:pPr>
      <w:r w:rsidRPr="00276B56">
        <w:rPr>
          <w:rFonts w:hAnsi="宋体"/>
          <w:szCs w:val="28"/>
        </w:rPr>
        <w:t>数据流活动应注明工作负责人、工作地点和内容、记录时间、相关负责部门等信息；</w:t>
      </w:r>
    </w:p>
    <w:p w:rsidR="005509A2" w:rsidRPr="00276B56" w:rsidRDefault="005509A2" w:rsidP="003E6AB8">
      <w:pPr>
        <w:pStyle w:val="affffffd"/>
        <w:numPr>
          <w:ilvl w:val="0"/>
          <w:numId w:val="25"/>
        </w:numPr>
        <w:ind w:firstLineChars="0"/>
        <w:rPr>
          <w:szCs w:val="28"/>
        </w:rPr>
      </w:pPr>
      <w:r w:rsidRPr="00276B56">
        <w:rPr>
          <w:rFonts w:hAnsi="宋体"/>
          <w:szCs w:val="28"/>
        </w:rPr>
        <w:t>注明数据记录的方式（人为收集或电脑自动采集）、频率和数据存档方式（纸质或电子）。</w:t>
      </w:r>
    </w:p>
    <w:p w:rsidR="005509A2" w:rsidRPr="00276B56" w:rsidRDefault="005509A2" w:rsidP="005509A2">
      <w:pPr>
        <w:ind w:firstLineChars="400" w:firstLine="840"/>
      </w:pPr>
      <w:r w:rsidRPr="00276B56">
        <w:rPr>
          <w:rFonts w:hAnsi="宋体"/>
          <w:szCs w:val="28"/>
        </w:rPr>
        <w:t>工业企业可参见附录</w:t>
      </w:r>
      <w:r w:rsidRPr="00276B56">
        <w:rPr>
          <w:szCs w:val="28"/>
        </w:rPr>
        <w:t xml:space="preserve">C </w:t>
      </w:r>
      <w:r w:rsidRPr="00276B56">
        <w:rPr>
          <w:rFonts w:hAnsi="宋体"/>
          <w:szCs w:val="28"/>
        </w:rPr>
        <w:t>填写数据流活动任务列表。</w:t>
      </w:r>
      <w:r w:rsidRPr="00276B56">
        <w:rPr>
          <w:szCs w:val="28"/>
        </w:rPr>
        <w:t xml:space="preserve"> </w:t>
      </w:r>
    </w:p>
    <w:p w:rsidR="005509A2" w:rsidRPr="00180FAA" w:rsidRDefault="005509A2" w:rsidP="00EE7D6F">
      <w:pPr>
        <w:pStyle w:val="a2"/>
        <w:spacing w:before="156" w:after="156"/>
      </w:pPr>
      <w:bookmarkStart w:id="50" w:name="_Toc9924494"/>
      <w:r>
        <w:rPr>
          <w:rFonts w:hint="eastAsia"/>
        </w:rPr>
        <w:t>风险识别</w:t>
      </w:r>
      <w:bookmarkEnd w:id="50"/>
    </w:p>
    <w:p w:rsidR="005509A2" w:rsidRPr="00434323" w:rsidRDefault="005509A2" w:rsidP="00434323">
      <w:pPr>
        <w:ind w:firstLineChars="200" w:firstLine="420"/>
        <w:rPr>
          <w:rFonts w:hAnsi="宋体"/>
          <w:szCs w:val="28"/>
        </w:rPr>
      </w:pPr>
      <w:r w:rsidRPr="00434323">
        <w:rPr>
          <w:rFonts w:hAnsi="宋体" w:hint="eastAsia"/>
          <w:szCs w:val="28"/>
        </w:rPr>
        <w:t>工业企业相关技术人员应根据经验对各数据流活动进行风险评估，以确定潜在的数据信息遗漏或失误的环节，并合理划分风险级别。</w:t>
      </w:r>
    </w:p>
    <w:p w:rsidR="005509A2" w:rsidRPr="003D162C" w:rsidRDefault="005509A2" w:rsidP="003D162C">
      <w:pPr>
        <w:widowControl/>
        <w:numPr>
          <w:ilvl w:val="2"/>
          <w:numId w:val="8"/>
        </w:numPr>
        <w:spacing w:beforeLines="50" w:before="156" w:afterLines="50" w:after="156"/>
        <w:jc w:val="left"/>
        <w:outlineLvl w:val="2"/>
        <w:rPr>
          <w:rFonts w:eastAsia="黑体"/>
          <w:kern w:val="0"/>
          <w:szCs w:val="21"/>
        </w:rPr>
      </w:pPr>
      <w:bookmarkStart w:id="51" w:name="_Toc9924495"/>
      <w:bookmarkStart w:id="52" w:name="_Hlk3362062"/>
      <w:r w:rsidRPr="003D162C">
        <w:rPr>
          <w:rFonts w:eastAsia="黑体" w:hint="eastAsia"/>
          <w:kern w:val="0"/>
          <w:szCs w:val="21"/>
        </w:rPr>
        <w:t>风险评估的步骤</w:t>
      </w:r>
      <w:bookmarkEnd w:id="51"/>
    </w:p>
    <w:bookmarkEnd w:id="52"/>
    <w:p w:rsidR="005509A2" w:rsidRPr="00152A12" w:rsidRDefault="005509A2" w:rsidP="003E6AB8">
      <w:pPr>
        <w:pStyle w:val="affffffd"/>
        <w:numPr>
          <w:ilvl w:val="0"/>
          <w:numId w:val="26"/>
        </w:numPr>
        <w:ind w:firstLineChars="0"/>
      </w:pPr>
      <w:r w:rsidRPr="00152A12">
        <w:t>从所有数据流活动中识别出易出错的环节；</w:t>
      </w:r>
    </w:p>
    <w:p w:rsidR="005509A2" w:rsidRPr="00152A12" w:rsidRDefault="005509A2" w:rsidP="003E6AB8">
      <w:pPr>
        <w:pStyle w:val="affffffd"/>
        <w:numPr>
          <w:ilvl w:val="0"/>
          <w:numId w:val="26"/>
        </w:numPr>
        <w:ind w:firstLineChars="0"/>
        <w:rPr>
          <w:szCs w:val="28"/>
        </w:rPr>
      </w:pPr>
      <w:r w:rsidRPr="00152A12">
        <w:rPr>
          <w:rFonts w:hAnsi="宋体"/>
          <w:szCs w:val="28"/>
        </w:rPr>
        <w:t>评估风险发生的概率，并分出高、中、低三个级别；</w:t>
      </w:r>
    </w:p>
    <w:p w:rsidR="005509A2" w:rsidRPr="00152A12" w:rsidRDefault="005509A2" w:rsidP="003E6AB8">
      <w:pPr>
        <w:pStyle w:val="affffffd"/>
        <w:numPr>
          <w:ilvl w:val="0"/>
          <w:numId w:val="26"/>
        </w:numPr>
        <w:ind w:firstLineChars="0"/>
        <w:rPr>
          <w:szCs w:val="28"/>
        </w:rPr>
      </w:pPr>
      <w:r w:rsidRPr="00152A12">
        <w:rPr>
          <w:rFonts w:hAnsi="宋体"/>
          <w:szCs w:val="28"/>
        </w:rPr>
        <w:t>评估风险影响程度，应</w:t>
      </w:r>
      <w:proofErr w:type="gramStart"/>
      <w:r w:rsidRPr="00152A12">
        <w:rPr>
          <w:rFonts w:hAnsi="宋体"/>
          <w:szCs w:val="28"/>
        </w:rPr>
        <w:t>考虑受</w:t>
      </w:r>
      <w:proofErr w:type="gramEnd"/>
      <w:r w:rsidRPr="00152A12">
        <w:rPr>
          <w:rFonts w:hAnsi="宋体"/>
          <w:szCs w:val="28"/>
        </w:rPr>
        <w:t>影响的核算数据所属的排放源等级，将其分为高、中、低三个级别；</w:t>
      </w:r>
    </w:p>
    <w:p w:rsidR="005509A2" w:rsidRPr="00152A12" w:rsidRDefault="005509A2" w:rsidP="003E6AB8">
      <w:pPr>
        <w:pStyle w:val="affffffd"/>
        <w:numPr>
          <w:ilvl w:val="0"/>
          <w:numId w:val="26"/>
        </w:numPr>
        <w:ind w:firstLineChars="0"/>
        <w:rPr>
          <w:szCs w:val="28"/>
        </w:rPr>
      </w:pPr>
      <w:r w:rsidRPr="00152A12">
        <w:rPr>
          <w:rFonts w:hAnsi="宋体"/>
          <w:szCs w:val="28"/>
        </w:rPr>
        <w:t>风险评级，根据风险发生的概率以及影响程度，按照风险矩阵对识别的风险等级进行分级。</w:t>
      </w:r>
    </w:p>
    <w:p w:rsidR="005509A2" w:rsidRPr="003D162C" w:rsidRDefault="005509A2" w:rsidP="003D162C">
      <w:pPr>
        <w:widowControl/>
        <w:numPr>
          <w:ilvl w:val="2"/>
          <w:numId w:val="8"/>
        </w:numPr>
        <w:spacing w:beforeLines="50" w:before="156" w:afterLines="50" w:after="156"/>
        <w:jc w:val="left"/>
        <w:outlineLvl w:val="2"/>
        <w:rPr>
          <w:rFonts w:eastAsia="黑体"/>
          <w:kern w:val="0"/>
          <w:szCs w:val="21"/>
        </w:rPr>
      </w:pPr>
      <w:bookmarkStart w:id="53" w:name="_Toc9924496"/>
      <w:r w:rsidRPr="003D162C">
        <w:rPr>
          <w:rFonts w:eastAsia="黑体" w:hint="eastAsia"/>
          <w:kern w:val="0"/>
          <w:szCs w:val="21"/>
        </w:rPr>
        <w:t>风险等级的划分</w:t>
      </w:r>
      <w:bookmarkEnd w:id="53"/>
    </w:p>
    <w:p w:rsidR="005509A2" w:rsidRPr="00152A12" w:rsidRDefault="005509A2" w:rsidP="00434323">
      <w:pPr>
        <w:ind w:firstLineChars="200" w:firstLine="420"/>
        <w:rPr>
          <w:szCs w:val="28"/>
        </w:rPr>
      </w:pPr>
      <w:r w:rsidRPr="00152A12">
        <w:rPr>
          <w:rFonts w:hAnsi="宋体"/>
          <w:szCs w:val="28"/>
        </w:rPr>
        <w:t>风险等级的划分包括严重，中等，微小三个级别（见表</w:t>
      </w:r>
      <w:r w:rsidRPr="00152A12">
        <w:rPr>
          <w:szCs w:val="28"/>
        </w:rPr>
        <w:t>1</w:t>
      </w:r>
      <w:r w:rsidRPr="00152A12">
        <w:rPr>
          <w:rFonts w:hAnsi="宋体"/>
          <w:szCs w:val="28"/>
        </w:rPr>
        <w:t>）：</w:t>
      </w:r>
    </w:p>
    <w:p w:rsidR="005509A2" w:rsidRPr="00152A12" w:rsidRDefault="005509A2" w:rsidP="003E6AB8">
      <w:pPr>
        <w:pStyle w:val="affffffd"/>
        <w:numPr>
          <w:ilvl w:val="0"/>
          <w:numId w:val="27"/>
        </w:numPr>
        <w:ind w:firstLineChars="0"/>
        <w:rPr>
          <w:szCs w:val="28"/>
        </w:rPr>
      </w:pPr>
      <w:r w:rsidRPr="00152A12">
        <w:rPr>
          <w:rFonts w:hAnsi="宋体"/>
          <w:szCs w:val="28"/>
        </w:rPr>
        <w:t>严重风险：</w:t>
      </w:r>
    </w:p>
    <w:p w:rsidR="005509A2" w:rsidRPr="00152A12" w:rsidRDefault="005509A2" w:rsidP="003E6AB8">
      <w:pPr>
        <w:pStyle w:val="affffffd"/>
        <w:numPr>
          <w:ilvl w:val="0"/>
          <w:numId w:val="28"/>
        </w:numPr>
        <w:ind w:firstLineChars="0"/>
        <w:rPr>
          <w:szCs w:val="28"/>
        </w:rPr>
      </w:pPr>
      <w:r w:rsidRPr="00152A12">
        <w:rPr>
          <w:rFonts w:hAnsi="宋体"/>
          <w:szCs w:val="28"/>
        </w:rPr>
        <w:t>风险发生概率为高，风险影响程度为高；</w:t>
      </w:r>
      <w:r w:rsidRPr="00152A12">
        <w:rPr>
          <w:szCs w:val="28"/>
        </w:rPr>
        <w:t xml:space="preserve"> </w:t>
      </w:r>
    </w:p>
    <w:p w:rsidR="005509A2" w:rsidRPr="00152A12" w:rsidRDefault="005509A2" w:rsidP="003E6AB8">
      <w:pPr>
        <w:pStyle w:val="affffffd"/>
        <w:numPr>
          <w:ilvl w:val="0"/>
          <w:numId w:val="28"/>
        </w:numPr>
        <w:ind w:firstLineChars="0"/>
        <w:rPr>
          <w:szCs w:val="28"/>
        </w:rPr>
      </w:pPr>
      <w:r w:rsidRPr="00152A12">
        <w:rPr>
          <w:rFonts w:hAnsi="宋体"/>
          <w:szCs w:val="28"/>
        </w:rPr>
        <w:t>风险发生概率为高，风险影响程度为中；</w:t>
      </w:r>
    </w:p>
    <w:p w:rsidR="005509A2" w:rsidRPr="00152A12" w:rsidRDefault="005509A2" w:rsidP="003E6AB8">
      <w:pPr>
        <w:pStyle w:val="affffffd"/>
        <w:numPr>
          <w:ilvl w:val="0"/>
          <w:numId w:val="28"/>
        </w:numPr>
        <w:ind w:firstLineChars="0"/>
        <w:rPr>
          <w:szCs w:val="28"/>
        </w:rPr>
      </w:pPr>
      <w:r w:rsidRPr="00152A12">
        <w:rPr>
          <w:rFonts w:hAnsi="宋体"/>
          <w:szCs w:val="28"/>
        </w:rPr>
        <w:t>风险发生概率为中，风险影响程度为高。</w:t>
      </w:r>
    </w:p>
    <w:p w:rsidR="005509A2" w:rsidRPr="00152A12" w:rsidRDefault="005509A2" w:rsidP="003E6AB8">
      <w:pPr>
        <w:pStyle w:val="affffffd"/>
        <w:numPr>
          <w:ilvl w:val="0"/>
          <w:numId w:val="27"/>
        </w:numPr>
        <w:ind w:firstLineChars="0"/>
        <w:rPr>
          <w:szCs w:val="28"/>
        </w:rPr>
      </w:pPr>
      <w:r w:rsidRPr="00152A12">
        <w:rPr>
          <w:rFonts w:hAnsi="宋体"/>
          <w:szCs w:val="28"/>
        </w:rPr>
        <w:t>中等风险：</w:t>
      </w:r>
    </w:p>
    <w:p w:rsidR="005509A2" w:rsidRPr="00152A12" w:rsidRDefault="005509A2" w:rsidP="003E6AB8">
      <w:pPr>
        <w:pStyle w:val="affffffd"/>
        <w:numPr>
          <w:ilvl w:val="0"/>
          <w:numId w:val="29"/>
        </w:numPr>
        <w:ind w:firstLineChars="0"/>
        <w:rPr>
          <w:szCs w:val="28"/>
        </w:rPr>
      </w:pPr>
      <w:r w:rsidRPr="00152A12">
        <w:rPr>
          <w:rFonts w:hAnsi="宋体"/>
          <w:szCs w:val="28"/>
        </w:rPr>
        <w:t>风险发生概率为高，风险影响程度为低；</w:t>
      </w:r>
    </w:p>
    <w:p w:rsidR="005509A2" w:rsidRPr="00152A12" w:rsidRDefault="005509A2" w:rsidP="003E6AB8">
      <w:pPr>
        <w:pStyle w:val="affffffd"/>
        <w:numPr>
          <w:ilvl w:val="0"/>
          <w:numId w:val="29"/>
        </w:numPr>
        <w:ind w:firstLineChars="0"/>
        <w:rPr>
          <w:szCs w:val="28"/>
        </w:rPr>
      </w:pPr>
      <w:r w:rsidRPr="00152A12">
        <w:rPr>
          <w:rFonts w:hAnsi="宋体"/>
          <w:szCs w:val="28"/>
        </w:rPr>
        <w:t>风险发生概率为中，风险影响程度为中；</w:t>
      </w:r>
    </w:p>
    <w:p w:rsidR="005509A2" w:rsidRPr="00152A12" w:rsidRDefault="005509A2" w:rsidP="003E6AB8">
      <w:pPr>
        <w:pStyle w:val="affffffd"/>
        <w:numPr>
          <w:ilvl w:val="0"/>
          <w:numId w:val="29"/>
        </w:numPr>
        <w:ind w:firstLineChars="0"/>
        <w:rPr>
          <w:szCs w:val="28"/>
        </w:rPr>
      </w:pPr>
      <w:r w:rsidRPr="00152A12">
        <w:rPr>
          <w:szCs w:val="28"/>
        </w:rPr>
        <w:t xml:space="preserve"> </w:t>
      </w:r>
      <w:r w:rsidRPr="00152A12">
        <w:rPr>
          <w:rFonts w:hAnsi="宋体"/>
          <w:szCs w:val="28"/>
        </w:rPr>
        <w:t>风险发生概率为低，风险影响程度为高。</w:t>
      </w:r>
    </w:p>
    <w:p w:rsidR="005509A2" w:rsidRPr="00152A12" w:rsidRDefault="005509A2" w:rsidP="003E6AB8">
      <w:pPr>
        <w:pStyle w:val="affffffd"/>
        <w:numPr>
          <w:ilvl w:val="0"/>
          <w:numId w:val="27"/>
        </w:numPr>
        <w:ind w:firstLineChars="0"/>
        <w:rPr>
          <w:szCs w:val="28"/>
        </w:rPr>
      </w:pPr>
      <w:r w:rsidRPr="00152A12">
        <w:rPr>
          <w:rFonts w:hAnsi="宋体"/>
          <w:szCs w:val="28"/>
        </w:rPr>
        <w:t>微小风险：</w:t>
      </w:r>
    </w:p>
    <w:p w:rsidR="005509A2" w:rsidRPr="00152A12" w:rsidRDefault="005509A2" w:rsidP="003E6AB8">
      <w:pPr>
        <w:pStyle w:val="affffffd"/>
        <w:numPr>
          <w:ilvl w:val="0"/>
          <w:numId w:val="30"/>
        </w:numPr>
        <w:ind w:firstLineChars="0"/>
        <w:rPr>
          <w:szCs w:val="28"/>
        </w:rPr>
      </w:pPr>
      <w:r w:rsidRPr="00152A12">
        <w:rPr>
          <w:rFonts w:hAnsi="宋体"/>
          <w:szCs w:val="28"/>
        </w:rPr>
        <w:t>风险发生概率为中，风险影响程度为低；</w:t>
      </w:r>
    </w:p>
    <w:p w:rsidR="005509A2" w:rsidRPr="00152A12" w:rsidRDefault="005509A2" w:rsidP="003E6AB8">
      <w:pPr>
        <w:pStyle w:val="affffffd"/>
        <w:numPr>
          <w:ilvl w:val="0"/>
          <w:numId w:val="30"/>
        </w:numPr>
        <w:ind w:firstLineChars="0"/>
        <w:rPr>
          <w:szCs w:val="28"/>
        </w:rPr>
      </w:pPr>
      <w:r w:rsidRPr="00152A12">
        <w:rPr>
          <w:rFonts w:hAnsi="宋体"/>
          <w:szCs w:val="28"/>
        </w:rPr>
        <w:t>风险发生概率为低，风险影响程度为中；</w:t>
      </w:r>
    </w:p>
    <w:p w:rsidR="005509A2" w:rsidRDefault="005509A2" w:rsidP="003E6AB8">
      <w:pPr>
        <w:pStyle w:val="affffffd"/>
        <w:numPr>
          <w:ilvl w:val="0"/>
          <w:numId w:val="30"/>
        </w:numPr>
        <w:ind w:firstLineChars="0"/>
      </w:pPr>
      <w:r w:rsidRPr="00152A12">
        <w:rPr>
          <w:rFonts w:hAnsi="宋体"/>
          <w:szCs w:val="28"/>
        </w:rPr>
        <w:t>风险发生概率为低，风险影响程度为低。</w:t>
      </w:r>
    </w:p>
    <w:p w:rsidR="005509A2" w:rsidRPr="00CA314A" w:rsidRDefault="005509A2" w:rsidP="005509A2">
      <w:pPr>
        <w:pStyle w:val="affffffd"/>
        <w:spacing w:line="360" w:lineRule="auto"/>
        <w:ind w:left="420" w:firstLineChars="0" w:firstLine="0"/>
        <w:jc w:val="center"/>
        <w:rPr>
          <w:rFonts w:ascii="黑体" w:eastAsia="黑体" w:hAnsi="黑体" w:cs="Arial"/>
          <w:szCs w:val="21"/>
        </w:rPr>
      </w:pPr>
      <w:r w:rsidRPr="00CA314A">
        <w:rPr>
          <w:rFonts w:ascii="黑体" w:eastAsia="黑体" w:hAnsi="黑体" w:cs="Arial" w:hint="eastAsia"/>
          <w:szCs w:val="21"/>
        </w:rPr>
        <w:t>表</w:t>
      </w:r>
      <w:r w:rsidRPr="00CA314A">
        <w:rPr>
          <w:rFonts w:ascii="黑体" w:eastAsia="黑体" w:hAnsi="黑体" w:cs="Arial"/>
          <w:szCs w:val="21"/>
        </w:rPr>
        <w:t xml:space="preserve">1 </w:t>
      </w:r>
      <w:r w:rsidRPr="00CA314A">
        <w:rPr>
          <w:rFonts w:ascii="黑体" w:eastAsia="黑体" w:hAnsi="黑体" w:cs="Arial" w:hint="eastAsia"/>
          <w:szCs w:val="21"/>
        </w:rPr>
        <w:t>风险等级矩阵</w:t>
      </w:r>
    </w:p>
    <w:tbl>
      <w:tblPr>
        <w:tblStyle w:val="afffffa"/>
        <w:tblW w:w="0" w:type="auto"/>
        <w:tblInd w:w="900" w:type="dxa"/>
        <w:tblLook w:val="04A0" w:firstRow="1" w:lastRow="0" w:firstColumn="1" w:lastColumn="0" w:noHBand="0" w:noVBand="1"/>
      </w:tblPr>
      <w:tblGrid>
        <w:gridCol w:w="1524"/>
        <w:gridCol w:w="1524"/>
        <w:gridCol w:w="1524"/>
        <w:gridCol w:w="1525"/>
      </w:tblGrid>
      <w:tr w:rsidR="005509A2" w:rsidTr="00C71E16">
        <w:trPr>
          <w:trHeight w:val="569"/>
        </w:trPr>
        <w:tc>
          <w:tcPr>
            <w:tcW w:w="1524" w:type="dxa"/>
            <w:tcBorders>
              <w:tl2br w:val="single" w:sz="4" w:space="0" w:color="auto"/>
            </w:tcBorders>
          </w:tcPr>
          <w:p w:rsidR="005509A2" w:rsidRPr="00D566D2" w:rsidRDefault="005509A2" w:rsidP="00C71E16">
            <w:pPr>
              <w:spacing w:line="360" w:lineRule="auto"/>
              <w:jc w:val="left"/>
              <w:rPr>
                <w:rFonts w:asciiTheme="minorEastAsia" w:hAnsiTheme="minorEastAsia" w:cs="Arial"/>
                <w:sz w:val="15"/>
                <w:szCs w:val="15"/>
              </w:rPr>
            </w:pPr>
            <w:r>
              <w:rPr>
                <w:rFonts w:asciiTheme="minorEastAsia" w:hAnsiTheme="minorEastAsia" w:cs="Arial" w:hint="eastAsia"/>
                <w:sz w:val="15"/>
                <w:szCs w:val="15"/>
              </w:rPr>
              <w:t>概率</w:t>
            </w:r>
            <w:r w:rsidRPr="00D566D2">
              <w:rPr>
                <w:rFonts w:asciiTheme="minorEastAsia" w:hAnsiTheme="minorEastAsia" w:cs="Arial"/>
                <w:sz w:val="15"/>
                <w:szCs w:val="15"/>
              </w:rPr>
              <w:t xml:space="preserve">    </w:t>
            </w:r>
            <w:r>
              <w:rPr>
                <w:rFonts w:asciiTheme="minorEastAsia" w:hAnsiTheme="minorEastAsia" w:cs="Arial"/>
                <w:sz w:val="15"/>
                <w:szCs w:val="15"/>
              </w:rPr>
              <w:t xml:space="preserve">    </w:t>
            </w:r>
            <w:r>
              <w:rPr>
                <w:rFonts w:asciiTheme="minorEastAsia" w:hAnsiTheme="minorEastAsia" w:cs="Arial" w:hint="eastAsia"/>
                <w:sz w:val="15"/>
                <w:szCs w:val="15"/>
              </w:rPr>
              <w:t>程度</w:t>
            </w:r>
          </w:p>
        </w:tc>
        <w:tc>
          <w:tcPr>
            <w:tcW w:w="1524" w:type="dxa"/>
            <w:tcBorders>
              <w:bottom w:val="single" w:sz="4" w:space="0" w:color="auto"/>
            </w:tcBorders>
          </w:tcPr>
          <w:p w:rsidR="005509A2" w:rsidRPr="00C32567" w:rsidRDefault="005509A2" w:rsidP="00C71E16">
            <w:pPr>
              <w:spacing w:line="360" w:lineRule="auto"/>
              <w:jc w:val="center"/>
              <w:rPr>
                <w:rFonts w:asciiTheme="minorEastAsia" w:hAnsiTheme="minorEastAsia" w:cs="Arial"/>
                <w:sz w:val="18"/>
                <w:szCs w:val="18"/>
              </w:rPr>
            </w:pPr>
            <w:r w:rsidRPr="00DC5935">
              <w:rPr>
                <w:rFonts w:asciiTheme="minorEastAsia" w:hAnsiTheme="minorEastAsia" w:cs="Arial" w:hint="eastAsia"/>
                <w:sz w:val="18"/>
                <w:szCs w:val="18"/>
              </w:rPr>
              <w:t>高</w:t>
            </w:r>
          </w:p>
        </w:tc>
        <w:tc>
          <w:tcPr>
            <w:tcW w:w="1524" w:type="dxa"/>
            <w:tcBorders>
              <w:bottom w:val="single" w:sz="4" w:space="0" w:color="auto"/>
            </w:tcBorders>
          </w:tcPr>
          <w:p w:rsidR="005509A2" w:rsidRPr="00C32567" w:rsidRDefault="005509A2" w:rsidP="00C71E16">
            <w:pPr>
              <w:spacing w:line="360" w:lineRule="auto"/>
              <w:jc w:val="center"/>
              <w:rPr>
                <w:rFonts w:asciiTheme="minorEastAsia" w:hAnsiTheme="minorEastAsia" w:cs="Arial"/>
                <w:sz w:val="18"/>
                <w:szCs w:val="18"/>
              </w:rPr>
            </w:pPr>
            <w:r w:rsidRPr="00DC5935">
              <w:rPr>
                <w:rFonts w:asciiTheme="minorEastAsia" w:hAnsiTheme="minorEastAsia" w:cs="Arial" w:hint="eastAsia"/>
                <w:sz w:val="18"/>
                <w:szCs w:val="18"/>
              </w:rPr>
              <w:t>中</w:t>
            </w:r>
          </w:p>
        </w:tc>
        <w:tc>
          <w:tcPr>
            <w:tcW w:w="1525" w:type="dxa"/>
            <w:tcBorders>
              <w:bottom w:val="single" w:sz="4" w:space="0" w:color="auto"/>
            </w:tcBorders>
          </w:tcPr>
          <w:p w:rsidR="005509A2" w:rsidRPr="00C32567" w:rsidRDefault="005509A2" w:rsidP="00C71E16">
            <w:pPr>
              <w:spacing w:line="360" w:lineRule="auto"/>
              <w:jc w:val="center"/>
              <w:rPr>
                <w:rFonts w:asciiTheme="minorEastAsia" w:hAnsiTheme="minorEastAsia" w:cs="Arial"/>
                <w:sz w:val="18"/>
                <w:szCs w:val="18"/>
              </w:rPr>
            </w:pPr>
            <w:r w:rsidRPr="00DC5935">
              <w:rPr>
                <w:rFonts w:asciiTheme="minorEastAsia" w:hAnsiTheme="minorEastAsia" w:cs="Arial" w:hint="eastAsia"/>
                <w:sz w:val="18"/>
                <w:szCs w:val="18"/>
              </w:rPr>
              <w:t>低</w:t>
            </w:r>
          </w:p>
        </w:tc>
      </w:tr>
      <w:tr w:rsidR="005509A2" w:rsidTr="00C71E16">
        <w:tc>
          <w:tcPr>
            <w:tcW w:w="1524" w:type="dxa"/>
          </w:tcPr>
          <w:p w:rsidR="005509A2" w:rsidRPr="00C32567" w:rsidRDefault="005509A2" w:rsidP="00C71E16">
            <w:pPr>
              <w:spacing w:line="360" w:lineRule="auto"/>
              <w:rPr>
                <w:rFonts w:asciiTheme="minorEastAsia" w:hAnsiTheme="minorEastAsia" w:cs="Arial"/>
                <w:sz w:val="18"/>
                <w:szCs w:val="18"/>
              </w:rPr>
            </w:pPr>
            <w:r w:rsidRPr="00DC5935">
              <w:rPr>
                <w:rFonts w:asciiTheme="minorEastAsia" w:hAnsiTheme="minorEastAsia" w:cs="Arial" w:hint="eastAsia"/>
                <w:sz w:val="18"/>
                <w:szCs w:val="18"/>
              </w:rPr>
              <w:t>高</w:t>
            </w:r>
          </w:p>
        </w:tc>
        <w:tc>
          <w:tcPr>
            <w:tcW w:w="1524" w:type="dxa"/>
            <w:shd w:val="horzCross" w:color="auto" w:fill="auto"/>
          </w:tcPr>
          <w:p w:rsidR="005509A2" w:rsidRPr="00C32567" w:rsidRDefault="005509A2" w:rsidP="00C71E16">
            <w:pPr>
              <w:spacing w:line="360" w:lineRule="auto"/>
              <w:rPr>
                <w:rFonts w:asciiTheme="minorEastAsia" w:hAnsiTheme="minorEastAsia" w:cs="Arial"/>
                <w:sz w:val="18"/>
                <w:szCs w:val="18"/>
                <w:highlight w:val="black"/>
              </w:rPr>
            </w:pPr>
            <w:r w:rsidRPr="00DC5935">
              <w:rPr>
                <w:rFonts w:asciiTheme="minorEastAsia" w:hAnsiTheme="minorEastAsia" w:cs="Arial" w:hint="eastAsia"/>
                <w:sz w:val="18"/>
                <w:szCs w:val="18"/>
                <w:highlight w:val="lightGray"/>
              </w:rPr>
              <w:t>严重</w:t>
            </w:r>
          </w:p>
        </w:tc>
        <w:tc>
          <w:tcPr>
            <w:tcW w:w="1524" w:type="dxa"/>
            <w:shd w:val="horzCross" w:color="auto" w:fill="auto"/>
          </w:tcPr>
          <w:p w:rsidR="005509A2" w:rsidRPr="00C32567" w:rsidRDefault="005509A2" w:rsidP="00C71E16">
            <w:pPr>
              <w:spacing w:line="360" w:lineRule="auto"/>
              <w:rPr>
                <w:rFonts w:asciiTheme="minorEastAsia" w:hAnsiTheme="minorEastAsia" w:cs="Arial"/>
                <w:sz w:val="18"/>
                <w:szCs w:val="18"/>
                <w:highlight w:val="black"/>
              </w:rPr>
            </w:pPr>
            <w:r w:rsidRPr="00DC5935">
              <w:rPr>
                <w:rFonts w:asciiTheme="minorEastAsia" w:hAnsiTheme="minorEastAsia" w:cs="Arial" w:hint="eastAsia"/>
                <w:sz w:val="18"/>
                <w:szCs w:val="18"/>
                <w:highlight w:val="lightGray"/>
              </w:rPr>
              <w:t>严重</w:t>
            </w:r>
          </w:p>
        </w:tc>
        <w:tc>
          <w:tcPr>
            <w:tcW w:w="1525" w:type="dxa"/>
            <w:tcBorders>
              <w:bottom w:val="single" w:sz="4" w:space="0" w:color="auto"/>
            </w:tcBorders>
            <w:shd w:val="pct30" w:color="auto" w:fill="auto"/>
          </w:tcPr>
          <w:p w:rsidR="005509A2" w:rsidRPr="00C32567" w:rsidRDefault="005509A2" w:rsidP="00C71E16">
            <w:pPr>
              <w:spacing w:line="360" w:lineRule="auto"/>
              <w:rPr>
                <w:rFonts w:asciiTheme="minorEastAsia" w:hAnsiTheme="minorEastAsia" w:cs="Arial"/>
                <w:sz w:val="18"/>
                <w:szCs w:val="18"/>
              </w:rPr>
            </w:pPr>
            <w:r w:rsidRPr="00DC5935">
              <w:rPr>
                <w:rFonts w:asciiTheme="minorEastAsia" w:hAnsiTheme="minorEastAsia" w:cs="Arial" w:hint="eastAsia"/>
                <w:sz w:val="18"/>
                <w:szCs w:val="18"/>
              </w:rPr>
              <w:t>中等</w:t>
            </w:r>
          </w:p>
        </w:tc>
      </w:tr>
      <w:tr w:rsidR="005509A2" w:rsidTr="00C71E16">
        <w:tc>
          <w:tcPr>
            <w:tcW w:w="1524" w:type="dxa"/>
          </w:tcPr>
          <w:p w:rsidR="005509A2" w:rsidRPr="00C32567" w:rsidRDefault="005509A2" w:rsidP="00C71E16">
            <w:pPr>
              <w:spacing w:line="360" w:lineRule="auto"/>
              <w:rPr>
                <w:rFonts w:asciiTheme="minorEastAsia" w:hAnsiTheme="minorEastAsia" w:cs="Arial"/>
                <w:sz w:val="18"/>
                <w:szCs w:val="18"/>
              </w:rPr>
            </w:pPr>
            <w:r w:rsidRPr="00DC5935">
              <w:rPr>
                <w:rFonts w:asciiTheme="minorEastAsia" w:hAnsiTheme="minorEastAsia" w:cs="Arial" w:hint="eastAsia"/>
                <w:sz w:val="18"/>
                <w:szCs w:val="18"/>
              </w:rPr>
              <w:t>中</w:t>
            </w:r>
          </w:p>
        </w:tc>
        <w:tc>
          <w:tcPr>
            <w:tcW w:w="1524" w:type="dxa"/>
            <w:shd w:val="horzCross" w:color="auto" w:fill="auto"/>
          </w:tcPr>
          <w:p w:rsidR="005509A2" w:rsidRPr="00C32567" w:rsidRDefault="005509A2" w:rsidP="00C71E16">
            <w:pPr>
              <w:spacing w:line="360" w:lineRule="auto"/>
              <w:rPr>
                <w:rFonts w:asciiTheme="minorEastAsia" w:hAnsiTheme="minorEastAsia" w:cs="Arial"/>
                <w:sz w:val="18"/>
                <w:szCs w:val="18"/>
              </w:rPr>
            </w:pPr>
            <w:r w:rsidRPr="00DC5935">
              <w:rPr>
                <w:rFonts w:asciiTheme="minorEastAsia" w:hAnsiTheme="minorEastAsia" w:cs="Arial" w:hint="eastAsia"/>
                <w:sz w:val="18"/>
                <w:szCs w:val="18"/>
                <w:highlight w:val="lightGray"/>
              </w:rPr>
              <w:t>严重</w:t>
            </w:r>
          </w:p>
        </w:tc>
        <w:tc>
          <w:tcPr>
            <w:tcW w:w="1524" w:type="dxa"/>
            <w:tcBorders>
              <w:bottom w:val="single" w:sz="4" w:space="0" w:color="auto"/>
            </w:tcBorders>
            <w:shd w:val="pct30" w:color="auto" w:fill="auto"/>
          </w:tcPr>
          <w:p w:rsidR="005509A2" w:rsidRPr="00C32567" w:rsidRDefault="005509A2" w:rsidP="00C71E16">
            <w:pPr>
              <w:spacing w:line="360" w:lineRule="auto"/>
              <w:rPr>
                <w:rFonts w:asciiTheme="minorEastAsia" w:hAnsiTheme="minorEastAsia" w:cs="Arial"/>
                <w:sz w:val="18"/>
                <w:szCs w:val="18"/>
              </w:rPr>
            </w:pPr>
            <w:r w:rsidRPr="00DC5935">
              <w:rPr>
                <w:rFonts w:asciiTheme="minorEastAsia" w:hAnsiTheme="minorEastAsia" w:cs="Arial" w:hint="eastAsia"/>
                <w:sz w:val="18"/>
                <w:szCs w:val="18"/>
              </w:rPr>
              <w:t>中等</w:t>
            </w:r>
          </w:p>
        </w:tc>
        <w:tc>
          <w:tcPr>
            <w:tcW w:w="1525" w:type="dxa"/>
            <w:tcBorders>
              <w:bottom w:val="single" w:sz="4" w:space="0" w:color="auto"/>
            </w:tcBorders>
            <w:shd w:val="thinDiagStripe" w:color="auto" w:fill="auto"/>
          </w:tcPr>
          <w:p w:rsidR="005509A2" w:rsidRPr="00C32567" w:rsidRDefault="005509A2" w:rsidP="00C71E16">
            <w:pPr>
              <w:spacing w:line="360" w:lineRule="auto"/>
              <w:rPr>
                <w:rFonts w:asciiTheme="minorEastAsia" w:hAnsiTheme="minorEastAsia" w:cs="Arial"/>
                <w:sz w:val="18"/>
                <w:szCs w:val="18"/>
              </w:rPr>
            </w:pPr>
            <w:r w:rsidRPr="00DC5935">
              <w:rPr>
                <w:rFonts w:asciiTheme="minorEastAsia" w:hAnsiTheme="minorEastAsia" w:cs="Arial" w:hint="eastAsia"/>
                <w:sz w:val="18"/>
                <w:szCs w:val="18"/>
              </w:rPr>
              <w:t>微小</w:t>
            </w:r>
          </w:p>
        </w:tc>
      </w:tr>
      <w:tr w:rsidR="005509A2" w:rsidTr="00C71E16">
        <w:tc>
          <w:tcPr>
            <w:tcW w:w="1524" w:type="dxa"/>
          </w:tcPr>
          <w:p w:rsidR="005509A2" w:rsidRPr="00C32567" w:rsidRDefault="005509A2" w:rsidP="00C71E16">
            <w:pPr>
              <w:spacing w:line="360" w:lineRule="auto"/>
              <w:rPr>
                <w:rFonts w:asciiTheme="minorEastAsia" w:hAnsiTheme="minorEastAsia" w:cs="Arial"/>
                <w:sz w:val="18"/>
                <w:szCs w:val="18"/>
              </w:rPr>
            </w:pPr>
            <w:r w:rsidRPr="00DC5935">
              <w:rPr>
                <w:rFonts w:asciiTheme="minorEastAsia" w:hAnsiTheme="minorEastAsia" w:cs="Arial" w:hint="eastAsia"/>
                <w:sz w:val="18"/>
                <w:szCs w:val="18"/>
              </w:rPr>
              <w:t>低</w:t>
            </w:r>
          </w:p>
        </w:tc>
        <w:tc>
          <w:tcPr>
            <w:tcW w:w="1524" w:type="dxa"/>
            <w:shd w:val="pct30" w:color="auto" w:fill="auto"/>
          </w:tcPr>
          <w:p w:rsidR="005509A2" w:rsidRPr="00C32567" w:rsidRDefault="005509A2" w:rsidP="00C71E16">
            <w:pPr>
              <w:spacing w:line="360" w:lineRule="auto"/>
              <w:rPr>
                <w:rFonts w:asciiTheme="minorEastAsia" w:hAnsiTheme="minorEastAsia" w:cs="Arial"/>
                <w:sz w:val="18"/>
                <w:szCs w:val="18"/>
              </w:rPr>
            </w:pPr>
            <w:r w:rsidRPr="00DC5935">
              <w:rPr>
                <w:rFonts w:asciiTheme="minorEastAsia" w:hAnsiTheme="minorEastAsia" w:cs="Arial" w:hint="eastAsia"/>
                <w:sz w:val="18"/>
                <w:szCs w:val="18"/>
              </w:rPr>
              <w:t>中等</w:t>
            </w:r>
          </w:p>
        </w:tc>
        <w:tc>
          <w:tcPr>
            <w:tcW w:w="1524" w:type="dxa"/>
            <w:shd w:val="thinDiagStripe" w:color="auto" w:fill="auto"/>
          </w:tcPr>
          <w:p w:rsidR="005509A2" w:rsidRPr="00C32567" w:rsidRDefault="005509A2" w:rsidP="00C71E16">
            <w:pPr>
              <w:spacing w:line="360" w:lineRule="auto"/>
              <w:rPr>
                <w:rFonts w:asciiTheme="minorEastAsia" w:hAnsiTheme="minorEastAsia" w:cs="Arial"/>
                <w:sz w:val="18"/>
                <w:szCs w:val="18"/>
              </w:rPr>
            </w:pPr>
            <w:r w:rsidRPr="00DC5935">
              <w:rPr>
                <w:rFonts w:asciiTheme="minorEastAsia" w:hAnsiTheme="minorEastAsia" w:cs="Arial" w:hint="eastAsia"/>
                <w:sz w:val="18"/>
                <w:szCs w:val="18"/>
              </w:rPr>
              <w:t>微小</w:t>
            </w:r>
          </w:p>
        </w:tc>
        <w:tc>
          <w:tcPr>
            <w:tcW w:w="1525" w:type="dxa"/>
            <w:shd w:val="thinDiagStripe" w:color="auto" w:fill="auto"/>
          </w:tcPr>
          <w:p w:rsidR="005509A2" w:rsidRPr="00C32567" w:rsidRDefault="005509A2" w:rsidP="00C71E16">
            <w:pPr>
              <w:spacing w:line="360" w:lineRule="auto"/>
              <w:rPr>
                <w:rFonts w:asciiTheme="minorEastAsia" w:hAnsiTheme="minorEastAsia" w:cs="Arial"/>
                <w:sz w:val="18"/>
                <w:szCs w:val="18"/>
              </w:rPr>
            </w:pPr>
            <w:r w:rsidRPr="00DC5935">
              <w:rPr>
                <w:rFonts w:asciiTheme="minorEastAsia" w:hAnsiTheme="minorEastAsia" w:cs="Arial" w:hint="eastAsia"/>
                <w:sz w:val="18"/>
                <w:szCs w:val="18"/>
              </w:rPr>
              <w:t>微小</w:t>
            </w:r>
          </w:p>
        </w:tc>
      </w:tr>
    </w:tbl>
    <w:p w:rsidR="005509A2" w:rsidRPr="00434323" w:rsidRDefault="005509A2" w:rsidP="00434323">
      <w:pPr>
        <w:ind w:firstLineChars="200" w:firstLine="420"/>
        <w:rPr>
          <w:rFonts w:ascii="宋体" w:hAnsi="宋体"/>
          <w:szCs w:val="28"/>
        </w:rPr>
      </w:pPr>
      <w:r w:rsidRPr="00C83F94">
        <w:rPr>
          <w:rFonts w:ascii="宋体" w:hAnsi="宋体" w:hint="eastAsia"/>
          <w:szCs w:val="28"/>
        </w:rPr>
        <w:t>对于中等风险和严重风险环节，应充分考虑风险对数据质量可能造成的影响并在数据质量管理方案中</w:t>
      </w:r>
      <w:r>
        <w:rPr>
          <w:rFonts w:ascii="宋体" w:hAnsi="宋体" w:hint="eastAsia"/>
          <w:szCs w:val="28"/>
        </w:rPr>
        <w:t>提出具体的解决方案。</w:t>
      </w:r>
    </w:p>
    <w:p w:rsidR="00C1098C" w:rsidRPr="00C1098C" w:rsidRDefault="00C1098C" w:rsidP="00EE7D6F">
      <w:pPr>
        <w:pStyle w:val="a2"/>
        <w:spacing w:before="156" w:after="156"/>
      </w:pPr>
      <w:bookmarkStart w:id="54" w:name="_Toc9924497"/>
      <w:bookmarkStart w:id="55" w:name="_Hlk3362995"/>
      <w:r w:rsidRPr="00C1098C">
        <w:lastRenderedPageBreak/>
        <w:t>数据质量管理要求</w:t>
      </w:r>
      <w:bookmarkEnd w:id="54"/>
    </w:p>
    <w:p w:rsidR="00434323" w:rsidRPr="003D162C" w:rsidRDefault="00434323" w:rsidP="003D162C">
      <w:pPr>
        <w:widowControl/>
        <w:numPr>
          <w:ilvl w:val="2"/>
          <w:numId w:val="8"/>
        </w:numPr>
        <w:spacing w:beforeLines="50" w:before="156" w:afterLines="50" w:after="156"/>
        <w:jc w:val="left"/>
        <w:outlineLvl w:val="2"/>
        <w:rPr>
          <w:rFonts w:eastAsia="黑体"/>
          <w:kern w:val="0"/>
          <w:szCs w:val="21"/>
        </w:rPr>
      </w:pPr>
      <w:bookmarkStart w:id="56" w:name="_Toc9924498"/>
      <w:r w:rsidRPr="003D162C">
        <w:rPr>
          <w:rFonts w:eastAsia="黑体" w:hint="eastAsia"/>
          <w:kern w:val="0"/>
          <w:szCs w:val="21"/>
        </w:rPr>
        <w:t>人员管理</w:t>
      </w:r>
      <w:bookmarkEnd w:id="56"/>
    </w:p>
    <w:bookmarkEnd w:id="55"/>
    <w:p w:rsidR="00434323" w:rsidRPr="00152A12" w:rsidRDefault="00434323" w:rsidP="00434323">
      <w:pPr>
        <w:ind w:firstLineChars="200" w:firstLine="420"/>
      </w:pPr>
      <w:r w:rsidRPr="00152A12">
        <w:rPr>
          <w:rFonts w:hAnsiTheme="minorEastAsia"/>
        </w:rPr>
        <w:t>工业企业对温室气体数据管理相关人员的要求应包括但不限于以下内容：</w:t>
      </w:r>
    </w:p>
    <w:p w:rsidR="00434323" w:rsidRPr="00152A12" w:rsidRDefault="00434323" w:rsidP="003E6AB8">
      <w:pPr>
        <w:pStyle w:val="affffffd"/>
        <w:numPr>
          <w:ilvl w:val="0"/>
          <w:numId w:val="31"/>
        </w:numPr>
        <w:ind w:firstLineChars="0"/>
      </w:pPr>
      <w:r w:rsidRPr="00152A12">
        <w:rPr>
          <w:rFonts w:hAnsiTheme="minorEastAsia"/>
        </w:rPr>
        <w:t>指定专人负责工业企业温室气体数据管理的一切相关工作；</w:t>
      </w:r>
    </w:p>
    <w:p w:rsidR="00434323" w:rsidRPr="00152A12" w:rsidRDefault="00434323" w:rsidP="003E6AB8">
      <w:pPr>
        <w:pStyle w:val="affffffd"/>
        <w:numPr>
          <w:ilvl w:val="0"/>
          <w:numId w:val="31"/>
        </w:numPr>
        <w:ind w:firstLineChars="0"/>
      </w:pPr>
      <w:r w:rsidRPr="00152A12">
        <w:rPr>
          <w:rFonts w:hAnsiTheme="minorEastAsia"/>
          <w:szCs w:val="28"/>
        </w:rPr>
        <w:t>指定专人对工业企业温室气体数据管理相关工作进行检查；</w:t>
      </w:r>
    </w:p>
    <w:p w:rsidR="00434323" w:rsidRPr="00152A12" w:rsidRDefault="00434323" w:rsidP="003E6AB8">
      <w:pPr>
        <w:pStyle w:val="affffffd"/>
        <w:numPr>
          <w:ilvl w:val="0"/>
          <w:numId w:val="31"/>
        </w:numPr>
        <w:ind w:firstLineChars="0"/>
      </w:pPr>
      <w:r w:rsidRPr="00152A12">
        <w:rPr>
          <w:rFonts w:hAnsiTheme="minorEastAsia"/>
        </w:rPr>
        <w:t>所有涉及到温室气体排放核算的工作人员，应经过专门的培训合格后方可执行工作；</w:t>
      </w:r>
    </w:p>
    <w:p w:rsidR="00434323" w:rsidRPr="00152A12" w:rsidRDefault="00434323" w:rsidP="003E6AB8">
      <w:pPr>
        <w:pStyle w:val="affffffd"/>
        <w:numPr>
          <w:ilvl w:val="0"/>
          <w:numId w:val="31"/>
        </w:numPr>
        <w:ind w:firstLineChars="0"/>
      </w:pPr>
      <w:r w:rsidRPr="00152A12">
        <w:rPr>
          <w:rFonts w:hAnsiTheme="minorEastAsia"/>
          <w:szCs w:val="28"/>
        </w:rPr>
        <w:t>应对数据管理相关人员的工作执行情况进行定期考核；</w:t>
      </w:r>
    </w:p>
    <w:p w:rsidR="00434323" w:rsidRDefault="00434323" w:rsidP="00434323">
      <w:pPr>
        <w:pStyle w:val="aff3"/>
        <w:rPr>
          <w:rFonts w:ascii="Times New Roman" w:hAnsiTheme="minorEastAsia"/>
        </w:rPr>
      </w:pPr>
      <w:r w:rsidRPr="00152A12" w:rsidDel="00145EDD">
        <w:rPr>
          <w:rFonts w:ascii="Times New Roman" w:hAnsiTheme="minorEastAsia"/>
        </w:rPr>
        <w:t>对于等级</w:t>
      </w:r>
      <w:r w:rsidRPr="00152A12" w:rsidDel="00145EDD">
        <w:rPr>
          <w:rFonts w:ascii="Times New Roman"/>
        </w:rPr>
        <w:t>3</w:t>
      </w:r>
      <w:r w:rsidRPr="00152A12" w:rsidDel="00145EDD">
        <w:rPr>
          <w:rFonts w:ascii="Times New Roman" w:hAnsiTheme="minorEastAsia"/>
        </w:rPr>
        <w:t>排放源或存在严重风险的数据流成立数据收集小组，并指定小组负责人，全权管理数据质量。</w:t>
      </w:r>
    </w:p>
    <w:p w:rsidR="00434323" w:rsidRPr="003D162C" w:rsidRDefault="00434323" w:rsidP="003D162C">
      <w:pPr>
        <w:widowControl/>
        <w:numPr>
          <w:ilvl w:val="2"/>
          <w:numId w:val="8"/>
        </w:numPr>
        <w:spacing w:beforeLines="50" w:before="156" w:afterLines="50" w:after="156"/>
        <w:jc w:val="left"/>
        <w:outlineLvl w:val="2"/>
        <w:rPr>
          <w:rFonts w:eastAsia="黑体"/>
          <w:kern w:val="0"/>
          <w:szCs w:val="21"/>
        </w:rPr>
      </w:pPr>
      <w:bookmarkStart w:id="57" w:name="_Toc9924499"/>
      <w:r w:rsidRPr="003D162C">
        <w:rPr>
          <w:rFonts w:eastAsia="黑体" w:hint="eastAsia"/>
          <w:kern w:val="0"/>
          <w:szCs w:val="21"/>
        </w:rPr>
        <w:t>数据</w:t>
      </w:r>
      <w:r w:rsidR="00C1098C">
        <w:rPr>
          <w:rFonts w:eastAsia="黑体" w:hint="eastAsia"/>
          <w:kern w:val="0"/>
          <w:szCs w:val="21"/>
        </w:rPr>
        <w:t>记录</w:t>
      </w:r>
      <w:r w:rsidRPr="003D162C">
        <w:rPr>
          <w:rFonts w:eastAsia="黑体" w:hint="eastAsia"/>
          <w:kern w:val="0"/>
          <w:szCs w:val="21"/>
        </w:rPr>
        <w:t>管理</w:t>
      </w:r>
      <w:bookmarkEnd w:id="57"/>
    </w:p>
    <w:p w:rsidR="00434323" w:rsidRPr="003D162C" w:rsidRDefault="00D449D6" w:rsidP="003D162C">
      <w:pPr>
        <w:pStyle w:val="aff7"/>
        <w:numPr>
          <w:ilvl w:val="3"/>
          <w:numId w:val="8"/>
        </w:numPr>
        <w:spacing w:before="156" w:after="156"/>
        <w:outlineLvl w:val="3"/>
        <w:rPr>
          <w:rFonts w:ascii="Times New Roman"/>
        </w:rPr>
      </w:pPr>
      <w:bookmarkStart w:id="58" w:name="_Toc3365522"/>
      <w:r w:rsidRPr="003D162C">
        <w:rPr>
          <w:rFonts w:ascii="Times New Roman" w:hint="eastAsia"/>
        </w:rPr>
        <w:t>数据库要求</w:t>
      </w:r>
      <w:bookmarkEnd w:id="58"/>
    </w:p>
    <w:p w:rsidR="00D449D6" w:rsidRPr="003A6A26" w:rsidRDefault="00D449D6" w:rsidP="00D449D6">
      <w:pPr>
        <w:ind w:firstLineChars="200" w:firstLine="420"/>
        <w:rPr>
          <w:rFonts w:ascii="宋体" w:hAnsi="宋体"/>
          <w:szCs w:val="28"/>
        </w:rPr>
      </w:pPr>
      <w:r>
        <w:rPr>
          <w:rFonts w:ascii="宋体" w:hAnsi="宋体" w:hint="eastAsia"/>
          <w:szCs w:val="28"/>
        </w:rPr>
        <w:t>工业企业应</w:t>
      </w:r>
      <w:r w:rsidRPr="003A6A26">
        <w:rPr>
          <w:rFonts w:ascii="宋体" w:hAnsi="宋体" w:hint="eastAsia"/>
          <w:szCs w:val="28"/>
        </w:rPr>
        <w:t>建立内部温室气体排放数据库</w:t>
      </w:r>
      <w:r>
        <w:rPr>
          <w:rFonts w:ascii="宋体" w:hAnsi="宋体" w:hint="eastAsia"/>
          <w:szCs w:val="28"/>
        </w:rPr>
        <w:t>。</w:t>
      </w:r>
      <w:r w:rsidRPr="003A6A26">
        <w:rPr>
          <w:rFonts w:ascii="宋体" w:hAnsi="宋体" w:hint="eastAsia"/>
          <w:szCs w:val="28"/>
        </w:rPr>
        <w:t>其中每个数据或文件应标注来源、收集时间和负责人。</w:t>
      </w:r>
      <w:r>
        <w:rPr>
          <w:rFonts w:ascii="宋体" w:hAnsi="宋体" w:hint="eastAsia"/>
          <w:szCs w:val="28"/>
        </w:rPr>
        <w:t>数据库</w:t>
      </w:r>
      <w:r w:rsidRPr="003A6A26">
        <w:rPr>
          <w:rFonts w:ascii="宋体" w:hAnsi="宋体" w:hint="eastAsia"/>
          <w:szCs w:val="28"/>
        </w:rPr>
        <w:t>一般</w:t>
      </w:r>
      <w:proofErr w:type="gramStart"/>
      <w:r>
        <w:rPr>
          <w:rFonts w:ascii="宋体" w:hAnsi="宋体" w:hint="eastAsia"/>
          <w:szCs w:val="28"/>
        </w:rPr>
        <w:t>宜符合</w:t>
      </w:r>
      <w:proofErr w:type="gramEnd"/>
      <w:r>
        <w:rPr>
          <w:rFonts w:ascii="宋体" w:hAnsi="宋体" w:hint="eastAsia"/>
          <w:szCs w:val="28"/>
        </w:rPr>
        <w:t>如下要求</w:t>
      </w:r>
      <w:r w:rsidRPr="003A6A26">
        <w:rPr>
          <w:rFonts w:ascii="宋体" w:hAnsi="宋体" w:hint="eastAsia"/>
          <w:szCs w:val="28"/>
        </w:rPr>
        <w:t xml:space="preserve">： </w:t>
      </w:r>
    </w:p>
    <w:p w:rsidR="00D449D6" w:rsidRPr="00152A12" w:rsidRDefault="00D449D6" w:rsidP="003E6AB8">
      <w:pPr>
        <w:pStyle w:val="affffffd"/>
        <w:numPr>
          <w:ilvl w:val="0"/>
          <w:numId w:val="32"/>
        </w:numPr>
        <w:ind w:leftChars="200" w:left="840" w:firstLineChars="0"/>
      </w:pPr>
      <w:r w:rsidRPr="00152A12">
        <w:t>所有记录都应依据核算年份进行分类编号；</w:t>
      </w:r>
    </w:p>
    <w:p w:rsidR="00D449D6" w:rsidRPr="00152A12" w:rsidRDefault="00D449D6" w:rsidP="003E6AB8">
      <w:pPr>
        <w:pStyle w:val="affffffd"/>
        <w:numPr>
          <w:ilvl w:val="0"/>
          <w:numId w:val="32"/>
        </w:numPr>
        <w:ind w:leftChars="200" w:left="840" w:firstLineChars="0"/>
      </w:pPr>
      <w:r w:rsidRPr="00152A12">
        <w:t>数据原始记录应填写准确、清晰，不得随意涂改；</w:t>
      </w:r>
    </w:p>
    <w:p w:rsidR="00D449D6" w:rsidRPr="00152A12" w:rsidRDefault="00D449D6" w:rsidP="003E6AB8">
      <w:pPr>
        <w:pStyle w:val="affffffd"/>
        <w:numPr>
          <w:ilvl w:val="0"/>
          <w:numId w:val="32"/>
        </w:numPr>
        <w:ind w:leftChars="200" w:left="840" w:firstLineChars="0"/>
      </w:pPr>
      <w:r w:rsidRPr="00152A12">
        <w:t>对于等级</w:t>
      </w:r>
      <w:r w:rsidRPr="00152A12">
        <w:t>2</w:t>
      </w:r>
      <w:r w:rsidRPr="00152A12">
        <w:t>和等级</w:t>
      </w:r>
      <w:r w:rsidRPr="00152A12">
        <w:t>3</w:t>
      </w:r>
      <w:r w:rsidRPr="00152A12">
        <w:t>的排放</w:t>
      </w:r>
      <w:proofErr w:type="gramStart"/>
      <w:r w:rsidRPr="00152A12">
        <w:t>源活动</w:t>
      </w:r>
      <w:proofErr w:type="gramEnd"/>
      <w:r w:rsidRPr="00152A12">
        <w:t>水平数据，应保存数据原始记录，月度总结记录等文件，及第三方提供的销售或购买凭证作为数据质量检验依据；</w:t>
      </w:r>
    </w:p>
    <w:p w:rsidR="00D449D6" w:rsidRPr="00152A12" w:rsidRDefault="00D449D6" w:rsidP="003E6AB8">
      <w:pPr>
        <w:pStyle w:val="affffffd"/>
        <w:numPr>
          <w:ilvl w:val="0"/>
          <w:numId w:val="32"/>
        </w:numPr>
        <w:ind w:leftChars="200" w:left="840" w:firstLineChars="0"/>
      </w:pPr>
      <w:r w:rsidRPr="00152A12">
        <w:t>对于等级</w:t>
      </w:r>
      <w:r w:rsidRPr="00152A12">
        <w:t>2</w:t>
      </w:r>
      <w:r w:rsidRPr="00152A12">
        <w:t>和等级</w:t>
      </w:r>
      <w:r w:rsidRPr="00152A12">
        <w:t>3</w:t>
      </w:r>
      <w:r w:rsidRPr="00152A12">
        <w:t>以上的排放因子数据及计算参数，应保存原始分析报告及相关数据分析结果，原始数据记录，统计报表等，还应注明排放因子数据的来源、适用性和时效性。若引用国家、地区或行业默认值时，应及时替换并更新排放因子数据；</w:t>
      </w:r>
    </w:p>
    <w:p w:rsidR="00D449D6" w:rsidRPr="00152A12" w:rsidRDefault="00D449D6" w:rsidP="003E6AB8">
      <w:pPr>
        <w:pStyle w:val="affffffd"/>
        <w:numPr>
          <w:ilvl w:val="0"/>
          <w:numId w:val="32"/>
        </w:numPr>
        <w:ind w:leftChars="200" w:left="840" w:firstLineChars="0"/>
      </w:pPr>
      <w:r w:rsidRPr="00152A12">
        <w:t>对于存在严重风险的排放源，</w:t>
      </w:r>
      <w:r w:rsidRPr="00152A12">
        <w:rPr>
          <w:rFonts w:hAnsi="宋体"/>
          <w:szCs w:val="28"/>
        </w:rPr>
        <w:t>其工作文件和相关数据信息归档文件应</w:t>
      </w:r>
      <w:proofErr w:type="gramStart"/>
      <w:r w:rsidRPr="00152A12">
        <w:rPr>
          <w:rFonts w:hAnsi="宋体"/>
          <w:szCs w:val="28"/>
        </w:rPr>
        <w:t>自统计</w:t>
      </w:r>
      <w:proofErr w:type="gramEnd"/>
      <w:r w:rsidRPr="00152A12">
        <w:rPr>
          <w:rFonts w:hAnsi="宋体"/>
          <w:szCs w:val="28"/>
        </w:rPr>
        <w:t>核算期结束之日起保存至少</w:t>
      </w:r>
      <w:r w:rsidRPr="00152A12">
        <w:rPr>
          <w:szCs w:val="28"/>
        </w:rPr>
        <w:t>5</w:t>
      </w:r>
      <w:r w:rsidRPr="00152A12">
        <w:rPr>
          <w:rFonts w:hAnsi="宋体"/>
          <w:szCs w:val="28"/>
        </w:rPr>
        <w:t>年以上，存档的形式应同时具备书面与电子两种形式。</w:t>
      </w:r>
      <w:r w:rsidRPr="00152A12">
        <w:rPr>
          <w:szCs w:val="28"/>
        </w:rPr>
        <w:t xml:space="preserve"> </w:t>
      </w:r>
    </w:p>
    <w:p w:rsidR="00D449D6" w:rsidRDefault="00D449D6" w:rsidP="00D449D6">
      <w:pPr>
        <w:ind w:leftChars="200" w:left="420" w:firstLineChars="200" w:firstLine="420"/>
      </w:pPr>
      <w:r w:rsidRPr="00152A12">
        <w:t>工业企业可参见附录</w:t>
      </w:r>
      <w:r w:rsidRPr="00152A12">
        <w:t>D</w:t>
      </w:r>
      <w:r w:rsidRPr="00152A12">
        <w:t>填写数据记录表。</w:t>
      </w:r>
      <w:r w:rsidRPr="00152A12">
        <w:t xml:space="preserve"> </w:t>
      </w:r>
    </w:p>
    <w:p w:rsidR="00D449D6" w:rsidRPr="003D162C" w:rsidRDefault="00D449D6" w:rsidP="003D162C">
      <w:pPr>
        <w:pStyle w:val="aff7"/>
        <w:numPr>
          <w:ilvl w:val="3"/>
          <w:numId w:val="8"/>
        </w:numPr>
        <w:spacing w:before="156" w:after="156"/>
        <w:outlineLvl w:val="3"/>
        <w:rPr>
          <w:rFonts w:ascii="Times New Roman"/>
        </w:rPr>
      </w:pPr>
      <w:bookmarkStart w:id="59" w:name="_Toc3365523"/>
      <w:bookmarkStart w:id="60" w:name="_Hlk3362973"/>
      <w:r w:rsidRPr="003D162C">
        <w:rPr>
          <w:rFonts w:ascii="Times New Roman" w:hint="eastAsia"/>
        </w:rPr>
        <w:t>需存档的文件</w:t>
      </w:r>
      <w:bookmarkEnd w:id="59"/>
    </w:p>
    <w:bookmarkEnd w:id="60"/>
    <w:p w:rsidR="00D449D6" w:rsidRDefault="00D449D6" w:rsidP="00D449D6">
      <w:pPr>
        <w:ind w:firstLineChars="200" w:firstLine="420"/>
      </w:pPr>
      <w:r>
        <w:rPr>
          <w:rFonts w:hint="eastAsia"/>
        </w:rPr>
        <w:t>需存档的文件</w:t>
      </w:r>
      <w:proofErr w:type="gramStart"/>
      <w:r>
        <w:rPr>
          <w:rFonts w:hint="eastAsia"/>
        </w:rPr>
        <w:t>宜包括</w:t>
      </w:r>
      <w:proofErr w:type="gramEnd"/>
      <w:r>
        <w:rPr>
          <w:rFonts w:hint="eastAsia"/>
        </w:rPr>
        <w:t>但不限于以下：</w:t>
      </w:r>
      <w:r>
        <w:rPr>
          <w:rFonts w:hint="eastAsia"/>
        </w:rPr>
        <w:t xml:space="preserve"> </w:t>
      </w:r>
    </w:p>
    <w:p w:rsidR="00D449D6" w:rsidRPr="00152A12" w:rsidRDefault="00D449D6" w:rsidP="003E6AB8">
      <w:pPr>
        <w:pStyle w:val="affffffd"/>
        <w:numPr>
          <w:ilvl w:val="0"/>
          <w:numId w:val="33"/>
        </w:numPr>
        <w:ind w:firstLineChars="0"/>
        <w:rPr>
          <w:szCs w:val="28"/>
        </w:rPr>
      </w:pPr>
      <w:r w:rsidRPr="00152A12">
        <w:rPr>
          <w:rFonts w:hAnsi="宋体"/>
          <w:szCs w:val="28"/>
        </w:rPr>
        <w:t>监测计划；</w:t>
      </w:r>
    </w:p>
    <w:p w:rsidR="00D449D6" w:rsidRPr="00152A12" w:rsidRDefault="00D449D6" w:rsidP="003E6AB8">
      <w:pPr>
        <w:pStyle w:val="affffffd"/>
        <w:numPr>
          <w:ilvl w:val="0"/>
          <w:numId w:val="33"/>
        </w:numPr>
        <w:ind w:firstLineChars="0"/>
        <w:rPr>
          <w:szCs w:val="28"/>
        </w:rPr>
      </w:pPr>
      <w:r w:rsidRPr="00152A12">
        <w:rPr>
          <w:rFonts w:hAnsi="宋体"/>
          <w:szCs w:val="28"/>
        </w:rPr>
        <w:t>温室气体排放报告；</w:t>
      </w:r>
    </w:p>
    <w:p w:rsidR="00D449D6" w:rsidRPr="00152A12" w:rsidRDefault="00D449D6" w:rsidP="003E6AB8">
      <w:pPr>
        <w:pStyle w:val="affffffd"/>
        <w:numPr>
          <w:ilvl w:val="0"/>
          <w:numId w:val="33"/>
        </w:numPr>
        <w:ind w:firstLineChars="0"/>
        <w:rPr>
          <w:szCs w:val="28"/>
        </w:rPr>
      </w:pPr>
      <w:proofErr w:type="gramStart"/>
      <w:r w:rsidRPr="00152A12">
        <w:rPr>
          <w:rFonts w:hAnsi="宋体"/>
          <w:szCs w:val="28"/>
        </w:rPr>
        <w:t>所有用于</w:t>
      </w:r>
      <w:proofErr w:type="gramEnd"/>
      <w:r w:rsidRPr="00152A12">
        <w:rPr>
          <w:rFonts w:hAnsi="宋体"/>
          <w:szCs w:val="28"/>
        </w:rPr>
        <w:t>排放量计算的监测数据（原始数据记录，月度、年度统计报表等），排放因子及来源，温室气体排放在线监测记录（如果有）；</w:t>
      </w:r>
    </w:p>
    <w:p w:rsidR="00D449D6" w:rsidRPr="00152A12" w:rsidRDefault="00D449D6" w:rsidP="003E6AB8">
      <w:pPr>
        <w:pStyle w:val="affffffd"/>
        <w:numPr>
          <w:ilvl w:val="0"/>
          <w:numId w:val="33"/>
        </w:numPr>
        <w:ind w:firstLineChars="0"/>
        <w:rPr>
          <w:szCs w:val="28"/>
        </w:rPr>
      </w:pPr>
      <w:r w:rsidRPr="00152A12">
        <w:rPr>
          <w:rFonts w:hAnsi="宋体"/>
          <w:szCs w:val="28"/>
        </w:rPr>
        <w:t>工业企业内部的温室气体排放和能源消耗台账记录；</w:t>
      </w:r>
    </w:p>
    <w:p w:rsidR="00D449D6" w:rsidRPr="00152A12" w:rsidRDefault="00D449D6" w:rsidP="003E6AB8">
      <w:pPr>
        <w:pStyle w:val="affffffd"/>
        <w:numPr>
          <w:ilvl w:val="0"/>
          <w:numId w:val="33"/>
        </w:numPr>
        <w:ind w:firstLineChars="0"/>
        <w:rPr>
          <w:szCs w:val="28"/>
        </w:rPr>
      </w:pPr>
      <w:r w:rsidRPr="00152A12">
        <w:rPr>
          <w:rFonts w:hAnsi="宋体"/>
          <w:szCs w:val="28"/>
        </w:rPr>
        <w:t>统计核算期内计量仪表的校验和检定报告及校验方的资质证明；</w:t>
      </w:r>
    </w:p>
    <w:p w:rsidR="00D449D6" w:rsidRPr="00152A12" w:rsidRDefault="00D449D6" w:rsidP="003E6AB8">
      <w:pPr>
        <w:pStyle w:val="affffffd"/>
        <w:numPr>
          <w:ilvl w:val="0"/>
          <w:numId w:val="33"/>
        </w:numPr>
        <w:ind w:firstLineChars="0"/>
        <w:rPr>
          <w:szCs w:val="28"/>
        </w:rPr>
      </w:pPr>
      <w:r w:rsidRPr="00152A12">
        <w:rPr>
          <w:rFonts w:hAnsi="宋体"/>
          <w:szCs w:val="28"/>
        </w:rPr>
        <w:t>统计核算期内员工的培训记录；</w:t>
      </w:r>
    </w:p>
    <w:p w:rsidR="00D449D6" w:rsidRPr="00152A12" w:rsidRDefault="00D449D6" w:rsidP="003E6AB8">
      <w:pPr>
        <w:pStyle w:val="affffffd"/>
        <w:numPr>
          <w:ilvl w:val="0"/>
          <w:numId w:val="33"/>
        </w:numPr>
        <w:ind w:firstLineChars="0"/>
        <w:rPr>
          <w:szCs w:val="28"/>
        </w:rPr>
      </w:pPr>
      <w:r w:rsidRPr="00152A12">
        <w:rPr>
          <w:rFonts w:hAnsi="宋体"/>
          <w:szCs w:val="28"/>
        </w:rPr>
        <w:t>缺失数据的处理记录，如计量器具故障造成数据缺失。</w:t>
      </w:r>
    </w:p>
    <w:p w:rsidR="00D449D6" w:rsidRPr="003D162C" w:rsidRDefault="00D449D6" w:rsidP="003D162C">
      <w:pPr>
        <w:widowControl/>
        <w:numPr>
          <w:ilvl w:val="2"/>
          <w:numId w:val="8"/>
        </w:numPr>
        <w:spacing w:beforeLines="50" w:before="156" w:afterLines="50" w:after="156"/>
        <w:jc w:val="left"/>
        <w:outlineLvl w:val="2"/>
        <w:rPr>
          <w:rFonts w:eastAsia="黑体"/>
          <w:kern w:val="0"/>
          <w:szCs w:val="21"/>
        </w:rPr>
      </w:pPr>
      <w:bookmarkStart w:id="61" w:name="_Toc9924500"/>
      <w:bookmarkStart w:id="62" w:name="_Hlk8915039"/>
      <w:r w:rsidRPr="003D162C">
        <w:rPr>
          <w:rFonts w:eastAsia="黑体"/>
          <w:kern w:val="0"/>
          <w:szCs w:val="21"/>
        </w:rPr>
        <w:t>计量器具、检测设备和在线监测仪表的管理</w:t>
      </w:r>
      <w:bookmarkEnd w:id="61"/>
    </w:p>
    <w:bookmarkEnd w:id="62"/>
    <w:p w:rsidR="00D449D6" w:rsidRDefault="00D449D6" w:rsidP="00D449D6">
      <w:pPr>
        <w:ind w:firstLineChars="200" w:firstLine="420"/>
        <w:rPr>
          <w:rFonts w:ascii="宋体" w:hAnsi="宋体"/>
          <w:szCs w:val="28"/>
        </w:rPr>
      </w:pPr>
      <w:r w:rsidRPr="003A6A26">
        <w:rPr>
          <w:rFonts w:ascii="宋体" w:hAnsi="宋体" w:hint="eastAsia"/>
          <w:szCs w:val="28"/>
        </w:rPr>
        <w:t>计量器具、检测设备和在线监测仪表的管理</w:t>
      </w:r>
      <w:r>
        <w:rPr>
          <w:rFonts w:ascii="宋体" w:hAnsi="宋体" w:hint="eastAsia"/>
          <w:szCs w:val="28"/>
        </w:rPr>
        <w:t>应</w:t>
      </w:r>
      <w:r w:rsidRPr="003A6A26">
        <w:rPr>
          <w:rFonts w:ascii="宋体" w:hAnsi="宋体" w:hint="eastAsia"/>
          <w:szCs w:val="28"/>
        </w:rPr>
        <w:t>包括但不限于以下工作</w:t>
      </w:r>
      <w:r>
        <w:rPr>
          <w:rFonts w:ascii="宋体" w:hAnsi="宋体" w:hint="eastAsia"/>
          <w:szCs w:val="28"/>
        </w:rPr>
        <w:t>：</w:t>
      </w:r>
    </w:p>
    <w:p w:rsidR="00D449D6" w:rsidRPr="00152A12" w:rsidRDefault="00D449D6" w:rsidP="003E6AB8">
      <w:pPr>
        <w:pStyle w:val="affffffd"/>
        <w:numPr>
          <w:ilvl w:val="0"/>
          <w:numId w:val="34"/>
        </w:numPr>
        <w:ind w:leftChars="200" w:left="840" w:firstLineChars="0"/>
      </w:pPr>
      <w:r w:rsidRPr="00152A12">
        <w:t>工业企业应对所有相关计量设备进行定期的校验和运行维护；</w:t>
      </w:r>
    </w:p>
    <w:p w:rsidR="00D449D6" w:rsidRPr="00152A12" w:rsidRDefault="00D449D6" w:rsidP="003E6AB8">
      <w:pPr>
        <w:pStyle w:val="affffffd"/>
        <w:numPr>
          <w:ilvl w:val="0"/>
          <w:numId w:val="34"/>
        </w:numPr>
        <w:ind w:leftChars="200" w:left="840" w:firstLineChars="0"/>
      </w:pPr>
      <w:r w:rsidRPr="00152A12">
        <w:t>对于新安装或发生故障大修后的计量设备都应检验合格后才可以正式投入使用；</w:t>
      </w:r>
      <w:r w:rsidRPr="00152A12">
        <w:t xml:space="preserve"> </w:t>
      </w:r>
    </w:p>
    <w:p w:rsidR="00D449D6" w:rsidRPr="00152A12" w:rsidRDefault="00D449D6" w:rsidP="003E6AB8">
      <w:pPr>
        <w:pStyle w:val="affffffd"/>
        <w:numPr>
          <w:ilvl w:val="0"/>
          <w:numId w:val="34"/>
        </w:numPr>
        <w:ind w:leftChars="200" w:left="840" w:firstLineChars="0"/>
      </w:pPr>
      <w:r w:rsidRPr="00152A12">
        <w:t>燃料消耗量的计量设备的标准应符合</w:t>
      </w:r>
      <w:r w:rsidRPr="00152A12">
        <w:t>GB17167</w:t>
      </w:r>
      <w:r w:rsidRPr="00152A12">
        <w:t>的相关规定；</w:t>
      </w:r>
    </w:p>
    <w:p w:rsidR="00D449D6" w:rsidRPr="00152A12" w:rsidRDefault="00D449D6" w:rsidP="003E6AB8">
      <w:pPr>
        <w:pStyle w:val="affffffd"/>
        <w:numPr>
          <w:ilvl w:val="0"/>
          <w:numId w:val="34"/>
        </w:numPr>
        <w:ind w:leftChars="200" w:left="840" w:firstLineChars="0"/>
      </w:pPr>
      <w:r w:rsidRPr="00152A12">
        <w:t>工业企业可根据实际核算和运营的需要，在每个统计核算期末编制下</w:t>
      </w:r>
      <w:proofErr w:type="gramStart"/>
      <w:r w:rsidRPr="00152A12">
        <w:t>一统计</w:t>
      </w:r>
      <w:proofErr w:type="gramEnd"/>
      <w:r w:rsidRPr="00152A12">
        <w:t>核算期的设备添</w:t>
      </w:r>
      <w:r w:rsidRPr="00152A12">
        <w:lastRenderedPageBreak/>
        <w:t>置或更换计划；</w:t>
      </w:r>
    </w:p>
    <w:p w:rsidR="00D449D6" w:rsidRPr="00152A12" w:rsidRDefault="00D449D6" w:rsidP="003E6AB8">
      <w:pPr>
        <w:pStyle w:val="affffffd"/>
        <w:numPr>
          <w:ilvl w:val="0"/>
          <w:numId w:val="34"/>
        </w:numPr>
        <w:ind w:leftChars="200" w:left="840" w:firstLineChars="0"/>
      </w:pPr>
      <w:r w:rsidRPr="00152A12">
        <w:t>未经过检定或超过检定周期的设备，不应用于温室气体排放数据监测；</w:t>
      </w:r>
    </w:p>
    <w:p w:rsidR="00D449D6" w:rsidRPr="00152A12" w:rsidRDefault="00D449D6" w:rsidP="003E6AB8">
      <w:pPr>
        <w:pStyle w:val="affffffd"/>
        <w:numPr>
          <w:ilvl w:val="0"/>
          <w:numId w:val="34"/>
        </w:numPr>
        <w:ind w:leftChars="200" w:left="840" w:firstLineChars="0"/>
      </w:pPr>
      <w:r w:rsidRPr="00152A12">
        <w:rPr>
          <w:rFonts w:hAnsi="宋体"/>
          <w:szCs w:val="28"/>
        </w:rPr>
        <w:t>工业企业自己如果没有能力维护自己的器具、设备、仪表，应委托相关机构，并提供相关证明；</w:t>
      </w:r>
    </w:p>
    <w:p w:rsidR="00D449D6" w:rsidRPr="00152A12" w:rsidRDefault="00D449D6" w:rsidP="003E6AB8">
      <w:pPr>
        <w:pStyle w:val="affffffd"/>
        <w:numPr>
          <w:ilvl w:val="0"/>
          <w:numId w:val="34"/>
        </w:numPr>
        <w:ind w:leftChars="200" w:left="840" w:firstLineChars="0"/>
      </w:pPr>
      <w:r w:rsidRPr="00152A12">
        <w:t>在所有存在</w:t>
      </w:r>
      <w:r w:rsidRPr="00152A12">
        <w:t>“</w:t>
      </w:r>
      <w:r w:rsidRPr="00152A12">
        <w:t>严重风险</w:t>
      </w:r>
      <w:r w:rsidRPr="00152A12">
        <w:t>”</w:t>
      </w:r>
      <w:r w:rsidRPr="00152A12">
        <w:t>的数据流，应设置备用计量系统保证监测的连续进行。</w:t>
      </w:r>
    </w:p>
    <w:p w:rsidR="00D449D6" w:rsidRDefault="00D449D6" w:rsidP="00D449D6">
      <w:pPr>
        <w:pStyle w:val="aff3"/>
        <w:rPr>
          <w:rFonts w:ascii="Times New Roman"/>
        </w:rPr>
      </w:pPr>
      <w:r w:rsidRPr="00152A12">
        <w:rPr>
          <w:rFonts w:ascii="Times New Roman"/>
        </w:rPr>
        <w:t>工业企业可参考附录</w:t>
      </w:r>
      <w:r w:rsidRPr="00152A12">
        <w:rPr>
          <w:rFonts w:ascii="Times New Roman"/>
        </w:rPr>
        <w:t>E</w:t>
      </w:r>
      <w:r w:rsidRPr="00152A12">
        <w:rPr>
          <w:rFonts w:ascii="Times New Roman"/>
        </w:rPr>
        <w:t>填写计量器具管理表</w:t>
      </w:r>
      <w:r w:rsidRPr="00152A12">
        <w:rPr>
          <w:rFonts w:ascii="Times New Roman"/>
        </w:rPr>
        <w:t xml:space="preserve"> </w:t>
      </w:r>
      <w:r w:rsidRPr="00152A12">
        <w:rPr>
          <w:rFonts w:ascii="Times New Roman"/>
        </w:rPr>
        <w:t>。</w:t>
      </w:r>
    </w:p>
    <w:p w:rsidR="00D449D6" w:rsidRPr="003D162C" w:rsidRDefault="00D449D6" w:rsidP="003D162C">
      <w:pPr>
        <w:widowControl/>
        <w:numPr>
          <w:ilvl w:val="2"/>
          <w:numId w:val="8"/>
        </w:numPr>
        <w:spacing w:beforeLines="50" w:before="156" w:afterLines="50" w:after="156"/>
        <w:jc w:val="left"/>
        <w:outlineLvl w:val="2"/>
        <w:rPr>
          <w:rFonts w:eastAsia="黑体"/>
          <w:kern w:val="0"/>
          <w:szCs w:val="21"/>
        </w:rPr>
      </w:pPr>
      <w:bookmarkStart w:id="63" w:name="_Toc9924501"/>
      <w:r w:rsidRPr="003D162C">
        <w:rPr>
          <w:rFonts w:eastAsia="黑体"/>
          <w:kern w:val="0"/>
          <w:szCs w:val="21"/>
        </w:rPr>
        <w:t>数据的质量检验</w:t>
      </w:r>
      <w:bookmarkEnd w:id="63"/>
    </w:p>
    <w:p w:rsidR="00D449D6" w:rsidRDefault="00D449D6" w:rsidP="00D449D6">
      <w:pPr>
        <w:ind w:firstLine="360"/>
      </w:pPr>
      <w:r>
        <w:rPr>
          <w:rFonts w:hint="eastAsia"/>
        </w:rPr>
        <w:t>工业企业</w:t>
      </w:r>
      <w:r w:rsidRPr="00BC2DB8">
        <w:rPr>
          <w:rFonts w:hint="eastAsia"/>
        </w:rPr>
        <w:t>可</w:t>
      </w:r>
      <w:r w:rsidRPr="001A0E95">
        <w:rPr>
          <w:rFonts w:hint="eastAsia"/>
        </w:rPr>
        <w:t>采用但不限于以下几种核对方法</w:t>
      </w:r>
      <w:r>
        <w:rPr>
          <w:rFonts w:hint="eastAsia"/>
        </w:rPr>
        <w:t>对数据进行验证</w:t>
      </w:r>
      <w:r w:rsidRPr="001A0E95">
        <w:rPr>
          <w:rFonts w:hint="eastAsia"/>
        </w:rPr>
        <w:t>：</w:t>
      </w:r>
    </w:p>
    <w:p w:rsidR="00D449D6" w:rsidRPr="00152A12" w:rsidRDefault="00D449D6" w:rsidP="003E6AB8">
      <w:pPr>
        <w:pStyle w:val="affffffd"/>
        <w:widowControl/>
        <w:numPr>
          <w:ilvl w:val="0"/>
          <w:numId w:val="35"/>
        </w:numPr>
        <w:snapToGrid w:val="0"/>
        <w:ind w:firstLineChars="0"/>
        <w:contextualSpacing/>
        <w:jc w:val="left"/>
      </w:pPr>
      <w:r w:rsidRPr="00152A12">
        <w:t>交叉验证：将核算数据和可得的内部数据源比对，例如燃料到场量和炉前量交叉验证、能源购买发票与抄表数据交叉验证；</w:t>
      </w:r>
    </w:p>
    <w:p w:rsidR="00D449D6" w:rsidRPr="00152A12" w:rsidRDefault="00D449D6" w:rsidP="003E6AB8">
      <w:pPr>
        <w:pStyle w:val="affffffd"/>
        <w:widowControl/>
        <w:numPr>
          <w:ilvl w:val="0"/>
          <w:numId w:val="35"/>
        </w:numPr>
        <w:snapToGrid w:val="0"/>
        <w:ind w:firstLineChars="0"/>
        <w:contextualSpacing/>
        <w:jc w:val="left"/>
      </w:pPr>
      <w:r w:rsidRPr="00152A12">
        <w:t>数据波动：通过观察统计核算期内数据波动情况识别不正常数据，例如历史运行数据比对，核算期的燃料消耗率应在工业企业多年历史运行数据的波动区间之间。若不在区间之内，应做必要的澄清解释。</w:t>
      </w:r>
    </w:p>
    <w:p w:rsidR="00D449D6" w:rsidRPr="00180FAA" w:rsidRDefault="00D449D6" w:rsidP="00EE7D6F">
      <w:pPr>
        <w:pStyle w:val="a2"/>
        <w:spacing w:before="156" w:after="156"/>
      </w:pPr>
      <w:bookmarkStart w:id="64" w:name="_Toc9924502"/>
      <w:bookmarkStart w:id="65" w:name="_Hlk3363207"/>
      <w:r>
        <w:rPr>
          <w:rFonts w:hint="eastAsia"/>
        </w:rPr>
        <w:t>数据不确定性分析</w:t>
      </w:r>
      <w:bookmarkEnd w:id="64"/>
    </w:p>
    <w:bookmarkEnd w:id="65"/>
    <w:p w:rsidR="00D449D6" w:rsidRDefault="00D449D6" w:rsidP="00D449D6">
      <w:pPr>
        <w:ind w:firstLineChars="200" w:firstLine="420"/>
        <w:rPr>
          <w:rFonts w:ascii="宋体" w:hAnsi="宋体"/>
          <w:szCs w:val="28"/>
        </w:rPr>
      </w:pPr>
      <w:r>
        <w:rPr>
          <w:rFonts w:ascii="宋体" w:hAnsi="宋体" w:hint="eastAsia"/>
          <w:szCs w:val="28"/>
        </w:rPr>
        <w:t>工业企业应</w:t>
      </w:r>
      <w:r w:rsidRPr="00A501E7">
        <w:rPr>
          <w:rFonts w:ascii="宋体" w:hAnsi="宋体" w:hint="eastAsia"/>
          <w:szCs w:val="28"/>
        </w:rPr>
        <w:t>对其温室气体排放数据的不确定性进行分析</w:t>
      </w:r>
      <w:r>
        <w:rPr>
          <w:rFonts w:ascii="宋体" w:hAnsi="宋体" w:hint="eastAsia"/>
          <w:szCs w:val="28"/>
        </w:rPr>
        <w:t>，</w:t>
      </w:r>
      <w:r w:rsidRPr="00A501E7">
        <w:rPr>
          <w:rFonts w:ascii="宋体" w:hAnsi="宋体" w:hint="eastAsia"/>
          <w:szCs w:val="28"/>
        </w:rPr>
        <w:t>数据的不确定性因素包括但不限于</w:t>
      </w:r>
      <w:r>
        <w:rPr>
          <w:rFonts w:ascii="宋体" w:hAnsi="宋体" w:hint="eastAsia"/>
          <w:szCs w:val="28"/>
        </w:rPr>
        <w:t>以下</w:t>
      </w:r>
      <w:r w:rsidRPr="00A501E7">
        <w:rPr>
          <w:rFonts w:ascii="宋体" w:hAnsi="宋体" w:hint="eastAsia"/>
          <w:szCs w:val="28"/>
        </w:rPr>
        <w:t>：</w:t>
      </w:r>
    </w:p>
    <w:p w:rsidR="00D449D6" w:rsidRPr="00152A12" w:rsidRDefault="00D449D6" w:rsidP="003E6AB8">
      <w:pPr>
        <w:pStyle w:val="affffffd"/>
        <w:numPr>
          <w:ilvl w:val="0"/>
          <w:numId w:val="36"/>
        </w:numPr>
        <w:ind w:firstLineChars="0"/>
        <w:rPr>
          <w:szCs w:val="28"/>
        </w:rPr>
      </w:pPr>
      <w:r w:rsidRPr="00152A12">
        <w:rPr>
          <w:rFonts w:hAnsi="宋体"/>
          <w:szCs w:val="28"/>
        </w:rPr>
        <w:t>计量器具固有的不确定性；</w:t>
      </w:r>
    </w:p>
    <w:p w:rsidR="00D449D6" w:rsidRPr="00152A12" w:rsidRDefault="00D449D6" w:rsidP="003E6AB8">
      <w:pPr>
        <w:pStyle w:val="affffffd"/>
        <w:numPr>
          <w:ilvl w:val="0"/>
          <w:numId w:val="36"/>
        </w:numPr>
        <w:ind w:firstLineChars="0"/>
        <w:rPr>
          <w:szCs w:val="28"/>
        </w:rPr>
      </w:pPr>
      <w:r w:rsidRPr="00152A12">
        <w:rPr>
          <w:rFonts w:hAnsi="宋体"/>
          <w:szCs w:val="28"/>
        </w:rPr>
        <w:t>计量器具校验的不确定性；</w:t>
      </w:r>
    </w:p>
    <w:p w:rsidR="00D449D6" w:rsidRPr="00152A12" w:rsidRDefault="00D449D6" w:rsidP="003E6AB8">
      <w:pPr>
        <w:pStyle w:val="affffffd"/>
        <w:numPr>
          <w:ilvl w:val="0"/>
          <w:numId w:val="36"/>
        </w:numPr>
        <w:ind w:firstLineChars="0"/>
        <w:rPr>
          <w:szCs w:val="28"/>
        </w:rPr>
      </w:pPr>
      <w:r w:rsidRPr="00152A12">
        <w:rPr>
          <w:rFonts w:hAnsi="宋体"/>
          <w:szCs w:val="28"/>
        </w:rPr>
        <w:t>计量器具使用过程中产生的额外不确定性，如维修；</w:t>
      </w:r>
    </w:p>
    <w:p w:rsidR="00D449D6" w:rsidRPr="00152A12" w:rsidRDefault="00D449D6" w:rsidP="003E6AB8">
      <w:pPr>
        <w:pStyle w:val="affffffd"/>
        <w:numPr>
          <w:ilvl w:val="0"/>
          <w:numId w:val="36"/>
        </w:numPr>
        <w:ind w:firstLineChars="0"/>
        <w:rPr>
          <w:szCs w:val="28"/>
        </w:rPr>
      </w:pPr>
      <w:r w:rsidRPr="00152A12">
        <w:rPr>
          <w:rFonts w:hAnsi="宋体"/>
          <w:szCs w:val="28"/>
        </w:rPr>
        <w:t>人为失误的数据不确定性；</w:t>
      </w:r>
    </w:p>
    <w:p w:rsidR="00D449D6" w:rsidRPr="00152A12" w:rsidRDefault="00D449D6" w:rsidP="003E6AB8">
      <w:pPr>
        <w:pStyle w:val="affffffd"/>
        <w:numPr>
          <w:ilvl w:val="0"/>
          <w:numId w:val="36"/>
        </w:numPr>
        <w:ind w:firstLineChars="0"/>
        <w:rPr>
          <w:szCs w:val="28"/>
        </w:rPr>
      </w:pPr>
      <w:r w:rsidRPr="00152A12">
        <w:rPr>
          <w:rFonts w:hAnsi="宋体"/>
          <w:szCs w:val="28"/>
        </w:rPr>
        <w:t>管理缺失造成的数据不确定性。</w:t>
      </w:r>
    </w:p>
    <w:p w:rsidR="00D449D6" w:rsidRPr="003D162C" w:rsidRDefault="00D449D6" w:rsidP="00EE7D6F">
      <w:pPr>
        <w:pStyle w:val="a2"/>
        <w:spacing w:before="156" w:after="156"/>
      </w:pPr>
      <w:bookmarkStart w:id="66" w:name="_Toc9924503"/>
      <w:r>
        <w:rPr>
          <w:rFonts w:hint="eastAsia"/>
        </w:rPr>
        <w:t>监测计划</w:t>
      </w:r>
      <w:bookmarkEnd w:id="66"/>
    </w:p>
    <w:p w:rsidR="00D449D6" w:rsidRPr="00D449D6" w:rsidRDefault="00D449D6" w:rsidP="00D449D6">
      <w:pPr>
        <w:ind w:firstLineChars="200" w:firstLine="420"/>
        <w:rPr>
          <w:rFonts w:ascii="宋体" w:hAnsi="宋体"/>
          <w:szCs w:val="28"/>
        </w:rPr>
      </w:pPr>
      <w:r w:rsidRPr="00D449D6">
        <w:rPr>
          <w:rFonts w:ascii="宋体" w:hAnsi="宋体" w:hint="eastAsia"/>
          <w:szCs w:val="28"/>
        </w:rPr>
        <w:t>监测计划主要是记录温室气体排放数据的监测方法和要求。它是温室气体排放数据质量管理活动的实施手册</w:t>
      </w:r>
      <w:r>
        <w:rPr>
          <w:rFonts w:ascii="宋体" w:hAnsi="宋体" w:hint="eastAsia"/>
          <w:szCs w:val="28"/>
        </w:rPr>
        <w:t>，为贯穿整个数据质量管理工作的核心文件。</w:t>
      </w:r>
    </w:p>
    <w:p w:rsidR="00D449D6" w:rsidRPr="003D162C" w:rsidRDefault="00B054F5" w:rsidP="003D162C">
      <w:pPr>
        <w:widowControl/>
        <w:numPr>
          <w:ilvl w:val="2"/>
          <w:numId w:val="8"/>
        </w:numPr>
        <w:spacing w:beforeLines="50" w:before="156" w:afterLines="50" w:after="156"/>
        <w:jc w:val="left"/>
        <w:outlineLvl w:val="2"/>
        <w:rPr>
          <w:rFonts w:eastAsia="黑体"/>
          <w:kern w:val="0"/>
          <w:szCs w:val="21"/>
        </w:rPr>
      </w:pPr>
      <w:bookmarkStart w:id="67" w:name="_Toc9924504"/>
      <w:r w:rsidRPr="003D162C">
        <w:rPr>
          <w:rFonts w:eastAsia="黑体" w:hint="eastAsia"/>
          <w:kern w:val="0"/>
          <w:szCs w:val="21"/>
        </w:rPr>
        <w:t>监测计划的编制要求</w:t>
      </w:r>
      <w:bookmarkEnd w:id="67"/>
    </w:p>
    <w:p w:rsidR="00B054F5" w:rsidRPr="00CB4660" w:rsidRDefault="00B054F5" w:rsidP="00B054F5">
      <w:pPr>
        <w:ind w:firstLineChars="200" w:firstLine="420"/>
      </w:pPr>
      <w:r>
        <w:rPr>
          <w:rFonts w:hint="eastAsia"/>
        </w:rPr>
        <w:t>工业企业监测计划编制要求包括：</w:t>
      </w:r>
    </w:p>
    <w:p w:rsidR="00B054F5" w:rsidRPr="00276B56" w:rsidRDefault="00B054F5" w:rsidP="003E6AB8">
      <w:pPr>
        <w:pStyle w:val="affffffd"/>
        <w:numPr>
          <w:ilvl w:val="0"/>
          <w:numId w:val="37"/>
        </w:numPr>
        <w:ind w:firstLineChars="0"/>
      </w:pPr>
      <w:r w:rsidRPr="00276B56">
        <w:t>内容应与国家和地区颁布的温室气体排放核算与报告文件的要求相符；</w:t>
      </w:r>
    </w:p>
    <w:p w:rsidR="00B054F5" w:rsidRPr="00276B56" w:rsidRDefault="00B054F5" w:rsidP="003E6AB8">
      <w:pPr>
        <w:pStyle w:val="affffffd"/>
        <w:numPr>
          <w:ilvl w:val="0"/>
          <w:numId w:val="37"/>
        </w:numPr>
        <w:ind w:firstLineChars="0"/>
      </w:pPr>
      <w:r w:rsidRPr="00276B56">
        <w:t>内容应与工业企业的实际运行和监测条件保持一致；</w:t>
      </w:r>
    </w:p>
    <w:p w:rsidR="00B054F5" w:rsidRPr="00276B56" w:rsidRDefault="00B054F5" w:rsidP="003E6AB8">
      <w:pPr>
        <w:pStyle w:val="affffffd"/>
        <w:numPr>
          <w:ilvl w:val="0"/>
          <w:numId w:val="37"/>
        </w:numPr>
        <w:ind w:firstLineChars="0"/>
      </w:pPr>
      <w:r w:rsidRPr="00276B56">
        <w:t>监测计划的内容宜完整而且逻辑清晰；</w:t>
      </w:r>
    </w:p>
    <w:p w:rsidR="00B054F5" w:rsidRPr="00B054F5" w:rsidRDefault="00B054F5" w:rsidP="003E6AB8">
      <w:pPr>
        <w:pStyle w:val="affffffd"/>
        <w:numPr>
          <w:ilvl w:val="0"/>
          <w:numId w:val="37"/>
        </w:numPr>
        <w:ind w:firstLineChars="0"/>
      </w:pPr>
      <w:r w:rsidRPr="00276B56">
        <w:t>在同一监测期内原则上监测计划不应更改。</w:t>
      </w:r>
    </w:p>
    <w:p w:rsidR="00B054F5" w:rsidRPr="003D162C" w:rsidRDefault="00B054F5" w:rsidP="003D162C">
      <w:pPr>
        <w:widowControl/>
        <w:numPr>
          <w:ilvl w:val="2"/>
          <w:numId w:val="8"/>
        </w:numPr>
        <w:spacing w:beforeLines="50" w:before="156" w:afterLines="50" w:after="156"/>
        <w:jc w:val="left"/>
        <w:outlineLvl w:val="2"/>
        <w:rPr>
          <w:rFonts w:eastAsia="黑体"/>
          <w:kern w:val="0"/>
          <w:szCs w:val="21"/>
        </w:rPr>
      </w:pPr>
      <w:bookmarkStart w:id="68" w:name="_Toc9924505"/>
      <w:r w:rsidRPr="003D162C">
        <w:rPr>
          <w:rFonts w:eastAsia="黑体" w:hint="eastAsia"/>
          <w:kern w:val="0"/>
          <w:szCs w:val="21"/>
        </w:rPr>
        <w:t>监测计划的编制内容</w:t>
      </w:r>
      <w:bookmarkEnd w:id="68"/>
    </w:p>
    <w:p w:rsidR="00B054F5" w:rsidRPr="00152A12" w:rsidRDefault="00B054F5" w:rsidP="00B054F5">
      <w:pPr>
        <w:pStyle w:val="affffffb"/>
        <w:spacing w:before="156" w:after="156"/>
        <w:ind w:firstLineChars="200" w:firstLine="420"/>
        <w:rPr>
          <w:rFonts w:ascii="Times New Roman" w:hAnsi="Times New Roman"/>
          <w:szCs w:val="28"/>
        </w:rPr>
      </w:pPr>
      <w:r w:rsidRPr="00152A12">
        <w:rPr>
          <w:rFonts w:ascii="Times New Roman" w:hAnsiTheme="minorEastAsia"/>
        </w:rPr>
        <w:t>监测计划的编制内容</w:t>
      </w:r>
      <w:proofErr w:type="gramStart"/>
      <w:r w:rsidRPr="00152A12">
        <w:rPr>
          <w:rFonts w:ascii="Times New Roman" w:hAnsiTheme="minorEastAsia"/>
        </w:rPr>
        <w:t>宜包括</w:t>
      </w:r>
      <w:proofErr w:type="gramEnd"/>
      <w:r w:rsidRPr="00152A12">
        <w:rPr>
          <w:rFonts w:ascii="Times New Roman" w:hAnsiTheme="minorEastAsia"/>
        </w:rPr>
        <w:t>但不限于：</w:t>
      </w:r>
    </w:p>
    <w:p w:rsidR="00B054F5" w:rsidRPr="00152A12" w:rsidRDefault="00B054F5" w:rsidP="003E6AB8">
      <w:pPr>
        <w:pStyle w:val="affffffd"/>
        <w:numPr>
          <w:ilvl w:val="0"/>
          <w:numId w:val="38"/>
        </w:numPr>
        <w:ind w:firstLineChars="0"/>
      </w:pPr>
      <w:r w:rsidRPr="00152A12">
        <w:rPr>
          <w:rFonts w:hAnsiTheme="minorEastAsia"/>
        </w:rPr>
        <w:t>工业企业的基本信息介绍</w:t>
      </w:r>
    </w:p>
    <w:p w:rsidR="00B054F5" w:rsidRPr="00152A12" w:rsidRDefault="00B054F5" w:rsidP="003E6AB8">
      <w:pPr>
        <w:pStyle w:val="affffffd"/>
        <w:numPr>
          <w:ilvl w:val="0"/>
          <w:numId w:val="39"/>
        </w:numPr>
        <w:snapToGrid w:val="0"/>
        <w:ind w:firstLineChars="0"/>
      </w:pPr>
      <w:r w:rsidRPr="00152A12">
        <w:rPr>
          <w:rFonts w:hAnsiTheme="minorEastAsia"/>
        </w:rPr>
        <w:t>工业企业的基本运营信息，包括企业名称、行业代码、组织机构代码、法定代表人、通讯地址和联系人等；</w:t>
      </w:r>
    </w:p>
    <w:p w:rsidR="00B054F5" w:rsidRPr="00152A12" w:rsidRDefault="00B054F5" w:rsidP="003E6AB8">
      <w:pPr>
        <w:pStyle w:val="affffffd"/>
        <w:numPr>
          <w:ilvl w:val="0"/>
          <w:numId w:val="39"/>
        </w:numPr>
        <w:snapToGrid w:val="0"/>
        <w:ind w:firstLineChars="0"/>
      </w:pPr>
      <w:r w:rsidRPr="00152A12">
        <w:rPr>
          <w:rFonts w:hAnsiTheme="minorEastAsia"/>
        </w:rPr>
        <w:t>工业企业基本运行情况介绍，包括与温室气体排放核算相关的设施、主要技术组件和工艺流程等；</w:t>
      </w:r>
    </w:p>
    <w:p w:rsidR="00B054F5" w:rsidRPr="00152A12" w:rsidRDefault="00B054F5" w:rsidP="003E6AB8">
      <w:pPr>
        <w:pStyle w:val="affffffd"/>
        <w:numPr>
          <w:ilvl w:val="0"/>
          <w:numId w:val="38"/>
        </w:numPr>
        <w:ind w:firstLineChars="0"/>
      </w:pPr>
      <w:r w:rsidRPr="00152A12">
        <w:rPr>
          <w:rFonts w:hAnsiTheme="minorEastAsia"/>
        </w:rPr>
        <w:t>温室气体数据管理部门</w:t>
      </w:r>
    </w:p>
    <w:p w:rsidR="00B054F5" w:rsidRPr="00152A12" w:rsidRDefault="00B054F5" w:rsidP="00B054F5">
      <w:pPr>
        <w:ind w:left="840" w:firstLineChars="200" w:firstLine="420"/>
      </w:pPr>
      <w:r w:rsidRPr="00152A12">
        <w:rPr>
          <w:rFonts w:hAnsiTheme="minorEastAsia"/>
        </w:rPr>
        <w:t>监测计划应说明工业企业内部的温室气体数据管理部门，包括相关工作责任人和负责人的权责范围。</w:t>
      </w:r>
    </w:p>
    <w:p w:rsidR="00B054F5" w:rsidRPr="00152A12" w:rsidRDefault="00B054F5" w:rsidP="003E6AB8">
      <w:pPr>
        <w:pStyle w:val="affffffd"/>
        <w:numPr>
          <w:ilvl w:val="0"/>
          <w:numId w:val="38"/>
        </w:numPr>
        <w:ind w:firstLineChars="0"/>
      </w:pPr>
      <w:r w:rsidRPr="00152A12">
        <w:rPr>
          <w:rFonts w:hAnsiTheme="minorEastAsia"/>
        </w:rPr>
        <w:t>排放源等级</w:t>
      </w:r>
    </w:p>
    <w:p w:rsidR="00B054F5" w:rsidRPr="00152A12" w:rsidRDefault="00B054F5" w:rsidP="00B054F5">
      <w:pPr>
        <w:pStyle w:val="affffffd"/>
        <w:ind w:left="840" w:firstLineChars="150" w:firstLine="315"/>
      </w:pPr>
      <w:r w:rsidRPr="00152A12">
        <w:rPr>
          <w:rFonts w:hAnsiTheme="minorEastAsia"/>
        </w:rPr>
        <w:lastRenderedPageBreak/>
        <w:t>排放源等级的划分情况应体现在监测计划中，注明排放源的名称及等级。</w:t>
      </w:r>
      <w:r w:rsidRPr="00152A12">
        <w:t xml:space="preserve"> </w:t>
      </w:r>
    </w:p>
    <w:p w:rsidR="00B054F5" w:rsidRPr="00152A12" w:rsidRDefault="00B054F5" w:rsidP="003E6AB8">
      <w:pPr>
        <w:pStyle w:val="affffffd"/>
        <w:numPr>
          <w:ilvl w:val="0"/>
          <w:numId w:val="38"/>
        </w:numPr>
        <w:ind w:firstLineChars="0"/>
      </w:pPr>
      <w:r w:rsidRPr="00152A12">
        <w:rPr>
          <w:rFonts w:hAnsiTheme="minorEastAsia"/>
        </w:rPr>
        <w:t>数据收集方法</w:t>
      </w:r>
    </w:p>
    <w:p w:rsidR="00B054F5" w:rsidRPr="00152A12" w:rsidRDefault="00B054F5" w:rsidP="00B054F5">
      <w:pPr>
        <w:pStyle w:val="affffffd"/>
        <w:ind w:left="840"/>
      </w:pPr>
      <w:r w:rsidRPr="00152A12">
        <w:rPr>
          <w:rFonts w:hAnsiTheme="minorEastAsia"/>
        </w:rPr>
        <w:t>监测计划应详细描述各排放源监测参数采用的数据源及数据收集的流程和方法。</w:t>
      </w:r>
      <w:r w:rsidRPr="00152A12">
        <w:t xml:space="preserve"> </w:t>
      </w:r>
    </w:p>
    <w:p w:rsidR="00B054F5" w:rsidRPr="00152A12" w:rsidRDefault="00B054F5" w:rsidP="003E6AB8">
      <w:pPr>
        <w:pStyle w:val="affffffd"/>
        <w:numPr>
          <w:ilvl w:val="0"/>
          <w:numId w:val="38"/>
        </w:numPr>
        <w:ind w:firstLineChars="0"/>
      </w:pPr>
      <w:r w:rsidRPr="00152A12">
        <w:rPr>
          <w:rFonts w:hAnsiTheme="minorEastAsia"/>
        </w:rPr>
        <w:t>数据质量管理方案</w:t>
      </w:r>
      <w:r w:rsidRPr="00152A12">
        <w:t xml:space="preserve"> </w:t>
      </w:r>
    </w:p>
    <w:p w:rsidR="00B054F5" w:rsidRPr="00152A12" w:rsidRDefault="00B054F5" w:rsidP="003E6AB8">
      <w:pPr>
        <w:pStyle w:val="affffffd"/>
        <w:numPr>
          <w:ilvl w:val="0"/>
          <w:numId w:val="40"/>
        </w:numPr>
        <w:snapToGrid w:val="0"/>
        <w:ind w:firstLineChars="0"/>
      </w:pPr>
      <w:r w:rsidRPr="00152A12">
        <w:rPr>
          <w:rFonts w:hAnsiTheme="minorEastAsia"/>
        </w:rPr>
        <w:t>根据对应数据质量等级的具体质量管理要求（见</w:t>
      </w:r>
      <w:r w:rsidRPr="00152A12">
        <w:t>4.3.4</w:t>
      </w:r>
      <w:r w:rsidRPr="00152A12">
        <w:rPr>
          <w:rFonts w:hAnsiTheme="minorEastAsia"/>
        </w:rPr>
        <w:t>），制定具体的数据质量管理方案。</w:t>
      </w:r>
    </w:p>
    <w:p w:rsidR="00B054F5" w:rsidRPr="00152A12" w:rsidRDefault="00B054F5" w:rsidP="003E6AB8">
      <w:pPr>
        <w:pStyle w:val="affffffd"/>
        <w:numPr>
          <w:ilvl w:val="0"/>
          <w:numId w:val="40"/>
        </w:numPr>
        <w:snapToGrid w:val="0"/>
        <w:ind w:firstLineChars="0"/>
      </w:pPr>
      <w:r w:rsidRPr="00152A12">
        <w:rPr>
          <w:rFonts w:hAnsiTheme="minorEastAsia"/>
        </w:rPr>
        <w:t>针对数据流中存在高风险的具体工作环节，设立专门的风险控制方案。</w:t>
      </w:r>
      <w:r w:rsidRPr="00152A12">
        <w:t xml:space="preserve"> </w:t>
      </w:r>
      <w:proofErr w:type="gramStart"/>
      <w:r w:rsidRPr="00152A12">
        <w:rPr>
          <w:rFonts w:hAnsiTheme="minorEastAsia"/>
        </w:rPr>
        <w:t>宜依据</w:t>
      </w:r>
      <w:proofErr w:type="gramEnd"/>
      <w:r w:rsidRPr="00152A12">
        <w:t>4.3.3</w:t>
      </w:r>
      <w:r w:rsidRPr="00152A12">
        <w:rPr>
          <w:rFonts w:hAnsiTheme="minorEastAsia"/>
        </w:rPr>
        <w:t>的内容进行风险识别。</w:t>
      </w:r>
      <w:r w:rsidRPr="00152A12">
        <w:t xml:space="preserve"> </w:t>
      </w:r>
    </w:p>
    <w:p w:rsidR="00B054F5" w:rsidRPr="00152A12" w:rsidRDefault="00B054F5" w:rsidP="003E6AB8">
      <w:pPr>
        <w:pStyle w:val="affffffd"/>
        <w:numPr>
          <w:ilvl w:val="0"/>
          <w:numId w:val="38"/>
        </w:numPr>
        <w:ind w:firstLineChars="0"/>
      </w:pPr>
      <w:r w:rsidRPr="00152A12">
        <w:rPr>
          <w:rFonts w:hAnsiTheme="minorEastAsia"/>
        </w:rPr>
        <w:t>数据不确定性分析</w:t>
      </w:r>
    </w:p>
    <w:p w:rsidR="00B054F5" w:rsidRPr="00152A12" w:rsidRDefault="00B054F5" w:rsidP="00B054F5">
      <w:pPr>
        <w:pStyle w:val="affffffd"/>
        <w:ind w:left="840" w:firstLineChars="0"/>
      </w:pPr>
      <w:r w:rsidRPr="00152A12">
        <w:rPr>
          <w:rFonts w:hAnsiTheme="minorEastAsia"/>
        </w:rPr>
        <w:t>宜对核算中使用的核算参数的不确定性进行识别和说明，同时记录降低数据不确定性的措施。工业企业</w:t>
      </w:r>
      <w:proofErr w:type="gramStart"/>
      <w:r w:rsidRPr="00152A12">
        <w:rPr>
          <w:rFonts w:hAnsiTheme="minorEastAsia"/>
        </w:rPr>
        <w:t>宜依据</w:t>
      </w:r>
      <w:proofErr w:type="gramEnd"/>
      <w:r w:rsidRPr="00152A12">
        <w:t>4.3.5</w:t>
      </w:r>
      <w:r w:rsidRPr="00152A12">
        <w:rPr>
          <w:rFonts w:hAnsiTheme="minorEastAsia"/>
        </w:rPr>
        <w:t>的要求进行数据不确定性分析。</w:t>
      </w:r>
      <w:r w:rsidRPr="00152A12">
        <w:t xml:space="preserve">  </w:t>
      </w:r>
    </w:p>
    <w:p w:rsidR="00B054F5" w:rsidRPr="00152A12" w:rsidRDefault="00B054F5" w:rsidP="003E6AB8">
      <w:pPr>
        <w:pStyle w:val="affffffd"/>
        <w:numPr>
          <w:ilvl w:val="0"/>
          <w:numId w:val="38"/>
        </w:numPr>
        <w:ind w:firstLineChars="0"/>
      </w:pPr>
      <w:r w:rsidRPr="00152A12">
        <w:rPr>
          <w:rFonts w:hAnsiTheme="minorEastAsia"/>
        </w:rPr>
        <w:t>监测计划的修改记录</w:t>
      </w:r>
    </w:p>
    <w:p w:rsidR="00B054F5" w:rsidRPr="00152A12" w:rsidRDefault="00B054F5" w:rsidP="00B054F5">
      <w:pPr>
        <w:ind w:left="420" w:firstLine="420"/>
      </w:pPr>
      <w:r w:rsidRPr="00152A12">
        <w:rPr>
          <w:rFonts w:hAnsiTheme="minorEastAsia"/>
        </w:rPr>
        <w:t>监测计划内应提供修改历史记录，注明原始版本号、修改原因并提供修改内容概述、修改后版本号等内容。</w:t>
      </w:r>
    </w:p>
    <w:p w:rsidR="00B054F5" w:rsidRPr="00180FAA" w:rsidRDefault="00B054F5" w:rsidP="00180FAA">
      <w:pPr>
        <w:pStyle w:val="a1"/>
        <w:spacing w:before="312" w:after="312"/>
      </w:pPr>
      <w:bookmarkStart w:id="69" w:name="_Toc9924506"/>
      <w:r w:rsidRPr="00180FAA">
        <w:rPr>
          <w:rFonts w:hint="eastAsia"/>
        </w:rPr>
        <w:t>数据质量管理方案的改进</w:t>
      </w:r>
      <w:bookmarkEnd w:id="69"/>
    </w:p>
    <w:p w:rsidR="00B054F5" w:rsidRPr="00180FAA" w:rsidRDefault="00B054F5" w:rsidP="00EE7D6F">
      <w:pPr>
        <w:pStyle w:val="a2"/>
        <w:spacing w:before="156" w:after="156"/>
      </w:pPr>
      <w:bookmarkStart w:id="70" w:name="_Toc9924507"/>
      <w:bookmarkStart w:id="71" w:name="_Hlk3363955"/>
      <w:r>
        <w:rPr>
          <w:rFonts w:hint="eastAsia"/>
        </w:rPr>
        <w:t>数据质量的内审</w:t>
      </w:r>
      <w:bookmarkEnd w:id="70"/>
    </w:p>
    <w:p w:rsidR="00B054F5" w:rsidRDefault="00B054F5" w:rsidP="00B054F5">
      <w:pPr>
        <w:ind w:firstLine="420"/>
      </w:pPr>
      <w:bookmarkStart w:id="72" w:name="_Hlk8915840"/>
      <w:bookmarkEnd w:id="71"/>
      <w:r>
        <w:rPr>
          <w:rFonts w:hint="eastAsia"/>
        </w:rPr>
        <w:t>工业企业应通过周期性的</w:t>
      </w:r>
      <w:proofErr w:type="gramStart"/>
      <w:r>
        <w:rPr>
          <w:rFonts w:hint="eastAsia"/>
        </w:rPr>
        <w:t>内审对</w:t>
      </w:r>
      <w:bookmarkStart w:id="73" w:name="_Hlk8915728"/>
      <w:r>
        <w:rPr>
          <w:rFonts w:hint="eastAsia"/>
        </w:rPr>
        <w:t>温室气体</w:t>
      </w:r>
      <w:proofErr w:type="gramEnd"/>
      <w:r>
        <w:rPr>
          <w:rFonts w:hint="eastAsia"/>
        </w:rPr>
        <w:t>排放数据质量管理方案运行及实施过程中存在的问题</w:t>
      </w:r>
      <w:bookmarkEnd w:id="73"/>
      <w:r>
        <w:rPr>
          <w:rFonts w:hint="eastAsia"/>
        </w:rPr>
        <w:t>进行识别。</w:t>
      </w:r>
      <w:bookmarkStart w:id="74" w:name="_Hlk8915853"/>
      <w:bookmarkEnd w:id="72"/>
      <w:r>
        <w:rPr>
          <w:rFonts w:hint="eastAsia"/>
        </w:rPr>
        <w:t>主要工作内容包括以下几个方面：</w:t>
      </w:r>
    </w:p>
    <w:p w:rsidR="00B054F5" w:rsidRPr="00152A12" w:rsidRDefault="00B054F5" w:rsidP="003E6AB8">
      <w:pPr>
        <w:pStyle w:val="affffffd"/>
        <w:numPr>
          <w:ilvl w:val="0"/>
          <w:numId w:val="41"/>
        </w:numPr>
        <w:ind w:leftChars="200" w:left="840" w:firstLineChars="0"/>
      </w:pPr>
      <w:r w:rsidRPr="00152A12">
        <w:t>编制内审计划</w:t>
      </w:r>
    </w:p>
    <w:p w:rsidR="00B054F5" w:rsidRPr="00152A12" w:rsidRDefault="00B054F5" w:rsidP="003E6AB8">
      <w:pPr>
        <w:pStyle w:val="affffffd"/>
        <w:numPr>
          <w:ilvl w:val="0"/>
          <w:numId w:val="43"/>
        </w:numPr>
        <w:ind w:leftChars="400" w:left="1260" w:firstLineChars="0"/>
      </w:pPr>
      <w:r w:rsidRPr="00152A12">
        <w:t>内审时间：每个核算期内宜进行一次内审；</w:t>
      </w:r>
    </w:p>
    <w:p w:rsidR="00B054F5" w:rsidRPr="00152A12" w:rsidRDefault="00B054F5" w:rsidP="003E6AB8">
      <w:pPr>
        <w:pStyle w:val="affffffd"/>
        <w:numPr>
          <w:ilvl w:val="0"/>
          <w:numId w:val="43"/>
        </w:numPr>
        <w:ind w:leftChars="400" w:left="1260" w:firstLineChars="0"/>
      </w:pPr>
      <w:r w:rsidRPr="00152A12">
        <w:t>审核范围：应覆盖到本</w:t>
      </w:r>
      <w:bookmarkStart w:id="75" w:name="_Toc353922370"/>
      <w:r w:rsidRPr="00152A12">
        <w:t>标准所有质量管理要求；</w:t>
      </w:r>
    </w:p>
    <w:p w:rsidR="00B054F5" w:rsidRPr="00152A12" w:rsidRDefault="00B054F5" w:rsidP="003E6AB8">
      <w:pPr>
        <w:pStyle w:val="affffffd"/>
        <w:numPr>
          <w:ilvl w:val="0"/>
          <w:numId w:val="43"/>
        </w:numPr>
        <w:ind w:leftChars="400" w:left="1260" w:firstLineChars="0"/>
      </w:pPr>
      <w:bookmarkStart w:id="76" w:name="_Toc353922371"/>
      <w:bookmarkEnd w:id="75"/>
      <w:r w:rsidRPr="00152A12">
        <w:t>审核人员：应具备温室气体排放核算能力，且与被审核部门无直接利益关系；</w:t>
      </w:r>
      <w:r w:rsidRPr="00152A12">
        <w:t xml:space="preserve"> </w:t>
      </w:r>
    </w:p>
    <w:p w:rsidR="00B054F5" w:rsidRPr="00152A12" w:rsidRDefault="00B054F5" w:rsidP="003E6AB8">
      <w:pPr>
        <w:pStyle w:val="affffffd"/>
        <w:numPr>
          <w:ilvl w:val="0"/>
          <w:numId w:val="43"/>
        </w:numPr>
        <w:ind w:leftChars="400" w:left="1260" w:firstLineChars="0"/>
      </w:pPr>
      <w:r w:rsidRPr="00152A12">
        <w:t>人员职责：负责审核计划的编制与实施，全面控制、协调企业内部审核工作，编写内</w:t>
      </w:r>
      <w:proofErr w:type="gramStart"/>
      <w:r w:rsidRPr="00152A12">
        <w:t>审报告</w:t>
      </w:r>
      <w:proofErr w:type="gramEnd"/>
      <w:r w:rsidRPr="00152A12">
        <w:t>并负责对审核后的纠正措施进行跟踪验证</w:t>
      </w:r>
      <w:bookmarkEnd w:id="76"/>
      <w:r w:rsidRPr="00152A12">
        <w:t>。</w:t>
      </w:r>
    </w:p>
    <w:p w:rsidR="00B054F5" w:rsidRPr="00152A12" w:rsidRDefault="00B054F5" w:rsidP="003E6AB8">
      <w:pPr>
        <w:pStyle w:val="affffffd"/>
        <w:numPr>
          <w:ilvl w:val="0"/>
          <w:numId w:val="41"/>
        </w:numPr>
        <w:ind w:leftChars="200" w:left="840" w:firstLineChars="0"/>
      </w:pPr>
      <w:bookmarkStart w:id="77" w:name="_Toc353922379"/>
      <w:r w:rsidRPr="00152A12">
        <w:t>实施内审</w:t>
      </w:r>
      <w:bookmarkEnd w:id="77"/>
    </w:p>
    <w:p w:rsidR="00B054F5" w:rsidRPr="00152A12" w:rsidRDefault="00B054F5" w:rsidP="003E6AB8">
      <w:pPr>
        <w:pStyle w:val="affffffd"/>
        <w:numPr>
          <w:ilvl w:val="0"/>
          <w:numId w:val="43"/>
        </w:numPr>
        <w:ind w:leftChars="400" w:left="1260" w:firstLineChars="0"/>
      </w:pPr>
      <w:r w:rsidRPr="00152A12">
        <w:t>审核方法：宜采用观察、提问、查阅、验证等方式，按照撰写的内</w:t>
      </w:r>
      <w:proofErr w:type="gramStart"/>
      <w:r w:rsidRPr="00152A12">
        <w:t>审检查</w:t>
      </w:r>
      <w:proofErr w:type="gramEnd"/>
      <w:r w:rsidRPr="00152A12">
        <w:t>表收集审核内容对应的证据，观察实际运行和核算情况；</w:t>
      </w:r>
      <w:r w:rsidRPr="00152A12">
        <w:t xml:space="preserve"> </w:t>
      </w:r>
    </w:p>
    <w:p w:rsidR="00B054F5" w:rsidRPr="00152A12" w:rsidRDefault="00B054F5" w:rsidP="003E6AB8">
      <w:pPr>
        <w:pStyle w:val="affffffd"/>
        <w:numPr>
          <w:ilvl w:val="0"/>
          <w:numId w:val="43"/>
        </w:numPr>
        <w:ind w:leftChars="400" w:left="1260" w:firstLineChars="0"/>
      </w:pPr>
      <w:r w:rsidRPr="00152A12">
        <w:t>审核内容：排放</w:t>
      </w:r>
      <w:proofErr w:type="gramStart"/>
      <w:r w:rsidRPr="00152A12">
        <w:t>源数据</w:t>
      </w:r>
      <w:proofErr w:type="gramEnd"/>
      <w:r w:rsidRPr="00152A12">
        <w:t>的准确性、可比性、一致性和完整性，数据管理工作的合</w:t>
      </w:r>
      <w:proofErr w:type="gramStart"/>
      <w:r w:rsidRPr="00152A12">
        <w:t>规</w:t>
      </w:r>
      <w:proofErr w:type="gramEnd"/>
      <w:r w:rsidRPr="00152A12">
        <w:t>性，</w:t>
      </w:r>
      <w:r w:rsidRPr="00152A12">
        <w:t xml:space="preserve"> </w:t>
      </w:r>
      <w:r w:rsidRPr="00152A12">
        <w:t>数据获取方法与监测计划的符合性，数据流活动及数据质量管理活动的执行情况，数据不确定性评估。</w:t>
      </w:r>
      <w:r w:rsidRPr="00152A12">
        <w:t xml:space="preserve"> </w:t>
      </w:r>
    </w:p>
    <w:p w:rsidR="00B054F5" w:rsidRPr="00152A12" w:rsidRDefault="00B054F5" w:rsidP="003E6AB8">
      <w:pPr>
        <w:pStyle w:val="affffffd"/>
        <w:numPr>
          <w:ilvl w:val="0"/>
          <w:numId w:val="41"/>
        </w:numPr>
        <w:ind w:leftChars="200" w:left="840" w:firstLineChars="0"/>
      </w:pPr>
      <w:bookmarkStart w:id="78" w:name="_Toc353922380"/>
      <w:r w:rsidRPr="00152A12">
        <w:t>内审结果</w:t>
      </w:r>
      <w:bookmarkEnd w:id="78"/>
    </w:p>
    <w:p w:rsidR="00B054F5" w:rsidRPr="00152A12" w:rsidRDefault="00B054F5" w:rsidP="00B054F5">
      <w:pPr>
        <w:pStyle w:val="affffffd"/>
        <w:ind w:leftChars="400" w:left="840"/>
      </w:pPr>
      <w:r w:rsidRPr="00152A12">
        <w:t>对于所有的内审结果都宜清晰、准确地形成文字记录，并有证据支持。</w:t>
      </w:r>
      <w:r w:rsidRPr="00152A12">
        <w:t xml:space="preserve"> </w:t>
      </w:r>
      <w:r w:rsidRPr="00152A12">
        <w:t>审核报告应提交温室气体排放核算管理负责人归档。审核结果的内容应包含但不限于以下信息：</w:t>
      </w:r>
    </w:p>
    <w:p w:rsidR="00B054F5" w:rsidRPr="00152A12" w:rsidRDefault="00B054F5" w:rsidP="003E6AB8">
      <w:pPr>
        <w:pStyle w:val="affffffd"/>
        <w:numPr>
          <w:ilvl w:val="0"/>
          <w:numId w:val="42"/>
        </w:numPr>
        <w:ind w:leftChars="400" w:left="1260" w:firstLineChars="0"/>
      </w:pPr>
      <w:r w:rsidRPr="00152A12">
        <w:t>核算边界划分的正确性及排放源核算的完整性；</w:t>
      </w:r>
    </w:p>
    <w:p w:rsidR="00B054F5" w:rsidRPr="00152A12" w:rsidRDefault="00B054F5" w:rsidP="003E6AB8">
      <w:pPr>
        <w:pStyle w:val="affffffd"/>
        <w:numPr>
          <w:ilvl w:val="0"/>
          <w:numId w:val="42"/>
        </w:numPr>
        <w:ind w:leftChars="400" w:left="1260" w:firstLineChars="0"/>
      </w:pPr>
      <w:r w:rsidRPr="00152A12">
        <w:t>合</w:t>
      </w:r>
      <w:proofErr w:type="gramStart"/>
      <w:r w:rsidRPr="00152A12">
        <w:t>规</w:t>
      </w:r>
      <w:proofErr w:type="gramEnd"/>
      <w:r w:rsidRPr="00152A12">
        <w:t>性评价结果；</w:t>
      </w:r>
    </w:p>
    <w:p w:rsidR="00B054F5" w:rsidRPr="00152A12" w:rsidRDefault="00B054F5" w:rsidP="003E6AB8">
      <w:pPr>
        <w:pStyle w:val="affffffd"/>
        <w:numPr>
          <w:ilvl w:val="0"/>
          <w:numId w:val="42"/>
        </w:numPr>
        <w:ind w:leftChars="400" w:left="1260" w:firstLineChars="0"/>
      </w:pPr>
      <w:r w:rsidRPr="00152A12">
        <w:t>监测计划的执行结果；</w:t>
      </w:r>
    </w:p>
    <w:p w:rsidR="00B054F5" w:rsidRPr="00152A12" w:rsidRDefault="00B054F5" w:rsidP="003E6AB8">
      <w:pPr>
        <w:pStyle w:val="affffffd"/>
        <w:numPr>
          <w:ilvl w:val="0"/>
          <w:numId w:val="42"/>
        </w:numPr>
        <w:ind w:leftChars="400" w:left="1260" w:firstLineChars="0"/>
      </w:pPr>
      <w:r w:rsidRPr="00152A12">
        <w:t>数据质量管理活动的执行结果；</w:t>
      </w:r>
    </w:p>
    <w:p w:rsidR="00B054F5" w:rsidRPr="00152A12" w:rsidRDefault="00B054F5" w:rsidP="003E6AB8">
      <w:pPr>
        <w:pStyle w:val="affffffd"/>
        <w:numPr>
          <w:ilvl w:val="0"/>
          <w:numId w:val="42"/>
        </w:numPr>
        <w:ind w:leftChars="400" w:left="1260" w:firstLineChars="0"/>
      </w:pPr>
      <w:r w:rsidRPr="00152A12">
        <w:t>数据信息的准确性、可比性、一致性和完整性。</w:t>
      </w:r>
    </w:p>
    <w:p w:rsidR="00B054F5" w:rsidRPr="00180FAA" w:rsidRDefault="003D2382" w:rsidP="00EE7D6F">
      <w:pPr>
        <w:pStyle w:val="a2"/>
        <w:spacing w:before="156" w:after="156"/>
      </w:pPr>
      <w:bookmarkStart w:id="79" w:name="_Toc9924508"/>
      <w:bookmarkEnd w:id="74"/>
      <w:r>
        <w:rPr>
          <w:rFonts w:hint="eastAsia"/>
        </w:rPr>
        <w:t>改进措施</w:t>
      </w:r>
      <w:bookmarkEnd w:id="79"/>
    </w:p>
    <w:p w:rsidR="003D2382" w:rsidRDefault="003D2382" w:rsidP="003D2382">
      <w:pPr>
        <w:ind w:firstLineChars="200" w:firstLine="420"/>
      </w:pPr>
      <w:bookmarkStart w:id="80" w:name="_Hlk8915868"/>
      <w:r>
        <w:rPr>
          <w:rFonts w:hint="eastAsia"/>
        </w:rPr>
        <w:t>工业企业应对内审环节中发现的问题进行及时的纠正，同时应采取相应的措施避免错误的再次发生，纠正环节应包括以下</w:t>
      </w:r>
      <w:r>
        <w:rPr>
          <w:rFonts w:hint="eastAsia"/>
        </w:rPr>
        <w:t>4</w:t>
      </w:r>
      <w:r>
        <w:rPr>
          <w:rFonts w:hint="eastAsia"/>
        </w:rPr>
        <w:t>个步骤。</w:t>
      </w:r>
      <w:r>
        <w:rPr>
          <w:rFonts w:hint="eastAsia"/>
        </w:rPr>
        <w:t xml:space="preserve">  </w:t>
      </w:r>
    </w:p>
    <w:p w:rsidR="003D2382" w:rsidRPr="00152A12" w:rsidRDefault="003D2382" w:rsidP="003E6AB8">
      <w:pPr>
        <w:pStyle w:val="affffffd"/>
        <w:numPr>
          <w:ilvl w:val="0"/>
          <w:numId w:val="44"/>
        </w:numPr>
        <w:ind w:firstLineChars="0"/>
      </w:pPr>
      <w:r w:rsidRPr="00152A12">
        <w:lastRenderedPageBreak/>
        <w:t>根源分析：应根据工业企业的实际数据收集及报告情况识别</w:t>
      </w:r>
      <w:proofErr w:type="gramStart"/>
      <w:r w:rsidRPr="00152A12">
        <w:t>出产生</w:t>
      </w:r>
      <w:proofErr w:type="gramEnd"/>
      <w:r w:rsidRPr="00152A12">
        <w:t>错误的根本原因，以避免问题的重复发生。</w:t>
      </w:r>
    </w:p>
    <w:p w:rsidR="003D2382" w:rsidRPr="00152A12" w:rsidRDefault="003D2382" w:rsidP="003E6AB8">
      <w:pPr>
        <w:pStyle w:val="affffffd"/>
        <w:numPr>
          <w:ilvl w:val="0"/>
          <w:numId w:val="44"/>
        </w:numPr>
        <w:ind w:firstLineChars="0"/>
      </w:pPr>
      <w:r w:rsidRPr="00152A12">
        <w:t>改进计划：应根据识别的根源问题制定相应的改进措施及预期改进时间，相关内容应交由审核人员进一步审核并提交工业企业负责人批准。</w:t>
      </w:r>
      <w:r w:rsidRPr="00152A12">
        <w:t xml:space="preserve"> </w:t>
      </w:r>
    </w:p>
    <w:p w:rsidR="003D2382" w:rsidRPr="00152A12" w:rsidRDefault="003D2382" w:rsidP="003E6AB8">
      <w:pPr>
        <w:pStyle w:val="affffffd"/>
        <w:numPr>
          <w:ilvl w:val="0"/>
          <w:numId w:val="44"/>
        </w:numPr>
        <w:ind w:firstLineChars="0"/>
      </w:pPr>
      <w:r w:rsidRPr="00152A12">
        <w:t>实施改进：应根据内审结</w:t>
      </w:r>
      <w:proofErr w:type="gramStart"/>
      <w:r w:rsidRPr="00152A12">
        <w:t>果制定</w:t>
      </w:r>
      <w:proofErr w:type="gramEnd"/>
      <w:r w:rsidRPr="00152A12">
        <w:t>相应的错误纠正措施及计划，并明确完成日期，指定专人进行实施。</w:t>
      </w:r>
      <w:r w:rsidRPr="00152A12">
        <w:t xml:space="preserve"> </w:t>
      </w:r>
    </w:p>
    <w:p w:rsidR="007C3AEB" w:rsidRDefault="003D2382" w:rsidP="003D2382">
      <w:pPr>
        <w:pStyle w:val="affffffd"/>
        <w:numPr>
          <w:ilvl w:val="0"/>
          <w:numId w:val="44"/>
        </w:numPr>
        <w:ind w:firstLineChars="0"/>
      </w:pPr>
      <w:r w:rsidRPr="00152A12">
        <w:t>跟踪验证：审核人员</w:t>
      </w:r>
      <w:proofErr w:type="gramStart"/>
      <w:r w:rsidRPr="00152A12">
        <w:t>宜按照</w:t>
      </w:r>
      <w:proofErr w:type="gramEnd"/>
      <w:r w:rsidRPr="00152A12">
        <w:t>各部门的改进计划对实际改进措施的执行情况进行核查</w:t>
      </w:r>
      <w:r>
        <w:rPr>
          <w:rFonts w:hint="eastAsia"/>
        </w:rPr>
        <w:t>。</w:t>
      </w:r>
      <w:bookmarkEnd w:id="80"/>
      <w:r w:rsidR="007C3AEB">
        <w:br w:type="page"/>
      </w:r>
    </w:p>
    <w:p w:rsidR="003D2382" w:rsidRPr="007C3AEB" w:rsidRDefault="00414BD9" w:rsidP="007C3AEB">
      <w:pPr>
        <w:pStyle w:val="af5"/>
        <w:tabs>
          <w:tab w:val="num" w:pos="360"/>
        </w:tabs>
        <w:ind w:left="0"/>
      </w:pPr>
      <w:r>
        <w:lastRenderedPageBreak/>
        <w:br/>
      </w:r>
      <w:bookmarkStart w:id="81" w:name="_Toc9924509"/>
      <w:r>
        <w:rPr>
          <w:rFonts w:hint="eastAsia"/>
        </w:rPr>
        <w:t>（</w:t>
      </w:r>
      <w:r w:rsidR="003D2382">
        <w:rPr>
          <w:rFonts w:hint="eastAsia"/>
        </w:rPr>
        <w:t>资料性</w:t>
      </w:r>
      <w:r>
        <w:rPr>
          <w:rFonts w:hint="eastAsia"/>
        </w:rPr>
        <w:t>附录）</w:t>
      </w:r>
      <w:r>
        <w:br/>
      </w:r>
      <w:r w:rsidR="003D2382" w:rsidRPr="007C3AEB">
        <w:rPr>
          <w:rFonts w:hint="eastAsia"/>
        </w:rPr>
        <w:t>工业企业重点排放设施示例</w:t>
      </w:r>
      <w:bookmarkEnd w:id="81"/>
    </w:p>
    <w:p w:rsidR="003D2382" w:rsidRPr="0096649A" w:rsidRDefault="003D2382" w:rsidP="003D2382">
      <w:pPr>
        <w:jc w:val="center"/>
        <w:rPr>
          <w:rFonts w:ascii="黑体" w:eastAsia="黑体" w:hAnsi="黑体"/>
          <w:sz w:val="18"/>
          <w:szCs w:val="18"/>
        </w:rPr>
      </w:pPr>
      <w:r w:rsidRPr="0096649A">
        <w:rPr>
          <w:rFonts w:ascii="黑体" w:eastAsia="黑体" w:hAnsi="黑体" w:hint="eastAsia"/>
          <w:sz w:val="18"/>
          <w:szCs w:val="18"/>
        </w:rPr>
        <w:t>表A.1   工业企业重点排放设施示例表</w:t>
      </w:r>
    </w:p>
    <w:tbl>
      <w:tblPr>
        <w:tblStyle w:val="afffffa"/>
        <w:tblW w:w="0" w:type="auto"/>
        <w:tblLook w:val="04A0" w:firstRow="1" w:lastRow="0" w:firstColumn="1" w:lastColumn="0" w:noHBand="0" w:noVBand="1"/>
      </w:tblPr>
      <w:tblGrid>
        <w:gridCol w:w="4261"/>
        <w:gridCol w:w="4261"/>
      </w:tblGrid>
      <w:tr w:rsidR="003D2382" w:rsidRPr="0096649A" w:rsidTr="00C71E16">
        <w:tc>
          <w:tcPr>
            <w:tcW w:w="4261" w:type="dxa"/>
          </w:tcPr>
          <w:p w:rsidR="003D2382" w:rsidRPr="0096649A" w:rsidRDefault="003D2382" w:rsidP="00C71E16">
            <w:pPr>
              <w:jc w:val="center"/>
              <w:rPr>
                <w:sz w:val="18"/>
                <w:szCs w:val="18"/>
              </w:rPr>
            </w:pPr>
            <w:r w:rsidRPr="0096649A">
              <w:rPr>
                <w:rFonts w:hint="eastAsia"/>
                <w:sz w:val="18"/>
                <w:szCs w:val="18"/>
              </w:rPr>
              <w:t>工业企业类型</w:t>
            </w:r>
          </w:p>
        </w:tc>
        <w:tc>
          <w:tcPr>
            <w:tcW w:w="4261" w:type="dxa"/>
          </w:tcPr>
          <w:p w:rsidR="003D2382" w:rsidRPr="0096649A" w:rsidRDefault="003D2382" w:rsidP="00C71E16">
            <w:pPr>
              <w:jc w:val="center"/>
              <w:rPr>
                <w:sz w:val="18"/>
                <w:szCs w:val="18"/>
              </w:rPr>
            </w:pPr>
            <w:r w:rsidRPr="0096649A">
              <w:rPr>
                <w:rFonts w:hint="eastAsia"/>
                <w:sz w:val="18"/>
                <w:szCs w:val="18"/>
              </w:rPr>
              <w:t>重要生产设施示例</w:t>
            </w:r>
          </w:p>
        </w:tc>
      </w:tr>
      <w:tr w:rsidR="003D2382" w:rsidRPr="0096649A" w:rsidTr="00C71E16">
        <w:tc>
          <w:tcPr>
            <w:tcW w:w="4261" w:type="dxa"/>
          </w:tcPr>
          <w:p w:rsidR="003D2382" w:rsidRPr="0096649A" w:rsidRDefault="003D2382" w:rsidP="00C71E16">
            <w:pPr>
              <w:rPr>
                <w:sz w:val="18"/>
                <w:szCs w:val="18"/>
              </w:rPr>
            </w:pPr>
            <w:r w:rsidRPr="0096649A">
              <w:rPr>
                <w:rFonts w:hint="eastAsia"/>
                <w:sz w:val="18"/>
                <w:szCs w:val="18"/>
              </w:rPr>
              <w:t xml:space="preserve">电力企业 </w:t>
            </w:r>
          </w:p>
        </w:tc>
        <w:tc>
          <w:tcPr>
            <w:tcW w:w="4261" w:type="dxa"/>
          </w:tcPr>
          <w:p w:rsidR="003D2382" w:rsidRPr="0096649A" w:rsidRDefault="003D2382" w:rsidP="00C71E16">
            <w:pPr>
              <w:rPr>
                <w:sz w:val="18"/>
                <w:szCs w:val="18"/>
              </w:rPr>
            </w:pPr>
            <w:r w:rsidRPr="0096649A">
              <w:rPr>
                <w:rFonts w:hint="eastAsia"/>
                <w:sz w:val="18"/>
                <w:szCs w:val="18"/>
              </w:rPr>
              <w:t xml:space="preserve">发电锅炉、发电内燃机 </w:t>
            </w:r>
          </w:p>
        </w:tc>
      </w:tr>
      <w:tr w:rsidR="003D2382" w:rsidRPr="0096649A" w:rsidTr="00C71E16">
        <w:tc>
          <w:tcPr>
            <w:tcW w:w="4261" w:type="dxa"/>
          </w:tcPr>
          <w:p w:rsidR="003D2382" w:rsidRPr="0096649A" w:rsidRDefault="003D2382" w:rsidP="00C71E16">
            <w:pPr>
              <w:rPr>
                <w:sz w:val="18"/>
                <w:szCs w:val="18"/>
              </w:rPr>
            </w:pPr>
            <w:r w:rsidRPr="0096649A">
              <w:rPr>
                <w:rFonts w:hint="eastAsia"/>
                <w:sz w:val="18"/>
                <w:szCs w:val="18"/>
              </w:rPr>
              <w:t>钢铁企业</w:t>
            </w:r>
          </w:p>
        </w:tc>
        <w:tc>
          <w:tcPr>
            <w:tcW w:w="4261" w:type="dxa"/>
          </w:tcPr>
          <w:p w:rsidR="003D2382" w:rsidRPr="0096649A" w:rsidRDefault="003D2382" w:rsidP="00C71E16">
            <w:pPr>
              <w:rPr>
                <w:sz w:val="18"/>
                <w:szCs w:val="18"/>
              </w:rPr>
            </w:pPr>
            <w:r w:rsidRPr="0096649A">
              <w:rPr>
                <w:rFonts w:hint="eastAsia"/>
                <w:sz w:val="18"/>
                <w:szCs w:val="18"/>
              </w:rPr>
              <w:t xml:space="preserve">焦炉、烧结机、高炉、工业锅炉 </w:t>
            </w:r>
          </w:p>
        </w:tc>
      </w:tr>
      <w:tr w:rsidR="003D2382" w:rsidRPr="0096649A" w:rsidTr="00C71E16">
        <w:tc>
          <w:tcPr>
            <w:tcW w:w="4261" w:type="dxa"/>
          </w:tcPr>
          <w:p w:rsidR="003D2382" w:rsidRPr="0096649A" w:rsidRDefault="003D2382" w:rsidP="00C71E16">
            <w:pPr>
              <w:rPr>
                <w:sz w:val="18"/>
                <w:szCs w:val="18"/>
              </w:rPr>
            </w:pPr>
            <w:r w:rsidRPr="0096649A">
              <w:rPr>
                <w:rFonts w:hint="eastAsia"/>
                <w:sz w:val="18"/>
                <w:szCs w:val="18"/>
              </w:rPr>
              <w:t>化工企业</w:t>
            </w:r>
          </w:p>
        </w:tc>
        <w:tc>
          <w:tcPr>
            <w:tcW w:w="4261" w:type="dxa"/>
          </w:tcPr>
          <w:p w:rsidR="003D2382" w:rsidRPr="0096649A" w:rsidRDefault="003D2382" w:rsidP="00C71E16">
            <w:pPr>
              <w:rPr>
                <w:sz w:val="18"/>
                <w:szCs w:val="18"/>
              </w:rPr>
            </w:pPr>
            <w:r w:rsidRPr="0096649A">
              <w:rPr>
                <w:rFonts w:hint="eastAsia"/>
                <w:sz w:val="18"/>
                <w:szCs w:val="18"/>
              </w:rPr>
              <w:t>锅炉、燃烧器、涡轮机、加热器、焚烧炉、煅烧炉、窑炉、熔炉、烤炉、内燃机等</w:t>
            </w:r>
          </w:p>
        </w:tc>
      </w:tr>
      <w:tr w:rsidR="003D2382" w:rsidRPr="0096649A" w:rsidTr="00C71E16">
        <w:tc>
          <w:tcPr>
            <w:tcW w:w="4261" w:type="dxa"/>
          </w:tcPr>
          <w:p w:rsidR="003D2382" w:rsidRPr="0096649A" w:rsidRDefault="003D2382" w:rsidP="00C71E16">
            <w:pPr>
              <w:rPr>
                <w:sz w:val="18"/>
                <w:szCs w:val="18"/>
              </w:rPr>
            </w:pPr>
            <w:r w:rsidRPr="0096649A">
              <w:rPr>
                <w:rFonts w:hint="eastAsia"/>
                <w:sz w:val="18"/>
                <w:szCs w:val="18"/>
              </w:rPr>
              <w:t xml:space="preserve">水泥企业 </w:t>
            </w:r>
          </w:p>
        </w:tc>
        <w:tc>
          <w:tcPr>
            <w:tcW w:w="4261" w:type="dxa"/>
          </w:tcPr>
          <w:p w:rsidR="003D2382" w:rsidRPr="0096649A" w:rsidRDefault="003D2382" w:rsidP="00C71E16">
            <w:pPr>
              <w:rPr>
                <w:sz w:val="18"/>
                <w:szCs w:val="18"/>
              </w:rPr>
            </w:pPr>
            <w:r w:rsidRPr="0096649A">
              <w:rPr>
                <w:rFonts w:hint="eastAsia"/>
                <w:sz w:val="18"/>
                <w:szCs w:val="18"/>
              </w:rPr>
              <w:t>水泥窑</w:t>
            </w:r>
          </w:p>
        </w:tc>
      </w:tr>
    </w:tbl>
    <w:p w:rsidR="007C3AEB" w:rsidRDefault="007C3AEB" w:rsidP="007C3AEB">
      <w:pPr>
        <w:pStyle w:val="af5"/>
        <w:numPr>
          <w:ilvl w:val="0"/>
          <w:numId w:val="0"/>
        </w:numPr>
        <w:jc w:val="both"/>
      </w:pPr>
      <w:r>
        <w:br w:type="page"/>
      </w:r>
    </w:p>
    <w:p w:rsidR="000E2429" w:rsidRDefault="000E2429" w:rsidP="007C3AEB">
      <w:pPr>
        <w:pStyle w:val="af5"/>
        <w:tabs>
          <w:tab w:val="clear" w:pos="6405"/>
        </w:tabs>
        <w:ind w:left="0"/>
      </w:pPr>
      <w:r>
        <w:lastRenderedPageBreak/>
        <w:br/>
      </w:r>
      <w:bookmarkStart w:id="82" w:name="_Toc9924510"/>
      <w:r>
        <w:rPr>
          <w:rFonts w:hint="eastAsia"/>
        </w:rPr>
        <w:t>（资料性附录）</w:t>
      </w:r>
      <w:r>
        <w:br/>
      </w:r>
      <w:r w:rsidR="003D2382" w:rsidRPr="003D2382">
        <w:rPr>
          <w:rFonts w:hint="eastAsia"/>
        </w:rPr>
        <w:t>监测计划的排放源等级划分及数据要求示例</w:t>
      </w:r>
      <w:bookmarkEnd w:id="82"/>
    </w:p>
    <w:p w:rsidR="003D2382" w:rsidRPr="0096649A" w:rsidRDefault="003D2382" w:rsidP="003D2382">
      <w:pPr>
        <w:pStyle w:val="af5"/>
        <w:numPr>
          <w:ilvl w:val="0"/>
          <w:numId w:val="0"/>
        </w:numPr>
        <w:outlineLvl w:val="9"/>
      </w:pPr>
      <w:r w:rsidRPr="0096649A">
        <w:rPr>
          <w:rFonts w:hint="eastAsia"/>
        </w:rPr>
        <w:t>表B.1 排放源等级划分及数据要求</w:t>
      </w:r>
    </w:p>
    <w:tbl>
      <w:tblPr>
        <w:tblStyle w:val="afffffa"/>
        <w:tblW w:w="0" w:type="auto"/>
        <w:tblInd w:w="108" w:type="dxa"/>
        <w:tblLook w:val="04A0" w:firstRow="1" w:lastRow="0" w:firstColumn="1" w:lastColumn="0" w:noHBand="0" w:noVBand="1"/>
      </w:tblPr>
      <w:tblGrid>
        <w:gridCol w:w="728"/>
        <w:gridCol w:w="620"/>
        <w:gridCol w:w="620"/>
        <w:gridCol w:w="819"/>
        <w:gridCol w:w="645"/>
        <w:gridCol w:w="632"/>
        <w:gridCol w:w="784"/>
        <w:gridCol w:w="748"/>
        <w:gridCol w:w="713"/>
        <w:gridCol w:w="765"/>
        <w:gridCol w:w="659"/>
        <w:gridCol w:w="759"/>
        <w:gridCol w:w="744"/>
      </w:tblGrid>
      <w:tr w:rsidR="003D2382" w:rsidRPr="0096649A" w:rsidTr="00C71E16">
        <w:tc>
          <w:tcPr>
            <w:tcW w:w="927" w:type="dxa"/>
            <w:vMerge w:val="restart"/>
          </w:tcPr>
          <w:p w:rsidR="003D2382" w:rsidRPr="0096649A" w:rsidRDefault="003D2382"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序号</w:t>
            </w:r>
          </w:p>
        </w:tc>
        <w:tc>
          <w:tcPr>
            <w:tcW w:w="918" w:type="dxa"/>
            <w:vMerge w:val="restart"/>
          </w:tcPr>
          <w:p w:rsidR="003D2382" w:rsidRPr="0096649A" w:rsidRDefault="003D2382" w:rsidP="00C71E16">
            <w:pPr>
              <w:jc w:val="center"/>
              <w:rPr>
                <w:rFonts w:asciiTheme="minorEastAsia" w:hAnsiTheme="minorEastAsia"/>
                <w:sz w:val="18"/>
                <w:szCs w:val="18"/>
              </w:rPr>
            </w:pPr>
            <w:r w:rsidRPr="0096649A">
              <w:rPr>
                <w:rFonts w:asciiTheme="minorEastAsia" w:hAnsiTheme="minorEastAsia" w:hint="eastAsia"/>
                <w:sz w:val="18"/>
                <w:szCs w:val="18"/>
              </w:rPr>
              <w:t>排放源等级</w:t>
            </w:r>
          </w:p>
        </w:tc>
        <w:tc>
          <w:tcPr>
            <w:tcW w:w="918" w:type="dxa"/>
            <w:vMerge w:val="restart"/>
          </w:tcPr>
          <w:p w:rsidR="003D2382" w:rsidRPr="0096649A" w:rsidRDefault="003D2382" w:rsidP="00C71E16">
            <w:pPr>
              <w:jc w:val="center"/>
              <w:rPr>
                <w:rFonts w:asciiTheme="minorEastAsia" w:hAnsiTheme="minorEastAsia"/>
                <w:sz w:val="18"/>
                <w:szCs w:val="18"/>
              </w:rPr>
            </w:pPr>
            <w:r w:rsidRPr="0096649A">
              <w:rPr>
                <w:rFonts w:asciiTheme="minorEastAsia" w:hAnsiTheme="minorEastAsia" w:hint="eastAsia"/>
                <w:sz w:val="18"/>
                <w:szCs w:val="18"/>
              </w:rPr>
              <w:t>设施名称</w:t>
            </w:r>
          </w:p>
        </w:tc>
        <w:tc>
          <w:tcPr>
            <w:tcW w:w="1022" w:type="dxa"/>
            <w:vMerge w:val="restart"/>
          </w:tcPr>
          <w:p w:rsidR="003D2382" w:rsidRPr="0096649A" w:rsidRDefault="003D2382" w:rsidP="00C71E16">
            <w:pPr>
              <w:jc w:val="center"/>
              <w:rPr>
                <w:rFonts w:asciiTheme="minorEastAsia" w:hAnsiTheme="minorEastAsia"/>
                <w:sz w:val="18"/>
                <w:szCs w:val="18"/>
              </w:rPr>
            </w:pPr>
            <w:r w:rsidRPr="0096649A">
              <w:rPr>
                <w:rFonts w:asciiTheme="minorEastAsia" w:hAnsiTheme="minorEastAsia" w:cs="Arial" w:hint="eastAsia"/>
                <w:sz w:val="18"/>
                <w:szCs w:val="18"/>
              </w:rPr>
              <w:t>占工业企业总排放量的百分（%）</w:t>
            </w:r>
          </w:p>
        </w:tc>
        <w:tc>
          <w:tcPr>
            <w:tcW w:w="975" w:type="dxa"/>
            <w:vMerge w:val="restart"/>
          </w:tcPr>
          <w:p w:rsidR="003D2382" w:rsidRPr="0096649A" w:rsidRDefault="003D2382" w:rsidP="00C71E16">
            <w:pPr>
              <w:jc w:val="center"/>
              <w:rPr>
                <w:rFonts w:asciiTheme="minorEastAsia" w:hAnsiTheme="minorEastAsia"/>
                <w:sz w:val="18"/>
                <w:szCs w:val="18"/>
              </w:rPr>
            </w:pPr>
            <w:r w:rsidRPr="0096649A">
              <w:rPr>
                <w:rFonts w:asciiTheme="minorEastAsia" w:hAnsiTheme="minorEastAsia" w:hint="eastAsia"/>
                <w:sz w:val="18"/>
                <w:szCs w:val="18"/>
              </w:rPr>
              <w:t>排放源类型</w:t>
            </w:r>
          </w:p>
          <w:p w:rsidR="003D2382" w:rsidRPr="0096649A" w:rsidRDefault="003D2382" w:rsidP="00C71E16">
            <w:pPr>
              <w:jc w:val="center"/>
              <w:rPr>
                <w:rFonts w:asciiTheme="minorEastAsia" w:hAnsiTheme="minorEastAsia"/>
                <w:sz w:val="18"/>
                <w:szCs w:val="18"/>
              </w:rPr>
            </w:pPr>
          </w:p>
        </w:tc>
        <w:tc>
          <w:tcPr>
            <w:tcW w:w="946" w:type="dxa"/>
            <w:vMerge w:val="restart"/>
          </w:tcPr>
          <w:p w:rsidR="003D2382" w:rsidRPr="0096649A" w:rsidRDefault="003D2382" w:rsidP="00C71E16">
            <w:pPr>
              <w:jc w:val="center"/>
              <w:rPr>
                <w:rFonts w:asciiTheme="minorEastAsia" w:hAnsiTheme="minorEastAsia"/>
                <w:sz w:val="18"/>
                <w:szCs w:val="18"/>
              </w:rPr>
            </w:pPr>
            <w:r w:rsidRPr="0096649A">
              <w:rPr>
                <w:rFonts w:asciiTheme="minorEastAsia" w:hAnsiTheme="minorEastAsia" w:hint="eastAsia"/>
                <w:sz w:val="18"/>
                <w:szCs w:val="18"/>
              </w:rPr>
              <w:t>计算方法</w:t>
            </w:r>
          </w:p>
        </w:tc>
        <w:tc>
          <w:tcPr>
            <w:tcW w:w="2516" w:type="dxa"/>
            <w:gridSpan w:val="2"/>
          </w:tcPr>
          <w:p w:rsidR="003D2382" w:rsidRPr="0096649A" w:rsidRDefault="003D2382" w:rsidP="00C71E16">
            <w:pPr>
              <w:jc w:val="center"/>
              <w:rPr>
                <w:rFonts w:asciiTheme="minorEastAsia" w:hAnsiTheme="minorEastAsia"/>
                <w:sz w:val="18"/>
                <w:szCs w:val="18"/>
              </w:rPr>
            </w:pPr>
            <w:r w:rsidRPr="0096649A">
              <w:rPr>
                <w:rFonts w:asciiTheme="minorEastAsia" w:hAnsiTheme="minorEastAsia" w:hint="eastAsia"/>
                <w:sz w:val="18"/>
                <w:szCs w:val="18"/>
              </w:rPr>
              <w:t>活动水平数据</w:t>
            </w:r>
          </w:p>
        </w:tc>
        <w:tc>
          <w:tcPr>
            <w:tcW w:w="2389" w:type="dxa"/>
            <w:gridSpan w:val="2"/>
          </w:tcPr>
          <w:p w:rsidR="003D2382" w:rsidRPr="0096649A" w:rsidRDefault="003D2382" w:rsidP="00C71E16">
            <w:pPr>
              <w:jc w:val="center"/>
              <w:rPr>
                <w:rFonts w:asciiTheme="minorEastAsia" w:hAnsiTheme="minorEastAsia"/>
                <w:sz w:val="18"/>
                <w:szCs w:val="18"/>
              </w:rPr>
            </w:pPr>
            <w:r w:rsidRPr="0096649A">
              <w:rPr>
                <w:rFonts w:asciiTheme="minorEastAsia" w:hAnsiTheme="minorEastAsia" w:hint="eastAsia"/>
                <w:sz w:val="18"/>
                <w:szCs w:val="18"/>
              </w:rPr>
              <w:t>排放因子</w:t>
            </w:r>
          </w:p>
        </w:tc>
        <w:tc>
          <w:tcPr>
            <w:tcW w:w="3455" w:type="dxa"/>
            <w:gridSpan w:val="3"/>
          </w:tcPr>
          <w:p w:rsidR="003D2382" w:rsidRPr="0096649A" w:rsidRDefault="003D2382" w:rsidP="00C71E16">
            <w:pPr>
              <w:jc w:val="center"/>
              <w:rPr>
                <w:rFonts w:asciiTheme="minorEastAsia" w:hAnsiTheme="minorEastAsia"/>
                <w:sz w:val="18"/>
                <w:szCs w:val="18"/>
              </w:rPr>
            </w:pPr>
            <w:r w:rsidRPr="0096649A">
              <w:rPr>
                <w:rFonts w:asciiTheme="minorEastAsia" w:hAnsiTheme="minorEastAsia" w:hint="eastAsia"/>
                <w:sz w:val="18"/>
                <w:szCs w:val="18"/>
              </w:rPr>
              <w:t>在线监测</w:t>
            </w:r>
          </w:p>
        </w:tc>
      </w:tr>
      <w:tr w:rsidR="003D2382" w:rsidRPr="0096649A" w:rsidTr="00C71E16">
        <w:tc>
          <w:tcPr>
            <w:tcW w:w="927" w:type="dxa"/>
            <w:vMerge/>
          </w:tcPr>
          <w:p w:rsidR="003D2382" w:rsidRPr="0096649A" w:rsidRDefault="003D2382" w:rsidP="00C71E16">
            <w:pPr>
              <w:spacing w:line="360" w:lineRule="auto"/>
              <w:jc w:val="center"/>
              <w:rPr>
                <w:rFonts w:asciiTheme="minorEastAsia" w:hAnsiTheme="minorEastAsia"/>
                <w:sz w:val="18"/>
                <w:szCs w:val="18"/>
              </w:rPr>
            </w:pPr>
          </w:p>
        </w:tc>
        <w:tc>
          <w:tcPr>
            <w:tcW w:w="918" w:type="dxa"/>
            <w:vMerge/>
          </w:tcPr>
          <w:p w:rsidR="003D2382" w:rsidRPr="0096649A" w:rsidRDefault="003D2382" w:rsidP="00C71E16">
            <w:pPr>
              <w:jc w:val="center"/>
              <w:rPr>
                <w:rFonts w:asciiTheme="minorEastAsia" w:hAnsiTheme="minorEastAsia"/>
                <w:sz w:val="18"/>
                <w:szCs w:val="18"/>
              </w:rPr>
            </w:pPr>
          </w:p>
        </w:tc>
        <w:tc>
          <w:tcPr>
            <w:tcW w:w="918" w:type="dxa"/>
            <w:vMerge/>
          </w:tcPr>
          <w:p w:rsidR="003D2382" w:rsidRPr="0096649A" w:rsidRDefault="003D2382" w:rsidP="00C71E16">
            <w:pPr>
              <w:jc w:val="center"/>
              <w:rPr>
                <w:rFonts w:asciiTheme="minorEastAsia" w:hAnsiTheme="minorEastAsia"/>
                <w:sz w:val="18"/>
                <w:szCs w:val="18"/>
              </w:rPr>
            </w:pPr>
          </w:p>
        </w:tc>
        <w:tc>
          <w:tcPr>
            <w:tcW w:w="1022" w:type="dxa"/>
            <w:vMerge/>
          </w:tcPr>
          <w:p w:rsidR="003D2382" w:rsidRPr="0096649A" w:rsidRDefault="003D2382" w:rsidP="00C71E16">
            <w:pPr>
              <w:jc w:val="center"/>
              <w:rPr>
                <w:rFonts w:asciiTheme="minorEastAsia" w:hAnsiTheme="minorEastAsia"/>
                <w:sz w:val="18"/>
                <w:szCs w:val="18"/>
              </w:rPr>
            </w:pPr>
          </w:p>
        </w:tc>
        <w:tc>
          <w:tcPr>
            <w:tcW w:w="975" w:type="dxa"/>
            <w:vMerge/>
          </w:tcPr>
          <w:p w:rsidR="003D2382" w:rsidRPr="0096649A" w:rsidRDefault="003D2382" w:rsidP="00C71E16">
            <w:pPr>
              <w:jc w:val="center"/>
              <w:rPr>
                <w:rFonts w:asciiTheme="minorEastAsia" w:hAnsiTheme="minorEastAsia"/>
                <w:sz w:val="18"/>
                <w:szCs w:val="18"/>
              </w:rPr>
            </w:pPr>
          </w:p>
        </w:tc>
        <w:tc>
          <w:tcPr>
            <w:tcW w:w="946" w:type="dxa"/>
            <w:vMerge/>
          </w:tcPr>
          <w:p w:rsidR="003D2382" w:rsidRPr="0096649A" w:rsidRDefault="003D2382" w:rsidP="00C71E16">
            <w:pPr>
              <w:jc w:val="center"/>
              <w:rPr>
                <w:rFonts w:asciiTheme="minorEastAsia" w:hAnsiTheme="minorEastAsia"/>
                <w:sz w:val="18"/>
                <w:szCs w:val="18"/>
              </w:rPr>
            </w:pPr>
          </w:p>
        </w:tc>
        <w:tc>
          <w:tcPr>
            <w:tcW w:w="1300" w:type="dxa"/>
          </w:tcPr>
          <w:p w:rsidR="003D2382" w:rsidRPr="0096649A" w:rsidRDefault="003D2382" w:rsidP="00C71E16">
            <w:pPr>
              <w:jc w:val="center"/>
              <w:rPr>
                <w:rFonts w:asciiTheme="minorEastAsia" w:hAnsiTheme="minorEastAsia"/>
                <w:sz w:val="18"/>
                <w:szCs w:val="18"/>
              </w:rPr>
            </w:pPr>
            <w:r w:rsidRPr="0096649A">
              <w:rPr>
                <w:rFonts w:asciiTheme="minorEastAsia" w:hAnsiTheme="minorEastAsia" w:hint="eastAsia"/>
                <w:sz w:val="18"/>
                <w:szCs w:val="18"/>
              </w:rPr>
              <w:t>来源</w:t>
            </w:r>
          </w:p>
        </w:tc>
        <w:tc>
          <w:tcPr>
            <w:tcW w:w="1216" w:type="dxa"/>
          </w:tcPr>
          <w:p w:rsidR="003D2382" w:rsidRPr="0096649A" w:rsidRDefault="003D2382" w:rsidP="00C71E16">
            <w:pPr>
              <w:jc w:val="center"/>
              <w:rPr>
                <w:rFonts w:asciiTheme="minorEastAsia" w:hAnsiTheme="minorEastAsia"/>
                <w:sz w:val="18"/>
                <w:szCs w:val="18"/>
              </w:rPr>
            </w:pPr>
            <w:r w:rsidRPr="0096649A">
              <w:rPr>
                <w:rFonts w:asciiTheme="minorEastAsia" w:hAnsiTheme="minorEastAsia" w:hint="eastAsia"/>
                <w:sz w:val="18"/>
                <w:szCs w:val="18"/>
              </w:rPr>
              <w:t>计量器具是否独立</w:t>
            </w:r>
          </w:p>
        </w:tc>
        <w:tc>
          <w:tcPr>
            <w:tcW w:w="1134" w:type="dxa"/>
          </w:tcPr>
          <w:p w:rsidR="003D2382" w:rsidRPr="0096649A" w:rsidRDefault="003D2382" w:rsidP="00C71E16">
            <w:pPr>
              <w:jc w:val="center"/>
              <w:rPr>
                <w:rFonts w:asciiTheme="minorEastAsia" w:hAnsiTheme="minorEastAsia"/>
                <w:sz w:val="18"/>
                <w:szCs w:val="18"/>
              </w:rPr>
            </w:pPr>
            <w:r w:rsidRPr="0096649A">
              <w:rPr>
                <w:rFonts w:asciiTheme="minorEastAsia" w:hAnsiTheme="minorEastAsia" w:hint="eastAsia"/>
                <w:sz w:val="18"/>
                <w:szCs w:val="18"/>
              </w:rPr>
              <w:t>来源</w:t>
            </w:r>
          </w:p>
        </w:tc>
        <w:tc>
          <w:tcPr>
            <w:tcW w:w="1255" w:type="dxa"/>
          </w:tcPr>
          <w:p w:rsidR="003D2382" w:rsidRPr="0096649A" w:rsidRDefault="003D2382" w:rsidP="00C71E16">
            <w:pPr>
              <w:jc w:val="center"/>
              <w:rPr>
                <w:rFonts w:asciiTheme="minorEastAsia" w:hAnsiTheme="minorEastAsia"/>
                <w:sz w:val="18"/>
                <w:szCs w:val="18"/>
              </w:rPr>
            </w:pPr>
            <w:r w:rsidRPr="0096649A">
              <w:rPr>
                <w:rFonts w:asciiTheme="minorEastAsia" w:hAnsiTheme="minorEastAsia" w:hint="eastAsia"/>
                <w:sz w:val="18"/>
                <w:szCs w:val="18"/>
              </w:rPr>
              <w:t>参数测量分析频率</w:t>
            </w:r>
          </w:p>
        </w:tc>
        <w:tc>
          <w:tcPr>
            <w:tcW w:w="1009" w:type="dxa"/>
          </w:tcPr>
          <w:p w:rsidR="003D2382" w:rsidRPr="0096649A" w:rsidRDefault="003D2382" w:rsidP="00C71E16">
            <w:pPr>
              <w:jc w:val="center"/>
              <w:rPr>
                <w:rFonts w:asciiTheme="minorEastAsia" w:hAnsiTheme="minorEastAsia"/>
                <w:sz w:val="18"/>
                <w:szCs w:val="18"/>
              </w:rPr>
            </w:pPr>
            <w:r w:rsidRPr="0096649A">
              <w:rPr>
                <w:rFonts w:asciiTheme="minorEastAsia" w:hAnsiTheme="minorEastAsia" w:hint="eastAsia"/>
                <w:sz w:val="18"/>
                <w:szCs w:val="18"/>
              </w:rPr>
              <w:t>是否有</w:t>
            </w:r>
          </w:p>
        </w:tc>
        <w:tc>
          <w:tcPr>
            <w:tcW w:w="1241" w:type="dxa"/>
          </w:tcPr>
          <w:p w:rsidR="003D2382" w:rsidRPr="0096649A" w:rsidRDefault="003D2382" w:rsidP="00C71E16">
            <w:pPr>
              <w:jc w:val="center"/>
              <w:rPr>
                <w:rFonts w:asciiTheme="minorEastAsia" w:hAnsiTheme="minorEastAsia"/>
                <w:sz w:val="18"/>
                <w:szCs w:val="18"/>
              </w:rPr>
            </w:pPr>
            <w:r w:rsidRPr="0096649A">
              <w:rPr>
                <w:rFonts w:asciiTheme="minorEastAsia" w:hAnsiTheme="minorEastAsia" w:hint="eastAsia"/>
                <w:sz w:val="18"/>
                <w:szCs w:val="18"/>
              </w:rPr>
              <w:t>核算周期</w:t>
            </w:r>
          </w:p>
        </w:tc>
        <w:tc>
          <w:tcPr>
            <w:tcW w:w="1205" w:type="dxa"/>
          </w:tcPr>
          <w:p w:rsidR="003D2382" w:rsidRPr="0096649A" w:rsidRDefault="003D2382" w:rsidP="00C71E16">
            <w:pPr>
              <w:jc w:val="center"/>
              <w:rPr>
                <w:rFonts w:asciiTheme="minorEastAsia" w:hAnsiTheme="minorEastAsia"/>
                <w:sz w:val="18"/>
                <w:szCs w:val="18"/>
              </w:rPr>
            </w:pPr>
            <w:r w:rsidRPr="0096649A">
              <w:rPr>
                <w:rFonts w:asciiTheme="minorEastAsia" w:hAnsiTheme="minorEastAsia" w:hint="eastAsia"/>
                <w:sz w:val="18"/>
                <w:szCs w:val="18"/>
              </w:rPr>
              <w:t>交叉验证结果</w:t>
            </w:r>
          </w:p>
        </w:tc>
      </w:tr>
      <w:tr w:rsidR="003D2382" w:rsidRPr="0096649A" w:rsidTr="00C71E16">
        <w:tc>
          <w:tcPr>
            <w:tcW w:w="927" w:type="dxa"/>
          </w:tcPr>
          <w:p w:rsidR="003D2382" w:rsidRPr="0096649A" w:rsidRDefault="003D2382" w:rsidP="00C71E16">
            <w:pPr>
              <w:spacing w:line="360" w:lineRule="auto"/>
              <w:rPr>
                <w:rFonts w:asciiTheme="minorEastAsia" w:hAnsiTheme="minorEastAsia"/>
                <w:sz w:val="18"/>
                <w:szCs w:val="18"/>
              </w:rPr>
            </w:pPr>
            <w:r w:rsidRPr="0096649A">
              <w:rPr>
                <w:rFonts w:asciiTheme="minorEastAsia" w:hAnsiTheme="minorEastAsia" w:hint="eastAsia"/>
                <w:sz w:val="18"/>
                <w:szCs w:val="18"/>
              </w:rPr>
              <w:t>1</w:t>
            </w:r>
          </w:p>
        </w:tc>
        <w:tc>
          <w:tcPr>
            <w:tcW w:w="918" w:type="dxa"/>
          </w:tcPr>
          <w:p w:rsidR="003D2382" w:rsidRPr="0096649A" w:rsidRDefault="003D2382" w:rsidP="00C71E16">
            <w:pPr>
              <w:spacing w:line="360" w:lineRule="auto"/>
              <w:rPr>
                <w:rFonts w:asciiTheme="minorEastAsia" w:hAnsiTheme="minorEastAsia"/>
                <w:sz w:val="18"/>
                <w:szCs w:val="18"/>
              </w:rPr>
            </w:pPr>
          </w:p>
        </w:tc>
        <w:tc>
          <w:tcPr>
            <w:tcW w:w="918" w:type="dxa"/>
          </w:tcPr>
          <w:p w:rsidR="003D2382" w:rsidRPr="0096649A" w:rsidRDefault="003D2382" w:rsidP="00C71E16">
            <w:pPr>
              <w:spacing w:line="360" w:lineRule="auto"/>
              <w:rPr>
                <w:rFonts w:asciiTheme="minorEastAsia" w:hAnsiTheme="minorEastAsia"/>
                <w:sz w:val="18"/>
                <w:szCs w:val="18"/>
              </w:rPr>
            </w:pPr>
          </w:p>
        </w:tc>
        <w:tc>
          <w:tcPr>
            <w:tcW w:w="1022" w:type="dxa"/>
          </w:tcPr>
          <w:p w:rsidR="003D2382" w:rsidRPr="0096649A" w:rsidRDefault="003D2382" w:rsidP="00C71E16">
            <w:pPr>
              <w:spacing w:line="360" w:lineRule="auto"/>
              <w:rPr>
                <w:rFonts w:asciiTheme="minorEastAsia" w:hAnsiTheme="minorEastAsia"/>
                <w:sz w:val="18"/>
                <w:szCs w:val="18"/>
              </w:rPr>
            </w:pPr>
          </w:p>
        </w:tc>
        <w:tc>
          <w:tcPr>
            <w:tcW w:w="975" w:type="dxa"/>
          </w:tcPr>
          <w:p w:rsidR="003D2382" w:rsidRPr="0096649A" w:rsidRDefault="003D2382" w:rsidP="00C71E16">
            <w:pPr>
              <w:spacing w:line="360" w:lineRule="auto"/>
              <w:rPr>
                <w:rFonts w:asciiTheme="minorEastAsia" w:hAnsiTheme="minorEastAsia"/>
                <w:sz w:val="18"/>
                <w:szCs w:val="18"/>
              </w:rPr>
            </w:pPr>
          </w:p>
        </w:tc>
        <w:tc>
          <w:tcPr>
            <w:tcW w:w="946" w:type="dxa"/>
          </w:tcPr>
          <w:p w:rsidR="003D2382" w:rsidRPr="0096649A" w:rsidRDefault="003D2382" w:rsidP="00C71E16">
            <w:pPr>
              <w:spacing w:line="360" w:lineRule="auto"/>
              <w:rPr>
                <w:rFonts w:asciiTheme="minorEastAsia" w:hAnsiTheme="minorEastAsia"/>
                <w:sz w:val="18"/>
                <w:szCs w:val="18"/>
              </w:rPr>
            </w:pPr>
          </w:p>
        </w:tc>
        <w:tc>
          <w:tcPr>
            <w:tcW w:w="1300" w:type="dxa"/>
          </w:tcPr>
          <w:p w:rsidR="003D2382" w:rsidRPr="0096649A" w:rsidRDefault="003D2382" w:rsidP="00C71E16">
            <w:pPr>
              <w:spacing w:line="360" w:lineRule="auto"/>
              <w:rPr>
                <w:rFonts w:asciiTheme="minorEastAsia" w:hAnsiTheme="minorEastAsia"/>
                <w:sz w:val="18"/>
                <w:szCs w:val="18"/>
              </w:rPr>
            </w:pPr>
          </w:p>
        </w:tc>
        <w:tc>
          <w:tcPr>
            <w:tcW w:w="1216" w:type="dxa"/>
          </w:tcPr>
          <w:p w:rsidR="003D2382" w:rsidRPr="0096649A" w:rsidRDefault="003D2382" w:rsidP="00C71E16">
            <w:pPr>
              <w:spacing w:line="360" w:lineRule="auto"/>
              <w:rPr>
                <w:rFonts w:asciiTheme="minorEastAsia" w:hAnsiTheme="minorEastAsia"/>
                <w:sz w:val="18"/>
                <w:szCs w:val="18"/>
              </w:rPr>
            </w:pPr>
          </w:p>
        </w:tc>
        <w:tc>
          <w:tcPr>
            <w:tcW w:w="1134" w:type="dxa"/>
          </w:tcPr>
          <w:p w:rsidR="003D2382" w:rsidRPr="0096649A" w:rsidRDefault="003D2382" w:rsidP="00C71E16">
            <w:pPr>
              <w:spacing w:line="360" w:lineRule="auto"/>
              <w:rPr>
                <w:rFonts w:asciiTheme="minorEastAsia" w:hAnsiTheme="minorEastAsia"/>
                <w:sz w:val="18"/>
                <w:szCs w:val="18"/>
              </w:rPr>
            </w:pPr>
          </w:p>
        </w:tc>
        <w:tc>
          <w:tcPr>
            <w:tcW w:w="1255" w:type="dxa"/>
          </w:tcPr>
          <w:p w:rsidR="003D2382" w:rsidRPr="0096649A" w:rsidRDefault="003D2382" w:rsidP="00C71E16">
            <w:pPr>
              <w:spacing w:line="360" w:lineRule="auto"/>
              <w:rPr>
                <w:rFonts w:asciiTheme="minorEastAsia" w:hAnsiTheme="minorEastAsia"/>
                <w:sz w:val="18"/>
                <w:szCs w:val="18"/>
              </w:rPr>
            </w:pPr>
          </w:p>
        </w:tc>
        <w:tc>
          <w:tcPr>
            <w:tcW w:w="1009" w:type="dxa"/>
          </w:tcPr>
          <w:p w:rsidR="003D2382" w:rsidRPr="0096649A" w:rsidRDefault="003D2382" w:rsidP="00C71E16">
            <w:pPr>
              <w:spacing w:line="360" w:lineRule="auto"/>
              <w:rPr>
                <w:rFonts w:asciiTheme="minorEastAsia" w:hAnsiTheme="minorEastAsia"/>
                <w:sz w:val="18"/>
                <w:szCs w:val="18"/>
              </w:rPr>
            </w:pPr>
          </w:p>
        </w:tc>
        <w:tc>
          <w:tcPr>
            <w:tcW w:w="1241" w:type="dxa"/>
          </w:tcPr>
          <w:p w:rsidR="003D2382" w:rsidRPr="0096649A" w:rsidRDefault="003D2382" w:rsidP="00C71E16">
            <w:pPr>
              <w:spacing w:line="360" w:lineRule="auto"/>
              <w:rPr>
                <w:rFonts w:asciiTheme="minorEastAsia" w:hAnsiTheme="minorEastAsia"/>
                <w:sz w:val="18"/>
                <w:szCs w:val="18"/>
              </w:rPr>
            </w:pPr>
          </w:p>
        </w:tc>
        <w:tc>
          <w:tcPr>
            <w:tcW w:w="1205" w:type="dxa"/>
          </w:tcPr>
          <w:p w:rsidR="003D2382" w:rsidRPr="0096649A" w:rsidRDefault="003D2382" w:rsidP="00C71E16">
            <w:pPr>
              <w:spacing w:line="360" w:lineRule="auto"/>
              <w:rPr>
                <w:rFonts w:asciiTheme="minorEastAsia" w:hAnsiTheme="minorEastAsia"/>
                <w:sz w:val="18"/>
                <w:szCs w:val="18"/>
              </w:rPr>
            </w:pPr>
          </w:p>
        </w:tc>
      </w:tr>
      <w:tr w:rsidR="003D2382" w:rsidRPr="0096649A" w:rsidTr="00C71E16">
        <w:tc>
          <w:tcPr>
            <w:tcW w:w="927" w:type="dxa"/>
          </w:tcPr>
          <w:p w:rsidR="003D2382" w:rsidRPr="0096649A" w:rsidRDefault="003D2382" w:rsidP="00C71E16">
            <w:pPr>
              <w:spacing w:line="360" w:lineRule="auto"/>
              <w:rPr>
                <w:rFonts w:asciiTheme="minorEastAsia" w:hAnsiTheme="minorEastAsia"/>
                <w:sz w:val="18"/>
                <w:szCs w:val="18"/>
              </w:rPr>
            </w:pPr>
            <w:r w:rsidRPr="0096649A">
              <w:rPr>
                <w:rFonts w:asciiTheme="minorEastAsia" w:hAnsiTheme="minorEastAsia" w:hint="eastAsia"/>
                <w:sz w:val="18"/>
                <w:szCs w:val="18"/>
              </w:rPr>
              <w:t>2</w:t>
            </w:r>
          </w:p>
        </w:tc>
        <w:tc>
          <w:tcPr>
            <w:tcW w:w="918" w:type="dxa"/>
          </w:tcPr>
          <w:p w:rsidR="003D2382" w:rsidRPr="0096649A" w:rsidRDefault="003D2382" w:rsidP="00C71E16">
            <w:pPr>
              <w:spacing w:line="360" w:lineRule="auto"/>
              <w:rPr>
                <w:rFonts w:asciiTheme="minorEastAsia" w:hAnsiTheme="minorEastAsia"/>
                <w:sz w:val="18"/>
                <w:szCs w:val="18"/>
              </w:rPr>
            </w:pPr>
          </w:p>
        </w:tc>
        <w:tc>
          <w:tcPr>
            <w:tcW w:w="918" w:type="dxa"/>
          </w:tcPr>
          <w:p w:rsidR="003D2382" w:rsidRPr="0096649A" w:rsidRDefault="003D2382" w:rsidP="00C71E16">
            <w:pPr>
              <w:spacing w:line="360" w:lineRule="auto"/>
              <w:rPr>
                <w:rFonts w:asciiTheme="minorEastAsia" w:hAnsiTheme="minorEastAsia"/>
                <w:sz w:val="18"/>
                <w:szCs w:val="18"/>
              </w:rPr>
            </w:pPr>
          </w:p>
        </w:tc>
        <w:tc>
          <w:tcPr>
            <w:tcW w:w="1022" w:type="dxa"/>
          </w:tcPr>
          <w:p w:rsidR="003D2382" w:rsidRPr="0096649A" w:rsidRDefault="003D2382" w:rsidP="00C71E16">
            <w:pPr>
              <w:spacing w:line="360" w:lineRule="auto"/>
              <w:rPr>
                <w:rFonts w:asciiTheme="minorEastAsia" w:hAnsiTheme="minorEastAsia"/>
                <w:sz w:val="18"/>
                <w:szCs w:val="18"/>
              </w:rPr>
            </w:pPr>
          </w:p>
        </w:tc>
        <w:tc>
          <w:tcPr>
            <w:tcW w:w="975" w:type="dxa"/>
          </w:tcPr>
          <w:p w:rsidR="003D2382" w:rsidRPr="0096649A" w:rsidRDefault="003D2382" w:rsidP="00C71E16">
            <w:pPr>
              <w:spacing w:line="360" w:lineRule="auto"/>
              <w:rPr>
                <w:rFonts w:asciiTheme="minorEastAsia" w:hAnsiTheme="minorEastAsia"/>
                <w:sz w:val="18"/>
                <w:szCs w:val="18"/>
              </w:rPr>
            </w:pPr>
          </w:p>
        </w:tc>
        <w:tc>
          <w:tcPr>
            <w:tcW w:w="946" w:type="dxa"/>
          </w:tcPr>
          <w:p w:rsidR="003D2382" w:rsidRPr="0096649A" w:rsidRDefault="003D2382" w:rsidP="00C71E16">
            <w:pPr>
              <w:spacing w:line="360" w:lineRule="auto"/>
              <w:rPr>
                <w:rFonts w:asciiTheme="minorEastAsia" w:hAnsiTheme="minorEastAsia"/>
                <w:sz w:val="18"/>
                <w:szCs w:val="18"/>
              </w:rPr>
            </w:pPr>
          </w:p>
        </w:tc>
        <w:tc>
          <w:tcPr>
            <w:tcW w:w="1300" w:type="dxa"/>
          </w:tcPr>
          <w:p w:rsidR="003D2382" w:rsidRPr="0096649A" w:rsidRDefault="003D2382" w:rsidP="00C71E16">
            <w:pPr>
              <w:spacing w:line="360" w:lineRule="auto"/>
              <w:rPr>
                <w:rFonts w:asciiTheme="minorEastAsia" w:hAnsiTheme="minorEastAsia"/>
                <w:sz w:val="18"/>
                <w:szCs w:val="18"/>
              </w:rPr>
            </w:pPr>
          </w:p>
        </w:tc>
        <w:tc>
          <w:tcPr>
            <w:tcW w:w="1216" w:type="dxa"/>
          </w:tcPr>
          <w:p w:rsidR="003D2382" w:rsidRPr="0096649A" w:rsidRDefault="003D2382" w:rsidP="00C71E16">
            <w:pPr>
              <w:spacing w:line="360" w:lineRule="auto"/>
              <w:rPr>
                <w:rFonts w:asciiTheme="minorEastAsia" w:hAnsiTheme="minorEastAsia"/>
                <w:sz w:val="18"/>
                <w:szCs w:val="18"/>
              </w:rPr>
            </w:pPr>
          </w:p>
        </w:tc>
        <w:tc>
          <w:tcPr>
            <w:tcW w:w="1134" w:type="dxa"/>
          </w:tcPr>
          <w:p w:rsidR="003D2382" w:rsidRPr="0096649A" w:rsidRDefault="003D2382" w:rsidP="00C71E16">
            <w:pPr>
              <w:spacing w:line="360" w:lineRule="auto"/>
              <w:rPr>
                <w:rFonts w:asciiTheme="minorEastAsia" w:hAnsiTheme="minorEastAsia"/>
                <w:sz w:val="18"/>
                <w:szCs w:val="18"/>
              </w:rPr>
            </w:pPr>
          </w:p>
        </w:tc>
        <w:tc>
          <w:tcPr>
            <w:tcW w:w="1255" w:type="dxa"/>
          </w:tcPr>
          <w:p w:rsidR="003D2382" w:rsidRPr="0096649A" w:rsidRDefault="003D2382" w:rsidP="00C71E16">
            <w:pPr>
              <w:spacing w:line="360" w:lineRule="auto"/>
              <w:rPr>
                <w:rFonts w:asciiTheme="minorEastAsia" w:hAnsiTheme="minorEastAsia"/>
                <w:sz w:val="18"/>
                <w:szCs w:val="18"/>
              </w:rPr>
            </w:pPr>
          </w:p>
        </w:tc>
        <w:tc>
          <w:tcPr>
            <w:tcW w:w="1009" w:type="dxa"/>
          </w:tcPr>
          <w:p w:rsidR="003D2382" w:rsidRPr="0096649A" w:rsidRDefault="003D2382" w:rsidP="00C71E16">
            <w:pPr>
              <w:spacing w:line="360" w:lineRule="auto"/>
              <w:rPr>
                <w:rFonts w:asciiTheme="minorEastAsia" w:hAnsiTheme="minorEastAsia"/>
                <w:sz w:val="18"/>
                <w:szCs w:val="18"/>
              </w:rPr>
            </w:pPr>
          </w:p>
        </w:tc>
        <w:tc>
          <w:tcPr>
            <w:tcW w:w="1241" w:type="dxa"/>
          </w:tcPr>
          <w:p w:rsidR="003D2382" w:rsidRPr="0096649A" w:rsidRDefault="003D2382" w:rsidP="00C71E16">
            <w:pPr>
              <w:spacing w:line="360" w:lineRule="auto"/>
              <w:rPr>
                <w:rFonts w:asciiTheme="minorEastAsia" w:hAnsiTheme="minorEastAsia"/>
                <w:sz w:val="18"/>
                <w:szCs w:val="18"/>
              </w:rPr>
            </w:pPr>
          </w:p>
        </w:tc>
        <w:tc>
          <w:tcPr>
            <w:tcW w:w="1205" w:type="dxa"/>
          </w:tcPr>
          <w:p w:rsidR="003D2382" w:rsidRPr="0096649A" w:rsidRDefault="003D2382" w:rsidP="00C71E16">
            <w:pPr>
              <w:spacing w:line="360" w:lineRule="auto"/>
              <w:rPr>
                <w:rFonts w:asciiTheme="minorEastAsia" w:hAnsiTheme="minorEastAsia"/>
                <w:sz w:val="18"/>
                <w:szCs w:val="18"/>
              </w:rPr>
            </w:pPr>
          </w:p>
        </w:tc>
      </w:tr>
      <w:tr w:rsidR="003D2382" w:rsidRPr="0096649A" w:rsidTr="00C71E16">
        <w:tc>
          <w:tcPr>
            <w:tcW w:w="927" w:type="dxa"/>
          </w:tcPr>
          <w:p w:rsidR="003D2382" w:rsidRPr="0096649A" w:rsidRDefault="003D2382" w:rsidP="00C71E16">
            <w:pPr>
              <w:spacing w:line="360" w:lineRule="auto"/>
              <w:rPr>
                <w:rFonts w:asciiTheme="minorEastAsia" w:hAnsiTheme="minorEastAsia"/>
                <w:sz w:val="18"/>
                <w:szCs w:val="18"/>
              </w:rPr>
            </w:pPr>
            <w:r w:rsidRPr="0096649A">
              <w:rPr>
                <w:rFonts w:asciiTheme="minorEastAsia" w:hAnsiTheme="minorEastAsia" w:hint="eastAsia"/>
                <w:sz w:val="18"/>
                <w:szCs w:val="18"/>
              </w:rPr>
              <w:t>3</w:t>
            </w:r>
          </w:p>
        </w:tc>
        <w:tc>
          <w:tcPr>
            <w:tcW w:w="918" w:type="dxa"/>
          </w:tcPr>
          <w:p w:rsidR="003D2382" w:rsidRPr="0096649A" w:rsidRDefault="003D2382" w:rsidP="00C71E16">
            <w:pPr>
              <w:spacing w:line="360" w:lineRule="auto"/>
              <w:rPr>
                <w:rFonts w:asciiTheme="minorEastAsia" w:hAnsiTheme="minorEastAsia"/>
                <w:sz w:val="18"/>
                <w:szCs w:val="18"/>
              </w:rPr>
            </w:pPr>
          </w:p>
        </w:tc>
        <w:tc>
          <w:tcPr>
            <w:tcW w:w="918" w:type="dxa"/>
          </w:tcPr>
          <w:p w:rsidR="003D2382" w:rsidRPr="0096649A" w:rsidRDefault="003D2382" w:rsidP="00C71E16">
            <w:pPr>
              <w:spacing w:line="360" w:lineRule="auto"/>
              <w:rPr>
                <w:rFonts w:asciiTheme="minorEastAsia" w:hAnsiTheme="minorEastAsia"/>
                <w:sz w:val="18"/>
                <w:szCs w:val="18"/>
              </w:rPr>
            </w:pPr>
          </w:p>
        </w:tc>
        <w:tc>
          <w:tcPr>
            <w:tcW w:w="1022" w:type="dxa"/>
          </w:tcPr>
          <w:p w:rsidR="003D2382" w:rsidRPr="0096649A" w:rsidRDefault="003D2382" w:rsidP="00C71E16">
            <w:pPr>
              <w:spacing w:line="360" w:lineRule="auto"/>
              <w:rPr>
                <w:rFonts w:asciiTheme="minorEastAsia" w:hAnsiTheme="minorEastAsia"/>
                <w:sz w:val="18"/>
                <w:szCs w:val="18"/>
              </w:rPr>
            </w:pPr>
          </w:p>
        </w:tc>
        <w:tc>
          <w:tcPr>
            <w:tcW w:w="975" w:type="dxa"/>
          </w:tcPr>
          <w:p w:rsidR="003D2382" w:rsidRPr="0096649A" w:rsidRDefault="003D2382" w:rsidP="00C71E16">
            <w:pPr>
              <w:spacing w:line="360" w:lineRule="auto"/>
              <w:rPr>
                <w:rFonts w:asciiTheme="minorEastAsia" w:hAnsiTheme="minorEastAsia"/>
                <w:sz w:val="18"/>
                <w:szCs w:val="18"/>
              </w:rPr>
            </w:pPr>
          </w:p>
        </w:tc>
        <w:tc>
          <w:tcPr>
            <w:tcW w:w="946" w:type="dxa"/>
          </w:tcPr>
          <w:p w:rsidR="003D2382" w:rsidRPr="0096649A" w:rsidRDefault="003D2382" w:rsidP="00C71E16">
            <w:pPr>
              <w:spacing w:line="360" w:lineRule="auto"/>
              <w:rPr>
                <w:rFonts w:asciiTheme="minorEastAsia" w:hAnsiTheme="minorEastAsia"/>
                <w:sz w:val="18"/>
                <w:szCs w:val="18"/>
              </w:rPr>
            </w:pPr>
          </w:p>
        </w:tc>
        <w:tc>
          <w:tcPr>
            <w:tcW w:w="1300" w:type="dxa"/>
          </w:tcPr>
          <w:p w:rsidR="003D2382" w:rsidRPr="0096649A" w:rsidRDefault="003D2382" w:rsidP="00C71E16">
            <w:pPr>
              <w:spacing w:line="360" w:lineRule="auto"/>
              <w:rPr>
                <w:rFonts w:asciiTheme="minorEastAsia" w:hAnsiTheme="minorEastAsia"/>
                <w:sz w:val="18"/>
                <w:szCs w:val="18"/>
              </w:rPr>
            </w:pPr>
          </w:p>
        </w:tc>
        <w:tc>
          <w:tcPr>
            <w:tcW w:w="1216" w:type="dxa"/>
          </w:tcPr>
          <w:p w:rsidR="003D2382" w:rsidRPr="0096649A" w:rsidRDefault="003D2382" w:rsidP="00C71E16">
            <w:pPr>
              <w:spacing w:line="360" w:lineRule="auto"/>
              <w:rPr>
                <w:rFonts w:asciiTheme="minorEastAsia" w:hAnsiTheme="minorEastAsia"/>
                <w:sz w:val="18"/>
                <w:szCs w:val="18"/>
              </w:rPr>
            </w:pPr>
          </w:p>
        </w:tc>
        <w:tc>
          <w:tcPr>
            <w:tcW w:w="1134" w:type="dxa"/>
          </w:tcPr>
          <w:p w:rsidR="003D2382" w:rsidRPr="0096649A" w:rsidRDefault="003D2382" w:rsidP="00C71E16">
            <w:pPr>
              <w:spacing w:line="360" w:lineRule="auto"/>
              <w:rPr>
                <w:rFonts w:asciiTheme="minorEastAsia" w:hAnsiTheme="minorEastAsia"/>
                <w:sz w:val="18"/>
                <w:szCs w:val="18"/>
              </w:rPr>
            </w:pPr>
          </w:p>
        </w:tc>
        <w:tc>
          <w:tcPr>
            <w:tcW w:w="1255" w:type="dxa"/>
          </w:tcPr>
          <w:p w:rsidR="003D2382" w:rsidRPr="0096649A" w:rsidRDefault="003D2382" w:rsidP="00C71E16">
            <w:pPr>
              <w:spacing w:line="360" w:lineRule="auto"/>
              <w:rPr>
                <w:rFonts w:asciiTheme="minorEastAsia" w:hAnsiTheme="minorEastAsia"/>
                <w:sz w:val="18"/>
                <w:szCs w:val="18"/>
              </w:rPr>
            </w:pPr>
          </w:p>
        </w:tc>
        <w:tc>
          <w:tcPr>
            <w:tcW w:w="1009" w:type="dxa"/>
          </w:tcPr>
          <w:p w:rsidR="003D2382" w:rsidRPr="0096649A" w:rsidRDefault="003D2382" w:rsidP="00C71E16">
            <w:pPr>
              <w:spacing w:line="360" w:lineRule="auto"/>
              <w:rPr>
                <w:rFonts w:asciiTheme="minorEastAsia" w:hAnsiTheme="minorEastAsia"/>
                <w:sz w:val="18"/>
                <w:szCs w:val="18"/>
              </w:rPr>
            </w:pPr>
          </w:p>
        </w:tc>
        <w:tc>
          <w:tcPr>
            <w:tcW w:w="1241" w:type="dxa"/>
          </w:tcPr>
          <w:p w:rsidR="003D2382" w:rsidRPr="0096649A" w:rsidRDefault="003D2382" w:rsidP="00C71E16">
            <w:pPr>
              <w:spacing w:line="360" w:lineRule="auto"/>
              <w:rPr>
                <w:rFonts w:asciiTheme="minorEastAsia" w:hAnsiTheme="minorEastAsia"/>
                <w:sz w:val="18"/>
                <w:szCs w:val="18"/>
              </w:rPr>
            </w:pPr>
          </w:p>
        </w:tc>
        <w:tc>
          <w:tcPr>
            <w:tcW w:w="1205" w:type="dxa"/>
          </w:tcPr>
          <w:p w:rsidR="003D2382" w:rsidRPr="0096649A" w:rsidRDefault="003D2382" w:rsidP="00C71E16">
            <w:pPr>
              <w:spacing w:line="360" w:lineRule="auto"/>
              <w:rPr>
                <w:rFonts w:asciiTheme="minorEastAsia" w:hAnsiTheme="minorEastAsia"/>
                <w:sz w:val="18"/>
                <w:szCs w:val="18"/>
              </w:rPr>
            </w:pPr>
          </w:p>
        </w:tc>
      </w:tr>
      <w:tr w:rsidR="003D2382" w:rsidRPr="0096649A" w:rsidTr="00C71E16">
        <w:tc>
          <w:tcPr>
            <w:tcW w:w="927" w:type="dxa"/>
          </w:tcPr>
          <w:p w:rsidR="003D2382" w:rsidRPr="0096649A" w:rsidRDefault="003D2382" w:rsidP="00C71E16">
            <w:pPr>
              <w:spacing w:line="360" w:lineRule="auto"/>
              <w:rPr>
                <w:rFonts w:asciiTheme="minorEastAsia" w:hAnsiTheme="minorEastAsia"/>
                <w:sz w:val="18"/>
                <w:szCs w:val="18"/>
              </w:rPr>
            </w:pPr>
            <w:r w:rsidRPr="0096649A">
              <w:rPr>
                <w:rFonts w:asciiTheme="minorEastAsia" w:hAnsiTheme="minorEastAsia" w:hint="eastAsia"/>
                <w:sz w:val="18"/>
                <w:szCs w:val="18"/>
              </w:rPr>
              <w:t>……</w:t>
            </w:r>
          </w:p>
        </w:tc>
        <w:tc>
          <w:tcPr>
            <w:tcW w:w="918" w:type="dxa"/>
          </w:tcPr>
          <w:p w:rsidR="003D2382" w:rsidRPr="0096649A" w:rsidRDefault="003D2382" w:rsidP="00C71E16">
            <w:pPr>
              <w:spacing w:line="360" w:lineRule="auto"/>
              <w:rPr>
                <w:rFonts w:asciiTheme="minorEastAsia" w:hAnsiTheme="minorEastAsia"/>
                <w:sz w:val="18"/>
                <w:szCs w:val="18"/>
              </w:rPr>
            </w:pPr>
          </w:p>
        </w:tc>
        <w:tc>
          <w:tcPr>
            <w:tcW w:w="918" w:type="dxa"/>
          </w:tcPr>
          <w:p w:rsidR="003D2382" w:rsidRPr="0096649A" w:rsidRDefault="003D2382" w:rsidP="00C71E16">
            <w:pPr>
              <w:spacing w:line="360" w:lineRule="auto"/>
              <w:rPr>
                <w:rFonts w:asciiTheme="minorEastAsia" w:hAnsiTheme="minorEastAsia"/>
                <w:sz w:val="18"/>
                <w:szCs w:val="18"/>
              </w:rPr>
            </w:pPr>
          </w:p>
        </w:tc>
        <w:tc>
          <w:tcPr>
            <w:tcW w:w="1022" w:type="dxa"/>
          </w:tcPr>
          <w:p w:rsidR="003D2382" w:rsidRPr="0096649A" w:rsidRDefault="003D2382" w:rsidP="00C71E16">
            <w:pPr>
              <w:spacing w:line="360" w:lineRule="auto"/>
              <w:rPr>
                <w:rFonts w:asciiTheme="minorEastAsia" w:hAnsiTheme="minorEastAsia"/>
                <w:sz w:val="18"/>
                <w:szCs w:val="18"/>
              </w:rPr>
            </w:pPr>
          </w:p>
        </w:tc>
        <w:tc>
          <w:tcPr>
            <w:tcW w:w="975" w:type="dxa"/>
          </w:tcPr>
          <w:p w:rsidR="003D2382" w:rsidRPr="0096649A" w:rsidRDefault="003D2382" w:rsidP="00C71E16">
            <w:pPr>
              <w:spacing w:line="360" w:lineRule="auto"/>
              <w:rPr>
                <w:rFonts w:asciiTheme="minorEastAsia" w:hAnsiTheme="minorEastAsia"/>
                <w:sz w:val="18"/>
                <w:szCs w:val="18"/>
              </w:rPr>
            </w:pPr>
          </w:p>
        </w:tc>
        <w:tc>
          <w:tcPr>
            <w:tcW w:w="946" w:type="dxa"/>
          </w:tcPr>
          <w:p w:rsidR="003D2382" w:rsidRPr="0096649A" w:rsidRDefault="003D2382" w:rsidP="00C71E16">
            <w:pPr>
              <w:spacing w:line="360" w:lineRule="auto"/>
              <w:rPr>
                <w:rFonts w:asciiTheme="minorEastAsia" w:hAnsiTheme="minorEastAsia"/>
                <w:sz w:val="18"/>
                <w:szCs w:val="18"/>
              </w:rPr>
            </w:pPr>
          </w:p>
        </w:tc>
        <w:tc>
          <w:tcPr>
            <w:tcW w:w="1300" w:type="dxa"/>
          </w:tcPr>
          <w:p w:rsidR="003D2382" w:rsidRPr="0096649A" w:rsidRDefault="003D2382" w:rsidP="00C71E16">
            <w:pPr>
              <w:spacing w:line="360" w:lineRule="auto"/>
              <w:rPr>
                <w:rFonts w:asciiTheme="minorEastAsia" w:hAnsiTheme="minorEastAsia"/>
                <w:sz w:val="18"/>
                <w:szCs w:val="18"/>
              </w:rPr>
            </w:pPr>
          </w:p>
        </w:tc>
        <w:tc>
          <w:tcPr>
            <w:tcW w:w="1216" w:type="dxa"/>
          </w:tcPr>
          <w:p w:rsidR="003D2382" w:rsidRPr="0096649A" w:rsidRDefault="003D2382" w:rsidP="00C71E16">
            <w:pPr>
              <w:spacing w:line="360" w:lineRule="auto"/>
              <w:rPr>
                <w:rFonts w:asciiTheme="minorEastAsia" w:hAnsiTheme="minorEastAsia"/>
                <w:sz w:val="18"/>
                <w:szCs w:val="18"/>
              </w:rPr>
            </w:pPr>
          </w:p>
        </w:tc>
        <w:tc>
          <w:tcPr>
            <w:tcW w:w="1134" w:type="dxa"/>
          </w:tcPr>
          <w:p w:rsidR="003D2382" w:rsidRPr="0096649A" w:rsidRDefault="003D2382" w:rsidP="00C71E16">
            <w:pPr>
              <w:spacing w:line="360" w:lineRule="auto"/>
              <w:rPr>
                <w:rFonts w:asciiTheme="minorEastAsia" w:hAnsiTheme="minorEastAsia"/>
                <w:sz w:val="18"/>
                <w:szCs w:val="18"/>
              </w:rPr>
            </w:pPr>
          </w:p>
        </w:tc>
        <w:tc>
          <w:tcPr>
            <w:tcW w:w="1255" w:type="dxa"/>
          </w:tcPr>
          <w:p w:rsidR="003D2382" w:rsidRPr="0096649A" w:rsidRDefault="003D2382" w:rsidP="00C71E16">
            <w:pPr>
              <w:spacing w:line="360" w:lineRule="auto"/>
              <w:rPr>
                <w:rFonts w:asciiTheme="minorEastAsia" w:hAnsiTheme="minorEastAsia"/>
                <w:sz w:val="18"/>
                <w:szCs w:val="18"/>
              </w:rPr>
            </w:pPr>
          </w:p>
        </w:tc>
        <w:tc>
          <w:tcPr>
            <w:tcW w:w="1009" w:type="dxa"/>
          </w:tcPr>
          <w:p w:rsidR="003D2382" w:rsidRPr="0096649A" w:rsidRDefault="003D2382" w:rsidP="00C71E16">
            <w:pPr>
              <w:spacing w:line="360" w:lineRule="auto"/>
              <w:rPr>
                <w:rFonts w:asciiTheme="minorEastAsia" w:hAnsiTheme="minorEastAsia"/>
                <w:sz w:val="18"/>
                <w:szCs w:val="18"/>
              </w:rPr>
            </w:pPr>
          </w:p>
        </w:tc>
        <w:tc>
          <w:tcPr>
            <w:tcW w:w="1241" w:type="dxa"/>
          </w:tcPr>
          <w:p w:rsidR="003D2382" w:rsidRPr="0096649A" w:rsidRDefault="003D2382" w:rsidP="00C71E16">
            <w:pPr>
              <w:spacing w:line="360" w:lineRule="auto"/>
              <w:rPr>
                <w:rFonts w:asciiTheme="minorEastAsia" w:hAnsiTheme="minorEastAsia"/>
                <w:sz w:val="18"/>
                <w:szCs w:val="18"/>
              </w:rPr>
            </w:pPr>
          </w:p>
        </w:tc>
        <w:tc>
          <w:tcPr>
            <w:tcW w:w="1205" w:type="dxa"/>
          </w:tcPr>
          <w:p w:rsidR="003D2382" w:rsidRPr="0096649A" w:rsidRDefault="003D2382" w:rsidP="00C71E16">
            <w:pPr>
              <w:spacing w:line="360" w:lineRule="auto"/>
              <w:rPr>
                <w:rFonts w:asciiTheme="minorEastAsia" w:hAnsiTheme="minorEastAsia"/>
                <w:sz w:val="18"/>
                <w:szCs w:val="18"/>
              </w:rPr>
            </w:pPr>
          </w:p>
        </w:tc>
      </w:tr>
    </w:tbl>
    <w:p w:rsidR="003D2382" w:rsidRDefault="007C3AEB" w:rsidP="007C3AEB">
      <w:pPr>
        <w:pStyle w:val="af5"/>
        <w:ind w:left="-142"/>
      </w:pPr>
      <w:r>
        <w:br w:type="page"/>
      </w:r>
      <w:r w:rsidR="003D2382">
        <w:lastRenderedPageBreak/>
        <w:br/>
      </w:r>
      <w:bookmarkStart w:id="83" w:name="_Toc9924511"/>
      <w:r w:rsidR="003D2382">
        <w:rPr>
          <w:rFonts w:hint="eastAsia"/>
        </w:rPr>
        <w:t>（资料性附录）</w:t>
      </w:r>
      <w:r w:rsidR="003D2382">
        <w:br/>
      </w:r>
      <w:r w:rsidR="003D2382" w:rsidRPr="003D2382">
        <w:rPr>
          <w:rFonts w:hint="eastAsia"/>
        </w:rPr>
        <w:t>数据流活动任务列表示例</w:t>
      </w:r>
      <w:bookmarkEnd w:id="83"/>
    </w:p>
    <w:p w:rsidR="003D2382" w:rsidRDefault="003D2382" w:rsidP="003D2382">
      <w:pPr>
        <w:rPr>
          <w:b/>
        </w:rPr>
      </w:pPr>
      <w:bookmarkStart w:id="84" w:name="BKCKWX"/>
      <w:r>
        <w:rPr>
          <w:noProof/>
        </w:rPr>
        <w:drawing>
          <wp:inline distT="0" distB="0" distL="0" distR="0" wp14:anchorId="525BE0E3" wp14:editId="29CF3B62">
            <wp:extent cx="5974564" cy="559424"/>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6234834" cy="583794"/>
                    </a:xfrm>
                    <a:prstGeom prst="rect">
                      <a:avLst/>
                    </a:prstGeom>
                  </pic:spPr>
                </pic:pic>
              </a:graphicData>
            </a:graphic>
          </wp:inline>
        </w:drawing>
      </w:r>
    </w:p>
    <w:p w:rsidR="003D2382" w:rsidRDefault="003D2382" w:rsidP="003D2382">
      <w:pPr>
        <w:rPr>
          <w:b/>
        </w:rPr>
      </w:pPr>
    </w:p>
    <w:p w:rsidR="003D2382" w:rsidRPr="0096649A" w:rsidRDefault="003D2382" w:rsidP="003D2382">
      <w:pPr>
        <w:pStyle w:val="afffffff0"/>
        <w:spacing w:beforeLines="50" w:before="156" w:afterLines="50" w:after="156"/>
        <w:rPr>
          <w:rFonts w:ascii="黑体" w:eastAsia="黑体"/>
          <w:b w:val="0"/>
          <w:sz w:val="18"/>
          <w:szCs w:val="18"/>
        </w:rPr>
      </w:pPr>
      <w:r w:rsidRPr="0096649A">
        <w:rPr>
          <w:rFonts w:ascii="黑体" w:eastAsia="黑体" w:hint="eastAsia"/>
          <w:b w:val="0"/>
          <w:sz w:val="18"/>
          <w:szCs w:val="18"/>
        </w:rPr>
        <w:t>图</w:t>
      </w:r>
      <w:r w:rsidRPr="0096649A">
        <w:rPr>
          <w:rFonts w:ascii="黑体" w:eastAsia="黑体"/>
          <w:b w:val="0"/>
          <w:sz w:val="18"/>
          <w:szCs w:val="18"/>
        </w:rPr>
        <w:t xml:space="preserve">C.1  </w:t>
      </w:r>
      <w:r w:rsidRPr="0096649A">
        <w:rPr>
          <w:rFonts w:ascii="黑体" w:eastAsia="黑体" w:hint="eastAsia"/>
          <w:b w:val="0"/>
          <w:sz w:val="18"/>
          <w:szCs w:val="18"/>
        </w:rPr>
        <w:t>数据流活动示意图</w:t>
      </w:r>
    </w:p>
    <w:p w:rsidR="003D2382" w:rsidRPr="0096649A" w:rsidRDefault="003D2382" w:rsidP="003D2382">
      <w:pPr>
        <w:pStyle w:val="afffffff0"/>
        <w:spacing w:beforeLines="50" w:before="156" w:afterLines="50" w:after="156"/>
        <w:rPr>
          <w:rFonts w:ascii="黑体" w:eastAsia="黑体"/>
          <w:b w:val="0"/>
          <w:sz w:val="18"/>
          <w:szCs w:val="18"/>
        </w:rPr>
      </w:pPr>
      <w:r w:rsidRPr="0096649A">
        <w:rPr>
          <w:rFonts w:ascii="黑体" w:eastAsia="黑体" w:hint="eastAsia"/>
          <w:b w:val="0"/>
          <w:sz w:val="18"/>
          <w:szCs w:val="18"/>
        </w:rPr>
        <w:t>表</w:t>
      </w:r>
      <w:r w:rsidRPr="0096649A">
        <w:rPr>
          <w:rFonts w:ascii="黑体" w:eastAsia="黑体"/>
          <w:b w:val="0"/>
          <w:sz w:val="18"/>
          <w:szCs w:val="18"/>
        </w:rPr>
        <w:t>C.</w:t>
      </w:r>
      <w:r w:rsidRPr="0096649A">
        <w:rPr>
          <w:rFonts w:ascii="黑体" w:eastAsia="黑体" w:hint="eastAsia"/>
          <w:b w:val="0"/>
          <w:sz w:val="18"/>
          <w:szCs w:val="18"/>
        </w:rPr>
        <w:t>2</w:t>
      </w:r>
      <w:r w:rsidRPr="0096649A">
        <w:rPr>
          <w:rFonts w:ascii="黑体" w:eastAsia="黑体"/>
          <w:b w:val="0"/>
          <w:sz w:val="18"/>
          <w:szCs w:val="18"/>
        </w:rPr>
        <w:t xml:space="preserve">  </w:t>
      </w:r>
      <w:r w:rsidRPr="0096649A">
        <w:rPr>
          <w:rFonts w:ascii="黑体" w:eastAsia="黑体" w:hint="eastAsia"/>
          <w:b w:val="0"/>
          <w:sz w:val="18"/>
          <w:szCs w:val="18"/>
        </w:rPr>
        <w:t>数据流活动任务列表示例</w:t>
      </w:r>
    </w:p>
    <w:tbl>
      <w:tblPr>
        <w:tblStyle w:val="afffffa"/>
        <w:tblW w:w="0" w:type="auto"/>
        <w:tblLook w:val="04A0" w:firstRow="1" w:lastRow="0" w:firstColumn="1" w:lastColumn="0" w:noHBand="0" w:noVBand="1"/>
      </w:tblPr>
      <w:tblGrid>
        <w:gridCol w:w="869"/>
        <w:gridCol w:w="1277"/>
        <w:gridCol w:w="1193"/>
        <w:gridCol w:w="1172"/>
        <w:gridCol w:w="1214"/>
        <w:gridCol w:w="1122"/>
        <w:gridCol w:w="1108"/>
        <w:gridCol w:w="1389"/>
      </w:tblGrid>
      <w:tr w:rsidR="003D2382" w:rsidRPr="0096649A" w:rsidTr="007C3AEB">
        <w:tc>
          <w:tcPr>
            <w:tcW w:w="9344" w:type="dxa"/>
            <w:gridSpan w:val="8"/>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 xml:space="preserve">排放源名称： </w:t>
            </w:r>
          </w:p>
        </w:tc>
      </w:tr>
      <w:tr w:rsidR="003D2382" w:rsidRPr="0096649A" w:rsidTr="007C3AEB">
        <w:tc>
          <w:tcPr>
            <w:tcW w:w="9344" w:type="dxa"/>
            <w:gridSpan w:val="8"/>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 xml:space="preserve">核算公式及主要参数: </w:t>
            </w:r>
          </w:p>
        </w:tc>
      </w:tr>
      <w:tr w:rsidR="003D2382" w:rsidRPr="0096649A" w:rsidTr="007C3AEB">
        <w:tc>
          <w:tcPr>
            <w:tcW w:w="4511" w:type="dxa"/>
            <w:gridSpan w:val="4"/>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核算参数1：</w:t>
            </w:r>
          </w:p>
        </w:tc>
        <w:tc>
          <w:tcPr>
            <w:tcW w:w="4833" w:type="dxa"/>
            <w:gridSpan w:val="4"/>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数据源：</w:t>
            </w:r>
          </w:p>
        </w:tc>
      </w:tr>
      <w:tr w:rsidR="003D2382" w:rsidRPr="0096649A" w:rsidTr="007C3AEB">
        <w:trPr>
          <w:trHeight w:val="507"/>
        </w:trPr>
        <w:tc>
          <w:tcPr>
            <w:tcW w:w="86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活动序号</w:t>
            </w:r>
          </w:p>
        </w:tc>
        <w:tc>
          <w:tcPr>
            <w:tcW w:w="1277"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数据流活动</w:t>
            </w:r>
          </w:p>
        </w:tc>
        <w:tc>
          <w:tcPr>
            <w:tcW w:w="1193"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 xml:space="preserve">数据收集部门　</w:t>
            </w:r>
          </w:p>
        </w:tc>
        <w:tc>
          <w:tcPr>
            <w:tcW w:w="117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直属负责人</w:t>
            </w:r>
          </w:p>
        </w:tc>
        <w:tc>
          <w:tcPr>
            <w:tcW w:w="1214"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工作内容</w:t>
            </w:r>
          </w:p>
        </w:tc>
        <w:tc>
          <w:tcPr>
            <w:tcW w:w="112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工作地点</w:t>
            </w:r>
          </w:p>
        </w:tc>
        <w:tc>
          <w:tcPr>
            <w:tcW w:w="1108"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工作时间和频率</w:t>
            </w:r>
          </w:p>
        </w:tc>
        <w:tc>
          <w:tcPr>
            <w:tcW w:w="138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bookmarkStart w:id="85" w:name="OLE_LINK17"/>
            <w:bookmarkStart w:id="86" w:name="OLE_LINK18"/>
            <w:r w:rsidRPr="0096649A">
              <w:rPr>
                <w:rFonts w:asciiTheme="minorEastAsia" w:eastAsiaTheme="minorEastAsia" w:hAnsiTheme="minorEastAsia" w:hint="eastAsia"/>
                <w:b w:val="0"/>
                <w:sz w:val="18"/>
                <w:szCs w:val="18"/>
              </w:rPr>
              <w:t xml:space="preserve">数据存档方式及档案文件名称　</w:t>
            </w:r>
            <w:bookmarkEnd w:id="85"/>
            <w:bookmarkEnd w:id="86"/>
          </w:p>
        </w:tc>
      </w:tr>
      <w:tr w:rsidR="003D2382" w:rsidRPr="0096649A" w:rsidTr="007C3AEB">
        <w:tc>
          <w:tcPr>
            <w:tcW w:w="86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１</w:t>
            </w:r>
          </w:p>
        </w:tc>
        <w:tc>
          <w:tcPr>
            <w:tcW w:w="1277"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93"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7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214"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2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08"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38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r>
      <w:tr w:rsidR="003D2382" w:rsidRPr="0096649A" w:rsidTr="007C3AEB">
        <w:tc>
          <w:tcPr>
            <w:tcW w:w="86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２</w:t>
            </w:r>
          </w:p>
        </w:tc>
        <w:tc>
          <w:tcPr>
            <w:tcW w:w="1277"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93"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7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214"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2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08"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38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r>
      <w:tr w:rsidR="003D2382" w:rsidRPr="0096649A" w:rsidTr="007C3AEB">
        <w:tc>
          <w:tcPr>
            <w:tcW w:w="86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３</w:t>
            </w:r>
          </w:p>
        </w:tc>
        <w:tc>
          <w:tcPr>
            <w:tcW w:w="1277"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93"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7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214"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2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08"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38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r>
      <w:tr w:rsidR="003D2382" w:rsidRPr="0096649A" w:rsidTr="007C3AEB">
        <w:tc>
          <w:tcPr>
            <w:tcW w:w="86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４</w:t>
            </w:r>
          </w:p>
        </w:tc>
        <w:tc>
          <w:tcPr>
            <w:tcW w:w="1277"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93"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7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214"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2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08"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38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r>
      <w:tr w:rsidR="003D2382" w:rsidRPr="0096649A" w:rsidTr="007C3AEB">
        <w:tc>
          <w:tcPr>
            <w:tcW w:w="4511" w:type="dxa"/>
            <w:gridSpan w:val="4"/>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核算参数２：</w:t>
            </w:r>
          </w:p>
        </w:tc>
        <w:tc>
          <w:tcPr>
            <w:tcW w:w="4833" w:type="dxa"/>
            <w:gridSpan w:val="4"/>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数据源：</w:t>
            </w:r>
          </w:p>
        </w:tc>
      </w:tr>
      <w:tr w:rsidR="003D2382" w:rsidRPr="0096649A" w:rsidTr="007C3AEB">
        <w:tc>
          <w:tcPr>
            <w:tcW w:w="86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活动序号</w:t>
            </w:r>
          </w:p>
        </w:tc>
        <w:tc>
          <w:tcPr>
            <w:tcW w:w="1277"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数据流活动</w:t>
            </w:r>
          </w:p>
        </w:tc>
        <w:tc>
          <w:tcPr>
            <w:tcW w:w="1193"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 xml:space="preserve">数据收集部门　</w:t>
            </w:r>
          </w:p>
        </w:tc>
        <w:tc>
          <w:tcPr>
            <w:tcW w:w="117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直属负责人</w:t>
            </w:r>
          </w:p>
        </w:tc>
        <w:tc>
          <w:tcPr>
            <w:tcW w:w="1214"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工作内容</w:t>
            </w:r>
          </w:p>
        </w:tc>
        <w:tc>
          <w:tcPr>
            <w:tcW w:w="112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工作地点</w:t>
            </w:r>
          </w:p>
        </w:tc>
        <w:tc>
          <w:tcPr>
            <w:tcW w:w="1108"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工作时间和频率</w:t>
            </w:r>
          </w:p>
        </w:tc>
        <w:tc>
          <w:tcPr>
            <w:tcW w:w="138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 xml:space="preserve">数据存档方式及档案文件名称　</w:t>
            </w:r>
          </w:p>
        </w:tc>
      </w:tr>
      <w:tr w:rsidR="003D2382" w:rsidRPr="0096649A" w:rsidTr="007C3AEB">
        <w:tc>
          <w:tcPr>
            <w:tcW w:w="86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１</w:t>
            </w:r>
          </w:p>
        </w:tc>
        <w:tc>
          <w:tcPr>
            <w:tcW w:w="1277"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93"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7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214"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2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08"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38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r>
      <w:tr w:rsidR="003D2382" w:rsidRPr="0096649A" w:rsidTr="007C3AEB">
        <w:tc>
          <w:tcPr>
            <w:tcW w:w="86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２</w:t>
            </w:r>
          </w:p>
        </w:tc>
        <w:tc>
          <w:tcPr>
            <w:tcW w:w="1277"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93"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7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214"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2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08"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38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r>
      <w:tr w:rsidR="003D2382" w:rsidRPr="0096649A" w:rsidTr="007C3AEB">
        <w:tc>
          <w:tcPr>
            <w:tcW w:w="86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３</w:t>
            </w:r>
          </w:p>
        </w:tc>
        <w:tc>
          <w:tcPr>
            <w:tcW w:w="1277"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93"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7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214"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22"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108"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c>
          <w:tcPr>
            <w:tcW w:w="1389" w:type="dxa"/>
          </w:tcPr>
          <w:p w:rsidR="003D2382" w:rsidRPr="0096649A" w:rsidRDefault="003D2382" w:rsidP="00C71E16">
            <w:pPr>
              <w:pStyle w:val="afffffff0"/>
              <w:spacing w:beforeLines="50" w:before="156" w:afterLines="50" w:after="156"/>
              <w:jc w:val="both"/>
              <w:rPr>
                <w:rFonts w:asciiTheme="minorEastAsia" w:eastAsiaTheme="minorEastAsia" w:hAnsiTheme="minorEastAsia"/>
                <w:b w:val="0"/>
                <w:sz w:val="18"/>
                <w:szCs w:val="18"/>
              </w:rPr>
            </w:pPr>
          </w:p>
        </w:tc>
      </w:tr>
      <w:tr w:rsidR="007C3AEB" w:rsidRPr="0096649A" w:rsidTr="007C3AEB">
        <w:tc>
          <w:tcPr>
            <w:tcW w:w="869" w:type="dxa"/>
          </w:tcPr>
          <w:p w:rsidR="007C3AEB" w:rsidRPr="0096649A" w:rsidRDefault="007C3AEB" w:rsidP="00C71E16">
            <w:pPr>
              <w:pStyle w:val="afffffff0"/>
              <w:spacing w:beforeLines="50" w:before="156" w:afterLines="50" w:after="156"/>
              <w:jc w:val="both"/>
              <w:rPr>
                <w:rFonts w:asciiTheme="minorEastAsia" w:eastAsiaTheme="minorEastAsia" w:hAnsiTheme="minorEastAsia"/>
                <w:b w:val="0"/>
                <w:sz w:val="18"/>
                <w:szCs w:val="18"/>
              </w:rPr>
            </w:pPr>
            <w:r w:rsidRPr="0096649A">
              <w:rPr>
                <w:rFonts w:asciiTheme="minorEastAsia" w:eastAsiaTheme="minorEastAsia" w:hAnsiTheme="minorEastAsia" w:hint="eastAsia"/>
                <w:b w:val="0"/>
                <w:sz w:val="18"/>
                <w:szCs w:val="18"/>
              </w:rPr>
              <w:t>４</w:t>
            </w:r>
          </w:p>
        </w:tc>
        <w:tc>
          <w:tcPr>
            <w:tcW w:w="1277" w:type="dxa"/>
          </w:tcPr>
          <w:p w:rsidR="007C3AEB" w:rsidRPr="0096649A" w:rsidRDefault="007C3AEB" w:rsidP="00C71E16">
            <w:pPr>
              <w:pStyle w:val="afffffff0"/>
              <w:spacing w:beforeLines="50" w:before="156" w:afterLines="50" w:after="156"/>
              <w:jc w:val="both"/>
              <w:rPr>
                <w:rFonts w:asciiTheme="minorEastAsia" w:eastAsiaTheme="minorEastAsia" w:hAnsiTheme="minorEastAsia"/>
                <w:b w:val="0"/>
                <w:sz w:val="18"/>
                <w:szCs w:val="18"/>
              </w:rPr>
            </w:pPr>
          </w:p>
        </w:tc>
        <w:tc>
          <w:tcPr>
            <w:tcW w:w="1193" w:type="dxa"/>
          </w:tcPr>
          <w:p w:rsidR="007C3AEB" w:rsidRPr="0096649A" w:rsidRDefault="007C3AEB" w:rsidP="00C71E16">
            <w:pPr>
              <w:pStyle w:val="afffffff0"/>
              <w:spacing w:beforeLines="50" w:before="156" w:afterLines="50" w:after="156"/>
              <w:jc w:val="both"/>
              <w:rPr>
                <w:rFonts w:asciiTheme="minorEastAsia" w:eastAsiaTheme="minorEastAsia" w:hAnsiTheme="minorEastAsia"/>
                <w:b w:val="0"/>
                <w:sz w:val="18"/>
                <w:szCs w:val="18"/>
              </w:rPr>
            </w:pPr>
          </w:p>
        </w:tc>
        <w:tc>
          <w:tcPr>
            <w:tcW w:w="1172" w:type="dxa"/>
          </w:tcPr>
          <w:p w:rsidR="007C3AEB" w:rsidRPr="0096649A" w:rsidRDefault="007C3AEB" w:rsidP="00C71E16">
            <w:pPr>
              <w:pStyle w:val="afffffff0"/>
              <w:spacing w:beforeLines="50" w:before="156" w:afterLines="50" w:after="156"/>
              <w:jc w:val="both"/>
              <w:rPr>
                <w:rFonts w:asciiTheme="minorEastAsia" w:eastAsiaTheme="minorEastAsia" w:hAnsiTheme="minorEastAsia"/>
                <w:b w:val="0"/>
                <w:sz w:val="18"/>
                <w:szCs w:val="18"/>
              </w:rPr>
            </w:pPr>
          </w:p>
        </w:tc>
        <w:tc>
          <w:tcPr>
            <w:tcW w:w="1214" w:type="dxa"/>
          </w:tcPr>
          <w:p w:rsidR="007C3AEB" w:rsidRPr="0096649A" w:rsidRDefault="007C3AEB" w:rsidP="00C71E16">
            <w:pPr>
              <w:pStyle w:val="afffffff0"/>
              <w:spacing w:beforeLines="50" w:before="156" w:afterLines="50" w:after="156"/>
              <w:jc w:val="both"/>
              <w:rPr>
                <w:rFonts w:asciiTheme="minorEastAsia" w:eastAsiaTheme="minorEastAsia" w:hAnsiTheme="minorEastAsia"/>
                <w:b w:val="0"/>
                <w:sz w:val="18"/>
                <w:szCs w:val="18"/>
              </w:rPr>
            </w:pPr>
          </w:p>
        </w:tc>
        <w:tc>
          <w:tcPr>
            <w:tcW w:w="1122" w:type="dxa"/>
          </w:tcPr>
          <w:p w:rsidR="007C3AEB" w:rsidRPr="0096649A" w:rsidRDefault="007C3AEB" w:rsidP="00C71E16">
            <w:pPr>
              <w:pStyle w:val="afffffff0"/>
              <w:spacing w:beforeLines="50" w:before="156" w:afterLines="50" w:after="156"/>
              <w:jc w:val="both"/>
              <w:rPr>
                <w:rFonts w:asciiTheme="minorEastAsia" w:eastAsiaTheme="minorEastAsia" w:hAnsiTheme="minorEastAsia"/>
                <w:b w:val="0"/>
                <w:sz w:val="18"/>
                <w:szCs w:val="18"/>
              </w:rPr>
            </w:pPr>
          </w:p>
        </w:tc>
        <w:tc>
          <w:tcPr>
            <w:tcW w:w="1108" w:type="dxa"/>
          </w:tcPr>
          <w:p w:rsidR="007C3AEB" w:rsidRPr="0096649A" w:rsidRDefault="007C3AEB" w:rsidP="00C71E16">
            <w:pPr>
              <w:pStyle w:val="afffffff0"/>
              <w:spacing w:beforeLines="50" w:before="156" w:afterLines="50" w:after="156"/>
              <w:jc w:val="both"/>
              <w:rPr>
                <w:rFonts w:asciiTheme="minorEastAsia" w:eastAsiaTheme="minorEastAsia" w:hAnsiTheme="minorEastAsia"/>
                <w:b w:val="0"/>
                <w:sz w:val="18"/>
                <w:szCs w:val="18"/>
              </w:rPr>
            </w:pPr>
          </w:p>
        </w:tc>
        <w:tc>
          <w:tcPr>
            <w:tcW w:w="1389" w:type="dxa"/>
          </w:tcPr>
          <w:p w:rsidR="007C3AEB" w:rsidRPr="0096649A" w:rsidRDefault="007C3AEB" w:rsidP="00C71E16">
            <w:pPr>
              <w:pStyle w:val="afffffff0"/>
              <w:spacing w:beforeLines="50" w:before="156" w:afterLines="50" w:after="156"/>
              <w:jc w:val="both"/>
              <w:rPr>
                <w:rFonts w:asciiTheme="minorEastAsia" w:eastAsiaTheme="minorEastAsia" w:hAnsiTheme="minorEastAsia"/>
                <w:b w:val="0"/>
                <w:sz w:val="18"/>
                <w:szCs w:val="18"/>
              </w:rPr>
            </w:pPr>
          </w:p>
        </w:tc>
      </w:tr>
    </w:tbl>
    <w:p w:rsidR="009273D8" w:rsidRPr="009273D8" w:rsidRDefault="009273D8" w:rsidP="007C3AEB">
      <w:pPr>
        <w:pStyle w:val="af5"/>
        <w:ind w:left="0"/>
      </w:pPr>
      <w:r>
        <w:lastRenderedPageBreak/>
        <w:br/>
      </w:r>
      <w:bookmarkStart w:id="87" w:name="_Toc9924512"/>
      <w:r>
        <w:rPr>
          <w:rFonts w:hint="eastAsia"/>
        </w:rPr>
        <w:t>（资料性附录）</w:t>
      </w:r>
      <w:r>
        <w:br/>
      </w:r>
      <w:r w:rsidRPr="003D2382">
        <w:rPr>
          <w:rFonts w:hint="eastAsia"/>
        </w:rPr>
        <w:t>数据</w:t>
      </w:r>
      <w:r>
        <w:rPr>
          <w:rFonts w:hint="eastAsia"/>
        </w:rPr>
        <w:t>记录管理</w:t>
      </w:r>
      <w:r w:rsidRPr="003D2382">
        <w:rPr>
          <w:rFonts w:hint="eastAsia"/>
        </w:rPr>
        <w:t>表示例</w:t>
      </w:r>
      <w:bookmarkEnd w:id="87"/>
    </w:p>
    <w:p w:rsidR="009273D8" w:rsidRPr="0096649A" w:rsidRDefault="009273D8" w:rsidP="009273D8">
      <w:pPr>
        <w:pStyle w:val="afffffff0"/>
        <w:spacing w:beforeLines="50" w:before="156" w:afterLines="50" w:after="156"/>
        <w:rPr>
          <w:rFonts w:ascii="宋体" w:hAnsi="宋体" w:cs="Times New Roman"/>
          <w:b w:val="0"/>
          <w:sz w:val="18"/>
          <w:szCs w:val="18"/>
        </w:rPr>
      </w:pPr>
      <w:r w:rsidRPr="0096649A">
        <w:rPr>
          <w:rFonts w:ascii="黑体" w:eastAsia="黑体" w:hint="eastAsia"/>
          <w:b w:val="0"/>
          <w:sz w:val="18"/>
          <w:szCs w:val="18"/>
        </w:rPr>
        <w:t>表D.1  数据记录表</w:t>
      </w:r>
      <w:r>
        <w:rPr>
          <w:rFonts w:ascii="黑体" w:eastAsia="黑体" w:hint="eastAsia"/>
          <w:b w:val="0"/>
          <w:sz w:val="18"/>
          <w:szCs w:val="18"/>
        </w:rPr>
        <w:t>示例</w:t>
      </w:r>
    </w:p>
    <w:tbl>
      <w:tblPr>
        <w:tblStyle w:val="afffffa"/>
        <w:tblW w:w="0" w:type="auto"/>
        <w:jc w:val="center"/>
        <w:tblLook w:val="04A0" w:firstRow="1" w:lastRow="0" w:firstColumn="1" w:lastColumn="0" w:noHBand="0" w:noVBand="1"/>
      </w:tblPr>
      <w:tblGrid>
        <w:gridCol w:w="948"/>
        <w:gridCol w:w="520"/>
        <w:gridCol w:w="520"/>
        <w:gridCol w:w="520"/>
        <w:gridCol w:w="644"/>
        <w:gridCol w:w="520"/>
        <w:gridCol w:w="520"/>
        <w:gridCol w:w="520"/>
        <w:gridCol w:w="768"/>
        <w:gridCol w:w="1016"/>
        <w:gridCol w:w="644"/>
        <w:gridCol w:w="520"/>
        <w:gridCol w:w="520"/>
        <w:gridCol w:w="520"/>
        <w:gridCol w:w="644"/>
      </w:tblGrid>
      <w:tr w:rsidR="009273D8" w:rsidRPr="0096649A" w:rsidTr="00C71E16">
        <w:trPr>
          <w:jc w:val="center"/>
        </w:trPr>
        <w:tc>
          <w:tcPr>
            <w:tcW w:w="0" w:type="auto"/>
            <w:vMerge w:val="restart"/>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排放源名称</w:t>
            </w:r>
          </w:p>
        </w:tc>
        <w:tc>
          <w:tcPr>
            <w:tcW w:w="0" w:type="auto"/>
            <w:gridSpan w:val="4"/>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活动水平数据</w:t>
            </w:r>
          </w:p>
        </w:tc>
        <w:tc>
          <w:tcPr>
            <w:tcW w:w="0" w:type="auto"/>
            <w:gridSpan w:val="6"/>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排放因子</w:t>
            </w:r>
          </w:p>
        </w:tc>
        <w:tc>
          <w:tcPr>
            <w:tcW w:w="0" w:type="auto"/>
            <w:gridSpan w:val="4"/>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排放量</w:t>
            </w:r>
          </w:p>
        </w:tc>
      </w:tr>
      <w:tr w:rsidR="009273D8" w:rsidRPr="0096649A" w:rsidTr="00C71E16">
        <w:trPr>
          <w:jc w:val="center"/>
        </w:trPr>
        <w:tc>
          <w:tcPr>
            <w:tcW w:w="0" w:type="auto"/>
            <w:vMerge/>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名称</w:t>
            </w:r>
          </w:p>
        </w:tc>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数值</w:t>
            </w:r>
          </w:p>
        </w:tc>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时间</w:t>
            </w:r>
          </w:p>
        </w:tc>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负责人</w:t>
            </w:r>
          </w:p>
        </w:tc>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数值</w:t>
            </w:r>
          </w:p>
        </w:tc>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来源</w:t>
            </w:r>
          </w:p>
        </w:tc>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数值</w:t>
            </w:r>
          </w:p>
        </w:tc>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检测频率</w:t>
            </w:r>
          </w:p>
        </w:tc>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参数检测时间</w:t>
            </w:r>
          </w:p>
        </w:tc>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负责人</w:t>
            </w:r>
          </w:p>
        </w:tc>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种类</w:t>
            </w:r>
          </w:p>
        </w:tc>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数量</w:t>
            </w:r>
          </w:p>
        </w:tc>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时间</w:t>
            </w:r>
          </w:p>
        </w:tc>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负责人</w:t>
            </w:r>
          </w:p>
        </w:tc>
      </w:tr>
      <w:tr w:rsidR="009273D8" w:rsidRPr="0096649A" w:rsidTr="00C71E16">
        <w:trPr>
          <w:jc w:val="center"/>
        </w:trPr>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排放源A</w:t>
            </w: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r>
      <w:tr w:rsidR="009273D8" w:rsidRPr="0096649A" w:rsidTr="00C71E16">
        <w:trPr>
          <w:jc w:val="center"/>
        </w:trPr>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排放源B</w:t>
            </w: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r>
      <w:tr w:rsidR="009273D8" w:rsidRPr="0096649A" w:rsidTr="00C71E16">
        <w:trPr>
          <w:jc w:val="center"/>
        </w:trPr>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排放源C</w:t>
            </w: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r>
      <w:tr w:rsidR="009273D8" w:rsidRPr="0096649A" w:rsidTr="00C71E16">
        <w:trPr>
          <w:jc w:val="center"/>
        </w:trPr>
        <w:tc>
          <w:tcPr>
            <w:tcW w:w="0" w:type="auto"/>
          </w:tcPr>
          <w:p w:rsidR="009273D8" w:rsidRPr="0096649A" w:rsidRDefault="009273D8" w:rsidP="00C71E16">
            <w:pPr>
              <w:spacing w:line="360" w:lineRule="auto"/>
              <w:rPr>
                <w:rFonts w:asciiTheme="minorEastAsia" w:hAnsiTheme="minorEastAsia"/>
                <w:sz w:val="18"/>
                <w:szCs w:val="18"/>
              </w:rPr>
            </w:pPr>
            <w:r w:rsidRPr="0096649A">
              <w:rPr>
                <w:rFonts w:asciiTheme="minorEastAsia" w:hAnsiTheme="minorEastAsia" w:hint="eastAsia"/>
                <w:sz w:val="18"/>
                <w:szCs w:val="18"/>
              </w:rPr>
              <w:t>……</w:t>
            </w: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c>
          <w:tcPr>
            <w:tcW w:w="0" w:type="auto"/>
          </w:tcPr>
          <w:p w:rsidR="009273D8" w:rsidRPr="0096649A" w:rsidRDefault="009273D8" w:rsidP="00C71E16">
            <w:pPr>
              <w:spacing w:line="360" w:lineRule="auto"/>
              <w:rPr>
                <w:rFonts w:asciiTheme="minorEastAsia" w:hAnsiTheme="minorEastAsia"/>
                <w:sz w:val="18"/>
                <w:szCs w:val="18"/>
              </w:rPr>
            </w:pPr>
          </w:p>
        </w:tc>
      </w:tr>
    </w:tbl>
    <w:p w:rsidR="007C3AEB" w:rsidRDefault="007C3AEB" w:rsidP="007C3AEB">
      <w:pPr>
        <w:pStyle w:val="af5"/>
        <w:numPr>
          <w:ilvl w:val="0"/>
          <w:numId w:val="0"/>
        </w:numPr>
        <w:jc w:val="both"/>
      </w:pPr>
      <w:r>
        <w:br w:type="page"/>
      </w:r>
    </w:p>
    <w:p w:rsidR="009273D8" w:rsidRPr="009273D8" w:rsidRDefault="009273D8" w:rsidP="007C3AEB">
      <w:pPr>
        <w:pStyle w:val="af5"/>
        <w:ind w:left="0"/>
      </w:pPr>
      <w:r>
        <w:lastRenderedPageBreak/>
        <w:br/>
      </w:r>
      <w:bookmarkStart w:id="88" w:name="_Toc9924513"/>
      <w:r>
        <w:rPr>
          <w:rFonts w:hint="eastAsia"/>
        </w:rPr>
        <w:t>（资料性附录）</w:t>
      </w:r>
      <w:r>
        <w:br/>
      </w:r>
      <w:r>
        <w:rPr>
          <w:rFonts w:hint="eastAsia"/>
        </w:rPr>
        <w:t>计量器具管理</w:t>
      </w:r>
      <w:r w:rsidRPr="003D2382">
        <w:rPr>
          <w:rFonts w:hint="eastAsia"/>
        </w:rPr>
        <w:t>表示例</w:t>
      </w:r>
      <w:bookmarkEnd w:id="88"/>
    </w:p>
    <w:p w:rsidR="009273D8" w:rsidRPr="0096649A" w:rsidRDefault="009273D8" w:rsidP="009273D8">
      <w:pPr>
        <w:pStyle w:val="afffffff0"/>
        <w:spacing w:beforeLines="50" w:before="156" w:afterLines="50" w:after="156"/>
        <w:rPr>
          <w:rFonts w:ascii="黑体" w:eastAsia="黑体"/>
          <w:b w:val="0"/>
          <w:sz w:val="18"/>
          <w:szCs w:val="18"/>
        </w:rPr>
      </w:pPr>
      <w:r>
        <w:tab/>
      </w:r>
      <w:r w:rsidRPr="0096649A">
        <w:rPr>
          <w:rFonts w:ascii="黑体" w:eastAsia="黑体" w:hint="eastAsia"/>
          <w:b w:val="0"/>
          <w:sz w:val="18"/>
          <w:szCs w:val="18"/>
        </w:rPr>
        <w:t>表 E.1 计量器具、设备和仪表校验和维修登记表</w:t>
      </w:r>
      <w:r>
        <w:rPr>
          <w:rFonts w:ascii="黑体" w:eastAsia="黑体" w:hint="eastAsia"/>
          <w:b w:val="0"/>
          <w:sz w:val="18"/>
          <w:szCs w:val="18"/>
        </w:rPr>
        <w:t>示例</w:t>
      </w:r>
      <w:r w:rsidRPr="0096649A">
        <w:rPr>
          <w:rFonts w:ascii="黑体" w:eastAsia="黑体" w:hint="eastAsia"/>
          <w:b w:val="0"/>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0"/>
        <w:gridCol w:w="205"/>
        <w:gridCol w:w="205"/>
        <w:gridCol w:w="205"/>
        <w:gridCol w:w="205"/>
        <w:gridCol w:w="550"/>
        <w:gridCol w:w="283"/>
        <w:gridCol w:w="267"/>
        <w:gridCol w:w="210"/>
        <w:gridCol w:w="210"/>
        <w:gridCol w:w="210"/>
        <w:gridCol w:w="210"/>
        <w:gridCol w:w="1540"/>
        <w:gridCol w:w="550"/>
      </w:tblGrid>
      <w:tr w:rsidR="007C3AEB" w:rsidRPr="0096649A" w:rsidTr="007C3AE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监测设备名称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7C3AEB">
            <w:pPr>
              <w:spacing w:line="360" w:lineRule="auto"/>
              <w:ind w:leftChars="-42" w:left="-88"/>
              <w:jc w:val="center"/>
              <w:rPr>
                <w:rFonts w:asciiTheme="minorEastAsia" w:hAnsiTheme="minorEastAsia"/>
                <w:sz w:val="18"/>
                <w:szCs w:val="18"/>
              </w:rPr>
            </w:pPr>
            <w:r w:rsidRPr="0096649A">
              <w:rPr>
                <w:rFonts w:asciiTheme="minorEastAsia" w:hAnsiTheme="minorEastAsia" w:hint="eastAsia"/>
                <w:sz w:val="18"/>
                <w:szCs w:val="18"/>
              </w:rPr>
              <w:t>铭牌编号</w:t>
            </w:r>
          </w:p>
        </w:tc>
        <w:tc>
          <w:tcPr>
            <w:tcW w:w="0" w:type="auto"/>
            <w:tcBorders>
              <w:top w:val="single" w:sz="4" w:space="0" w:color="auto"/>
              <w:left w:val="single" w:sz="4" w:space="0" w:color="auto"/>
              <w:bottom w:val="single" w:sz="4" w:space="0" w:color="auto"/>
              <w:right w:val="single" w:sz="4" w:space="0" w:color="auto"/>
            </w:tcBorders>
          </w:tcPr>
          <w:p w:rsidR="007C3AEB" w:rsidRPr="0096649A" w:rsidRDefault="007C3AEB" w:rsidP="00C71E16">
            <w:pPr>
              <w:spacing w:line="360" w:lineRule="auto"/>
              <w:jc w:val="center"/>
              <w:rPr>
                <w:rFonts w:asciiTheme="minorEastAsia" w:hAnsiTheme="minorEastAsi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r>
      <w:tr w:rsidR="007C3AEB" w:rsidRPr="0096649A" w:rsidTr="007C3AE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附件（照片）</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规格</w:t>
            </w:r>
          </w:p>
        </w:tc>
        <w:tc>
          <w:tcPr>
            <w:tcW w:w="0" w:type="auto"/>
            <w:tcBorders>
              <w:top w:val="single" w:sz="4" w:space="0" w:color="auto"/>
              <w:left w:val="single" w:sz="4" w:space="0" w:color="auto"/>
              <w:bottom w:val="single" w:sz="4" w:space="0" w:color="auto"/>
              <w:right w:val="single" w:sz="4" w:space="0" w:color="auto"/>
            </w:tcBorders>
          </w:tcPr>
          <w:p w:rsidR="007C3AEB" w:rsidRPr="0096649A" w:rsidRDefault="007C3AEB" w:rsidP="00C71E16">
            <w:pPr>
              <w:spacing w:line="360" w:lineRule="auto"/>
              <w:jc w:val="center"/>
              <w:rPr>
                <w:rFonts w:asciiTheme="minorEastAsia" w:hAnsiTheme="minorEastAsi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r>
      <w:tr w:rsidR="007C3AEB" w:rsidRPr="0096649A" w:rsidTr="007C3AE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监测参数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精确度</w:t>
            </w:r>
          </w:p>
        </w:tc>
        <w:tc>
          <w:tcPr>
            <w:tcW w:w="0" w:type="auto"/>
            <w:tcBorders>
              <w:top w:val="single" w:sz="4" w:space="0" w:color="auto"/>
              <w:left w:val="single" w:sz="4" w:space="0" w:color="auto"/>
              <w:bottom w:val="single" w:sz="4" w:space="0" w:color="auto"/>
              <w:right w:val="single" w:sz="4" w:space="0" w:color="auto"/>
            </w:tcBorders>
          </w:tcPr>
          <w:p w:rsidR="007C3AEB" w:rsidRPr="0096649A" w:rsidRDefault="007C3AEB" w:rsidP="00C71E16">
            <w:pPr>
              <w:spacing w:line="360" w:lineRule="auto"/>
              <w:jc w:val="center"/>
              <w:rPr>
                <w:rFonts w:asciiTheme="minorEastAsia" w:hAnsiTheme="minorEastAsi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r>
      <w:tr w:rsidR="007C3AEB" w:rsidRPr="0096649A" w:rsidTr="007C3AE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制造厂商</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制造商联系方式</w:t>
            </w:r>
          </w:p>
        </w:tc>
        <w:tc>
          <w:tcPr>
            <w:tcW w:w="0" w:type="auto"/>
            <w:tcBorders>
              <w:top w:val="single" w:sz="4" w:space="0" w:color="auto"/>
              <w:left w:val="single" w:sz="4" w:space="0" w:color="auto"/>
              <w:bottom w:val="single" w:sz="4" w:space="0" w:color="auto"/>
              <w:right w:val="single" w:sz="4" w:space="0" w:color="auto"/>
            </w:tcBorders>
          </w:tcPr>
          <w:p w:rsidR="007C3AEB" w:rsidRPr="0096649A" w:rsidRDefault="007C3AEB" w:rsidP="00C71E16">
            <w:pPr>
              <w:spacing w:line="360" w:lineRule="auto"/>
              <w:jc w:val="center"/>
              <w:rPr>
                <w:rFonts w:asciiTheme="minorEastAsia" w:hAnsiTheme="minorEastAsi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r>
      <w:tr w:rsidR="007C3AEB" w:rsidRPr="0096649A" w:rsidTr="007C3AE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购入日期</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开始使用日期</w:t>
            </w:r>
          </w:p>
        </w:tc>
        <w:tc>
          <w:tcPr>
            <w:tcW w:w="0" w:type="auto"/>
            <w:tcBorders>
              <w:top w:val="single" w:sz="4" w:space="0" w:color="auto"/>
              <w:left w:val="single" w:sz="4" w:space="0" w:color="auto"/>
              <w:bottom w:val="single" w:sz="4" w:space="0" w:color="auto"/>
              <w:right w:val="single" w:sz="4" w:space="0" w:color="auto"/>
            </w:tcBorders>
          </w:tcPr>
          <w:p w:rsidR="007C3AEB" w:rsidRPr="0096649A" w:rsidRDefault="007C3AEB" w:rsidP="00C71E16">
            <w:pPr>
              <w:spacing w:line="360" w:lineRule="auto"/>
              <w:jc w:val="center"/>
              <w:rPr>
                <w:rFonts w:asciiTheme="minorEastAsia" w:hAnsiTheme="minorEastAsi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r>
      <w:tr w:rsidR="007C3AEB" w:rsidRPr="0096649A" w:rsidTr="007C3AE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安装地点</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预计报废日期</w:t>
            </w:r>
          </w:p>
        </w:tc>
        <w:tc>
          <w:tcPr>
            <w:tcW w:w="0" w:type="auto"/>
            <w:tcBorders>
              <w:top w:val="single" w:sz="4" w:space="0" w:color="auto"/>
              <w:left w:val="single" w:sz="4" w:space="0" w:color="auto"/>
              <w:bottom w:val="single" w:sz="4" w:space="0" w:color="auto"/>
              <w:right w:val="single" w:sz="4" w:space="0" w:color="auto"/>
            </w:tcBorders>
          </w:tcPr>
          <w:p w:rsidR="007C3AEB" w:rsidRPr="0096649A" w:rsidRDefault="007C3AEB" w:rsidP="00C71E16">
            <w:pPr>
              <w:spacing w:line="360" w:lineRule="auto"/>
              <w:jc w:val="center"/>
              <w:rPr>
                <w:rFonts w:asciiTheme="minorEastAsia" w:hAnsiTheme="minorEastAsi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r>
      <w:tr w:rsidR="007C3AEB" w:rsidRPr="0096649A" w:rsidTr="007C3AE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使用保管人签章</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p>
        </w:tc>
        <w:tc>
          <w:tcPr>
            <w:tcW w:w="0" w:type="auto"/>
            <w:tcBorders>
              <w:top w:val="single" w:sz="4" w:space="0" w:color="auto"/>
              <w:left w:val="single" w:sz="4" w:space="0" w:color="auto"/>
              <w:bottom w:val="single" w:sz="4" w:space="0" w:color="auto"/>
              <w:right w:val="single" w:sz="4" w:space="0" w:color="auto"/>
            </w:tcBorders>
          </w:tcPr>
          <w:p w:rsidR="007C3AEB" w:rsidRPr="0096649A" w:rsidRDefault="007C3AEB" w:rsidP="00C71E16">
            <w:pPr>
              <w:spacing w:line="360" w:lineRule="auto"/>
              <w:jc w:val="center"/>
              <w:rPr>
                <w:rFonts w:asciiTheme="minorEastAsia" w:hAnsiTheme="minorEastAsi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r>
      <w:tr w:rsidR="007C3AEB" w:rsidRPr="0096649A" w:rsidTr="007C3AE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备注</w:t>
            </w:r>
          </w:p>
        </w:tc>
        <w:tc>
          <w:tcPr>
            <w:tcW w:w="0" w:type="auto"/>
            <w:gridSpan w:val="5"/>
            <w:tcBorders>
              <w:top w:val="single" w:sz="4" w:space="0" w:color="auto"/>
              <w:left w:val="single" w:sz="4" w:space="0" w:color="auto"/>
              <w:bottom w:val="single" w:sz="4" w:space="0" w:color="auto"/>
              <w:right w:val="single" w:sz="4" w:space="0" w:color="auto"/>
            </w:tcBorders>
          </w:tcPr>
          <w:p w:rsidR="007C3AEB" w:rsidRPr="0096649A" w:rsidRDefault="007C3AEB" w:rsidP="00C71E16">
            <w:pPr>
              <w:spacing w:line="360" w:lineRule="auto"/>
              <w:jc w:val="center"/>
              <w:rPr>
                <w:rFonts w:asciiTheme="minorEastAsia" w:hAnsiTheme="minorEastAsia"/>
                <w:sz w:val="18"/>
                <w:szCs w:val="18"/>
              </w:rPr>
            </w:pPr>
          </w:p>
        </w:tc>
        <w:tc>
          <w:tcPr>
            <w:tcW w:w="0" w:type="auto"/>
            <w:gridSpan w:val="5"/>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r>
      <w:tr w:rsidR="007C3AEB" w:rsidRPr="0096649A" w:rsidTr="007C3AEB">
        <w:trPr>
          <w:jc w:val="center"/>
        </w:trPr>
        <w:tc>
          <w:tcPr>
            <w:tcW w:w="0" w:type="auto"/>
            <w:gridSpan w:val="3"/>
            <w:tcBorders>
              <w:top w:val="single" w:sz="4" w:space="0" w:color="auto"/>
              <w:left w:val="single" w:sz="4" w:space="0" w:color="auto"/>
              <w:bottom w:val="single" w:sz="4" w:space="0" w:color="auto"/>
              <w:right w:val="single" w:sz="4" w:space="0" w:color="auto"/>
            </w:tcBorders>
          </w:tcPr>
          <w:p w:rsidR="007C3AEB" w:rsidRPr="0096649A" w:rsidRDefault="007C3AEB" w:rsidP="00C71E16">
            <w:pPr>
              <w:spacing w:line="360" w:lineRule="auto"/>
              <w:jc w:val="center"/>
              <w:rPr>
                <w:rFonts w:asciiTheme="minorEastAsia" w:hAnsiTheme="minorEastAsia"/>
                <w:sz w:val="18"/>
                <w:szCs w:val="18"/>
              </w:rPr>
            </w:pPr>
          </w:p>
        </w:tc>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运行期校验记录</w:t>
            </w:r>
          </w:p>
        </w:tc>
      </w:tr>
      <w:tr w:rsidR="007C3AEB" w:rsidRPr="0096649A" w:rsidTr="007C3AEB">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检定周期</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7C3AEB" w:rsidRPr="0096649A" w:rsidRDefault="007C3AEB" w:rsidP="00C71E16">
            <w:pPr>
              <w:spacing w:line="360" w:lineRule="auto"/>
              <w:jc w:val="center"/>
              <w:rPr>
                <w:rFonts w:asciiTheme="minorEastAsia" w:hAnsiTheme="minorEastAsia"/>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校验周期</w:t>
            </w:r>
          </w:p>
        </w:tc>
        <w:tc>
          <w:tcPr>
            <w:tcW w:w="0" w:type="auto"/>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r>
      <w:tr w:rsidR="007C3AEB" w:rsidRPr="0096649A" w:rsidTr="007C3AE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日期</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校正</w:t>
            </w:r>
            <w:r w:rsidRPr="0096649A">
              <w:rPr>
                <w:rFonts w:asciiTheme="minorEastAsia" w:hAnsiTheme="minorEastAsia"/>
                <w:sz w:val="18"/>
                <w:szCs w:val="18"/>
              </w:rPr>
              <w:t>/</w:t>
            </w:r>
            <w:r w:rsidRPr="0096649A">
              <w:rPr>
                <w:rFonts w:asciiTheme="minorEastAsia" w:hAnsiTheme="minorEastAsia" w:hint="eastAsia"/>
                <w:sz w:val="18"/>
                <w:szCs w:val="18"/>
              </w:rPr>
              <w:t>检验</w:t>
            </w:r>
          </w:p>
        </w:tc>
        <w:tc>
          <w:tcPr>
            <w:tcW w:w="0" w:type="auto"/>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标准值</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实际值</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误差</w:t>
            </w:r>
          </w:p>
        </w:tc>
        <w:tc>
          <w:tcPr>
            <w:tcW w:w="0" w:type="auto"/>
            <w:gridSpan w:val="2"/>
            <w:tcBorders>
              <w:top w:val="single" w:sz="4" w:space="0" w:color="auto"/>
              <w:left w:val="single" w:sz="4" w:space="0" w:color="auto"/>
              <w:bottom w:val="single" w:sz="4" w:space="0" w:color="auto"/>
              <w:right w:val="single" w:sz="4" w:space="0" w:color="auto"/>
            </w:tcBorders>
          </w:tcPr>
          <w:p w:rsidR="007C3AEB" w:rsidRPr="0096649A" w:rsidRDefault="007C3AEB" w:rsidP="00C71E16">
            <w:pPr>
              <w:spacing w:line="360" w:lineRule="auto"/>
              <w:jc w:val="center"/>
              <w:rPr>
                <w:rFonts w:asciiTheme="minorEastAsia" w:hAnsiTheme="minorEastAsi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校正</w:t>
            </w:r>
            <w:r w:rsidRPr="0096649A">
              <w:rPr>
                <w:rFonts w:asciiTheme="minorEastAsia" w:hAnsiTheme="minorEastAsia"/>
                <w:sz w:val="18"/>
                <w:szCs w:val="18"/>
              </w:rPr>
              <w:t>/</w:t>
            </w:r>
            <w:r w:rsidRPr="0096649A">
              <w:rPr>
                <w:rFonts w:asciiTheme="minorEastAsia" w:hAnsiTheme="minorEastAsia" w:hint="eastAsia"/>
                <w:sz w:val="18"/>
                <w:szCs w:val="18"/>
              </w:rPr>
              <w:t>检验执行机构</w:t>
            </w:r>
          </w:p>
        </w:tc>
        <w:tc>
          <w:tcPr>
            <w:tcW w:w="0" w:type="auto"/>
            <w:tcBorders>
              <w:top w:val="single" w:sz="4" w:space="0" w:color="auto"/>
              <w:left w:val="single" w:sz="4" w:space="0" w:color="auto"/>
              <w:bottom w:val="single" w:sz="4" w:space="0" w:color="auto"/>
              <w:right w:val="single" w:sz="4" w:space="0" w:color="auto"/>
            </w:tcBorders>
            <w:vAlign w:val="center"/>
            <w:hideMark/>
          </w:tcPr>
          <w:p w:rsidR="007C3AEB" w:rsidRPr="0096649A" w:rsidRDefault="007C3AEB" w:rsidP="00C71E16">
            <w:pPr>
              <w:spacing w:line="360" w:lineRule="auto"/>
              <w:jc w:val="center"/>
              <w:rPr>
                <w:rFonts w:asciiTheme="minorEastAsia" w:hAnsiTheme="minorEastAsia"/>
                <w:sz w:val="18"/>
                <w:szCs w:val="18"/>
              </w:rPr>
            </w:pPr>
            <w:r w:rsidRPr="0096649A">
              <w:rPr>
                <w:rFonts w:asciiTheme="minorEastAsia" w:hAnsiTheme="minorEastAsia" w:hint="eastAsia"/>
                <w:sz w:val="18"/>
                <w:szCs w:val="18"/>
              </w:rPr>
              <w:t>负责人</w:t>
            </w:r>
          </w:p>
        </w:tc>
      </w:tr>
      <w:tr w:rsidR="007C3AEB" w:rsidRPr="0096649A" w:rsidTr="007C3A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C3AEB" w:rsidRPr="0096649A" w:rsidRDefault="007C3AEB" w:rsidP="00C71E16">
            <w:pPr>
              <w:spacing w:line="360" w:lineRule="auto"/>
              <w:jc w:val="center"/>
              <w:rPr>
                <w:rFonts w:asciiTheme="minorEastAsia" w:hAnsiTheme="minorEastAsi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C3AEB" w:rsidRPr="0096649A" w:rsidRDefault="007C3AEB" w:rsidP="00C71E16">
            <w:pPr>
              <w:spacing w:line="360" w:lineRule="auto"/>
              <w:jc w:val="center"/>
              <w:rPr>
                <w:rFonts w:asciiTheme="minorEastAsia" w:hAnsiTheme="minorEastAsia"/>
                <w:sz w:val="18"/>
                <w:szCs w:val="18"/>
              </w:rPr>
            </w:pPr>
          </w:p>
        </w:tc>
      </w:tr>
    </w:tbl>
    <w:p w:rsidR="009273D8" w:rsidRPr="00003F43" w:rsidRDefault="009273D8" w:rsidP="009273D8">
      <w:pPr>
        <w:rPr>
          <w:rFonts w:asciiTheme="minorEastAsia" w:hAnsiTheme="minorEastAsia"/>
          <w:szCs w:val="21"/>
        </w:rPr>
      </w:pPr>
      <w:r>
        <w:rPr>
          <w:rFonts w:asciiTheme="minorEastAsia" w:hAnsiTheme="minorEastAsia" w:hint="eastAsia"/>
          <w:szCs w:val="21"/>
        </w:rPr>
        <w:t xml:space="preserve">   </w:t>
      </w:r>
    </w:p>
    <w:p w:rsidR="00FE6DE4" w:rsidRDefault="00FE6DE4" w:rsidP="003D2382">
      <w:pPr>
        <w:pStyle w:val="af5"/>
        <w:numPr>
          <w:ilvl w:val="0"/>
          <w:numId w:val="0"/>
        </w:numPr>
      </w:pPr>
      <w:r>
        <w:br w:type="page"/>
      </w:r>
    </w:p>
    <w:p w:rsidR="00414BD9" w:rsidRDefault="00414BD9" w:rsidP="003D2382">
      <w:pPr>
        <w:pStyle w:val="af5"/>
        <w:numPr>
          <w:ilvl w:val="0"/>
          <w:numId w:val="0"/>
        </w:numPr>
      </w:pPr>
      <w:bookmarkStart w:id="89" w:name="_Toc9924514"/>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84"/>
      <w:bookmarkEnd w:id="89"/>
    </w:p>
    <w:p w:rsidR="00414BD9" w:rsidRPr="00414BD9" w:rsidRDefault="00414BD9" w:rsidP="00414BD9">
      <w:pPr>
        <w:pStyle w:val="aff3"/>
      </w:pPr>
    </w:p>
    <w:p w:rsidR="00DF5CC9" w:rsidRPr="00414BD9" w:rsidRDefault="00414BD9" w:rsidP="00414BD9">
      <w:pPr>
        <w:pStyle w:val="affffff4"/>
        <w:framePr w:wrap="around"/>
      </w:pPr>
      <w:r>
        <w:t>_________________________________</w:t>
      </w:r>
    </w:p>
    <w:sectPr w:rsidR="00DF5CC9" w:rsidRPr="00414BD9"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229" w:rsidRDefault="00A11229">
      <w:r>
        <w:separator/>
      </w:r>
    </w:p>
  </w:endnote>
  <w:endnote w:type="continuationSeparator" w:id="0">
    <w:p w:rsidR="00A11229" w:rsidRDefault="00A1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AB1" w:rsidRDefault="00CC4AB1" w:rsidP="00414BD9">
    <w:pPr>
      <w:pStyle w:val="aff4"/>
    </w:pPr>
    <w:r>
      <w:fldChar w:fldCharType="begin"/>
    </w:r>
    <w:r>
      <w:instrText xml:space="preserve"> PAGE  \* MERGEFORMAT </w:instrText>
    </w:r>
    <w:r>
      <w:fldChar w:fldCharType="separate"/>
    </w:r>
    <w:r>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229" w:rsidRDefault="00A11229">
      <w:r>
        <w:separator/>
      </w:r>
    </w:p>
  </w:footnote>
  <w:footnote w:type="continuationSeparator" w:id="0">
    <w:p w:rsidR="00A11229" w:rsidRDefault="00A11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AB1" w:rsidRPr="00414BD9" w:rsidRDefault="00CC4AB1">
    <w:pPr>
      <w:pStyle w:val="affc"/>
      <w:rPr>
        <w:rFonts w:ascii="黑体" w:eastAsia="黑体" w:hAnsi="黑体"/>
      </w:rPr>
    </w:pPr>
    <w:r>
      <w:rPr>
        <w:rFonts w:ascii="黑体" w:eastAsia="黑体" w:hAnsi="黑体"/>
      </w:rPr>
      <w:t>GB/T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E6B"/>
    <w:multiLevelType w:val="hybridMultilevel"/>
    <w:tmpl w:val="678862F2"/>
    <w:lvl w:ilvl="0" w:tplc="BFB0499A">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 w15:restartNumberingAfterBreak="0">
    <w:nsid w:val="0B08730C"/>
    <w:multiLevelType w:val="hybridMultilevel"/>
    <w:tmpl w:val="7C5EBD0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E78471C"/>
    <w:multiLevelType w:val="hybridMultilevel"/>
    <w:tmpl w:val="86026620"/>
    <w:lvl w:ilvl="0" w:tplc="BFB049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5" w15:restartNumberingAfterBreak="0">
    <w:nsid w:val="162E0D43"/>
    <w:multiLevelType w:val="hybridMultilevel"/>
    <w:tmpl w:val="CBE6B19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14FF1"/>
    <w:multiLevelType w:val="hybridMultilevel"/>
    <w:tmpl w:val="2E9449E8"/>
    <w:lvl w:ilvl="0" w:tplc="BFB049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EF609A6"/>
    <w:multiLevelType w:val="hybridMultilevel"/>
    <w:tmpl w:val="91F04E22"/>
    <w:lvl w:ilvl="0" w:tplc="04090019">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24B435DB"/>
    <w:multiLevelType w:val="multilevel"/>
    <w:tmpl w:val="9B92BB8A"/>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0" w15:restartNumberingAfterBreak="0">
    <w:nsid w:val="26277150"/>
    <w:multiLevelType w:val="hybridMultilevel"/>
    <w:tmpl w:val="B8762A92"/>
    <w:lvl w:ilvl="0" w:tplc="E140E7E8">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C62DBD"/>
    <w:multiLevelType w:val="hybridMultilevel"/>
    <w:tmpl w:val="D4F4229C"/>
    <w:lvl w:ilvl="0" w:tplc="BFB049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9707437"/>
    <w:multiLevelType w:val="multilevel"/>
    <w:tmpl w:val="A782BD78"/>
    <w:lvl w:ilvl="0">
      <w:start w:val="1"/>
      <w:numFmt w:val="none"/>
      <w:pStyle w:val="a5"/>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3" w15:restartNumberingAfterBreak="0">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15:restartNumberingAfterBreak="0">
    <w:nsid w:val="2C5917C3"/>
    <w:multiLevelType w:val="multilevel"/>
    <w:tmpl w:val="C9A69A3E"/>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15:restartNumberingAfterBreak="0">
    <w:nsid w:val="30321FB2"/>
    <w:multiLevelType w:val="hybridMultilevel"/>
    <w:tmpl w:val="6D8AA5B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BC2C85"/>
    <w:multiLevelType w:val="hybridMultilevel"/>
    <w:tmpl w:val="6966F2BA"/>
    <w:lvl w:ilvl="0" w:tplc="04090019">
      <w:start w:val="1"/>
      <w:numFmt w:val="lowerLetter"/>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3EA4818"/>
    <w:multiLevelType w:val="hybridMultilevel"/>
    <w:tmpl w:val="29C4C1E8"/>
    <w:lvl w:ilvl="0" w:tplc="BFB0499A">
      <w:start w:val="1"/>
      <w:numFmt w:val="bullet"/>
      <w:lvlText w:val=""/>
      <w:lvlJc w:val="left"/>
      <w:pPr>
        <w:ind w:left="1260" w:hanging="42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34D91B88"/>
    <w:multiLevelType w:val="hybridMultilevel"/>
    <w:tmpl w:val="D22C7660"/>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387456"/>
    <w:multiLevelType w:val="hybridMultilevel"/>
    <w:tmpl w:val="C3087FF6"/>
    <w:lvl w:ilvl="0" w:tplc="BFB0499A">
      <w:start w:val="1"/>
      <w:numFmt w:val="bullet"/>
      <w:lvlText w:val=""/>
      <w:lvlJc w:val="left"/>
      <w:pPr>
        <w:ind w:left="1680" w:hanging="42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35AF3F11"/>
    <w:multiLevelType w:val="hybridMultilevel"/>
    <w:tmpl w:val="8018A3B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9FE7766"/>
    <w:multiLevelType w:val="hybridMultilevel"/>
    <w:tmpl w:val="A698897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D733618"/>
    <w:multiLevelType w:val="multilevel"/>
    <w:tmpl w:val="193A04F0"/>
    <w:lvl w:ilvl="0">
      <w:start w:val="1"/>
      <w:numFmt w:val="decimal"/>
      <w:pStyle w:val="ab"/>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3" w15:restartNumberingAfterBreak="0">
    <w:nsid w:val="42644319"/>
    <w:multiLevelType w:val="hybridMultilevel"/>
    <w:tmpl w:val="D6BA3F0A"/>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280381"/>
    <w:multiLevelType w:val="hybridMultilevel"/>
    <w:tmpl w:val="1A3AAB3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44C50F90"/>
    <w:multiLevelType w:val="multilevel"/>
    <w:tmpl w:val="ED0C9B78"/>
    <w:lvl w:ilvl="0">
      <w:start w:val="1"/>
      <w:numFmt w:val="lowerLetter"/>
      <w:pStyle w:val="ac"/>
      <w:lvlText w:val="%1)"/>
      <w:lvlJc w:val="left"/>
      <w:pPr>
        <w:tabs>
          <w:tab w:val="num" w:pos="840"/>
        </w:tabs>
        <w:ind w:left="839" w:hanging="419"/>
      </w:pPr>
      <w:rPr>
        <w:rFonts w:ascii="宋体" w:eastAsia="宋体" w:hint="eastAsia"/>
        <w:b w:val="0"/>
        <w:i w:val="0"/>
        <w:sz w:val="21"/>
        <w:szCs w:val="21"/>
      </w:rPr>
    </w:lvl>
    <w:lvl w:ilvl="1">
      <w:start w:val="1"/>
      <w:numFmt w:val="decimal"/>
      <w:pStyle w:val="ad"/>
      <w:lvlText w:val="%2)"/>
      <w:lvlJc w:val="left"/>
      <w:pPr>
        <w:tabs>
          <w:tab w:val="num" w:pos="1260"/>
        </w:tabs>
        <w:ind w:left="1259" w:hanging="419"/>
      </w:pPr>
      <w:rPr>
        <w:rFonts w:hint="eastAsia"/>
      </w:rPr>
    </w:lvl>
    <w:lvl w:ilvl="2">
      <w:start w:val="1"/>
      <w:numFmt w:val="decimal"/>
      <w:pStyle w:val="ae"/>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6" w15:restartNumberingAfterBreak="0">
    <w:nsid w:val="47A65EC6"/>
    <w:multiLevelType w:val="hybridMultilevel"/>
    <w:tmpl w:val="32983E20"/>
    <w:lvl w:ilvl="0" w:tplc="BFB0499A">
      <w:start w:val="1"/>
      <w:numFmt w:val="bullet"/>
      <w:lvlText w:val=""/>
      <w:lvlJc w:val="left"/>
      <w:pPr>
        <w:ind w:left="168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7" w15:restartNumberingAfterBreak="0">
    <w:nsid w:val="509E741A"/>
    <w:multiLevelType w:val="hybridMultilevel"/>
    <w:tmpl w:val="AAF615C4"/>
    <w:lvl w:ilvl="0" w:tplc="04090019">
      <w:start w:val="1"/>
      <w:numFmt w:val="lowerLetter"/>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1BA1C9A"/>
    <w:multiLevelType w:val="hybridMultilevel"/>
    <w:tmpl w:val="F1504E62"/>
    <w:lvl w:ilvl="0" w:tplc="4B14D49A">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20F62E9"/>
    <w:multiLevelType w:val="multilevel"/>
    <w:tmpl w:val="63ECDC36"/>
    <w:lvl w:ilvl="0">
      <w:start w:val="1"/>
      <w:numFmt w:val="decimal"/>
      <w:pStyle w:val="af"/>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5875C62"/>
    <w:multiLevelType w:val="hybridMultilevel"/>
    <w:tmpl w:val="B4D03AE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BFF7FB6"/>
    <w:multiLevelType w:val="hybridMultilevel"/>
    <w:tmpl w:val="69C4E5B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E63562F"/>
    <w:multiLevelType w:val="multilevel"/>
    <w:tmpl w:val="1DDCEE8C"/>
    <w:lvl w:ilvl="0">
      <w:start w:val="1"/>
      <w:numFmt w:val="decimal"/>
      <w:pStyle w:val="af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5F463F68"/>
    <w:multiLevelType w:val="hybridMultilevel"/>
    <w:tmpl w:val="6C22DE58"/>
    <w:lvl w:ilvl="0" w:tplc="BFB0499A">
      <w:start w:val="1"/>
      <w:numFmt w:val="bullet"/>
      <w:lvlText w:val=""/>
      <w:lvlJc w:val="left"/>
      <w:pPr>
        <w:ind w:left="1260" w:hanging="42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60B55DC2"/>
    <w:multiLevelType w:val="multilevel"/>
    <w:tmpl w:val="9DCC486E"/>
    <w:lvl w:ilvl="0">
      <w:start w:val="1"/>
      <w:numFmt w:val="upperLetter"/>
      <w:pStyle w:val="af1"/>
      <w:lvlText w:val="%1"/>
      <w:lvlJc w:val="left"/>
      <w:pPr>
        <w:tabs>
          <w:tab w:val="num"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5" w15:restartNumberingAfterBreak="0">
    <w:nsid w:val="63404DBE"/>
    <w:multiLevelType w:val="multilevel"/>
    <w:tmpl w:val="22F8E8CE"/>
    <w:lvl w:ilvl="0">
      <w:start w:val="1"/>
      <w:numFmt w:val="none"/>
      <w:pStyle w:val="af3"/>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6" w15:restartNumberingAfterBreak="0">
    <w:nsid w:val="63AF7EBF"/>
    <w:multiLevelType w:val="multilevel"/>
    <w:tmpl w:val="E3F4BDF4"/>
    <w:lvl w:ilvl="0">
      <w:start w:val="1"/>
      <w:numFmt w:val="decimal"/>
      <w:pStyle w:val="af4"/>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57D3FBC"/>
    <w:multiLevelType w:val="multilevel"/>
    <w:tmpl w:val="95FA0F16"/>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15:restartNumberingAfterBreak="0">
    <w:nsid w:val="6AB870ED"/>
    <w:multiLevelType w:val="multilevel"/>
    <w:tmpl w:val="DD022556"/>
    <w:lvl w:ilvl="0">
      <w:start w:val="1"/>
      <w:numFmt w:val="decimal"/>
      <w:pStyle w:val="afc"/>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9" w15:restartNumberingAfterBreak="0">
    <w:nsid w:val="6D6C07CD"/>
    <w:multiLevelType w:val="multilevel"/>
    <w:tmpl w:val="7A408B34"/>
    <w:lvl w:ilvl="0">
      <w:start w:val="1"/>
      <w:numFmt w:val="lowerLetter"/>
      <w:pStyle w:val="afd"/>
      <w:lvlText w:val="%1)"/>
      <w:lvlJc w:val="left"/>
      <w:pPr>
        <w:tabs>
          <w:tab w:val="num" w:pos="839"/>
        </w:tabs>
        <w:ind w:left="839" w:hanging="419"/>
      </w:pPr>
      <w:rPr>
        <w:rFonts w:ascii="宋体" w:eastAsia="宋体" w:hint="eastAsia"/>
        <w:b w:val="0"/>
        <w:i w:val="0"/>
        <w:sz w:val="21"/>
      </w:rPr>
    </w:lvl>
    <w:lvl w:ilvl="1">
      <w:start w:val="1"/>
      <w:numFmt w:val="decimal"/>
      <w:pStyle w:val="afe"/>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0" w15:restartNumberingAfterBreak="0">
    <w:nsid w:val="71923797"/>
    <w:multiLevelType w:val="hybridMultilevel"/>
    <w:tmpl w:val="95FC5AC6"/>
    <w:lvl w:ilvl="0" w:tplc="BFB0499A">
      <w:start w:val="1"/>
      <w:numFmt w:val="bullet"/>
      <w:lvlText w:val=""/>
      <w:lvlJc w:val="left"/>
      <w:pPr>
        <w:ind w:left="168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1C44486"/>
    <w:multiLevelType w:val="hybridMultilevel"/>
    <w:tmpl w:val="16204B0A"/>
    <w:lvl w:ilvl="0" w:tplc="04090019">
      <w:start w:val="1"/>
      <w:numFmt w:val="lowerLetter"/>
      <w:lvlText w:val="%1)"/>
      <w:lvlJc w:val="left"/>
      <w:pPr>
        <w:ind w:left="840" w:hanging="420"/>
      </w:pPr>
      <w:rPr>
        <w:rFonts w:hint="default"/>
      </w:rPr>
    </w:lvl>
    <w:lvl w:ilvl="1" w:tplc="C862D2A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7A5E2C72"/>
    <w:multiLevelType w:val="hybridMultilevel"/>
    <w:tmpl w:val="25E8B4FE"/>
    <w:lvl w:ilvl="0" w:tplc="522CC398">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7D6A1841"/>
    <w:multiLevelType w:val="hybridMultilevel"/>
    <w:tmpl w:val="40E04428"/>
    <w:lvl w:ilvl="0" w:tplc="BFB0499A">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34"/>
  </w:num>
  <w:num w:numId="3">
    <w:abstractNumId w:val="13"/>
  </w:num>
  <w:num w:numId="4">
    <w:abstractNumId w:val="37"/>
  </w:num>
  <w:num w:numId="5">
    <w:abstractNumId w:val="39"/>
  </w:num>
  <w:num w:numId="6">
    <w:abstractNumId w:val="22"/>
  </w:num>
  <w:num w:numId="7">
    <w:abstractNumId w:val="25"/>
  </w:num>
  <w:num w:numId="8">
    <w:abstractNumId w:val="8"/>
  </w:num>
  <w:num w:numId="9">
    <w:abstractNumId w:val="36"/>
  </w:num>
  <w:num w:numId="10">
    <w:abstractNumId w:val="29"/>
  </w:num>
  <w:num w:numId="11">
    <w:abstractNumId w:val="35"/>
  </w:num>
  <w:num w:numId="12">
    <w:abstractNumId w:val="38"/>
  </w:num>
  <w:num w:numId="13">
    <w:abstractNumId w:val="12"/>
  </w:num>
  <w:num w:numId="14">
    <w:abstractNumId w:val="32"/>
  </w:num>
  <w:num w:numId="15">
    <w:abstractNumId w:val="1"/>
  </w:num>
  <w:num w:numId="16">
    <w:abstractNumId w:val="4"/>
  </w:num>
  <w:num w:numId="17">
    <w:abstractNumId w:val="9"/>
  </w:num>
  <w:num w:numId="18">
    <w:abstractNumId w:val="30"/>
  </w:num>
  <w:num w:numId="19">
    <w:abstractNumId w:val="2"/>
  </w:num>
  <w:num w:numId="20">
    <w:abstractNumId w:val="6"/>
  </w:num>
  <w:num w:numId="21">
    <w:abstractNumId w:val="0"/>
  </w:num>
  <w:num w:numId="22">
    <w:abstractNumId w:val="18"/>
  </w:num>
  <w:num w:numId="23">
    <w:abstractNumId w:val="43"/>
  </w:num>
  <w:num w:numId="24">
    <w:abstractNumId w:val="24"/>
  </w:num>
  <w:num w:numId="25">
    <w:abstractNumId w:val="42"/>
  </w:num>
  <w:num w:numId="26">
    <w:abstractNumId w:val="21"/>
  </w:num>
  <w:num w:numId="27">
    <w:abstractNumId w:val="41"/>
  </w:num>
  <w:num w:numId="28">
    <w:abstractNumId w:val="26"/>
  </w:num>
  <w:num w:numId="29">
    <w:abstractNumId w:val="19"/>
  </w:num>
  <w:num w:numId="30">
    <w:abstractNumId w:val="40"/>
  </w:num>
  <w:num w:numId="31">
    <w:abstractNumId w:val="27"/>
  </w:num>
  <w:num w:numId="32">
    <w:abstractNumId w:val="16"/>
  </w:num>
  <w:num w:numId="33">
    <w:abstractNumId w:val="7"/>
  </w:num>
  <w:num w:numId="34">
    <w:abstractNumId w:val="23"/>
  </w:num>
  <w:num w:numId="35">
    <w:abstractNumId w:val="5"/>
  </w:num>
  <w:num w:numId="36">
    <w:abstractNumId w:val="31"/>
  </w:num>
  <w:num w:numId="37">
    <w:abstractNumId w:val="20"/>
  </w:num>
  <w:num w:numId="38">
    <w:abstractNumId w:val="10"/>
  </w:num>
  <w:num w:numId="39">
    <w:abstractNumId w:val="17"/>
  </w:num>
  <w:num w:numId="40">
    <w:abstractNumId w:val="33"/>
  </w:num>
  <w:num w:numId="41">
    <w:abstractNumId w:val="15"/>
  </w:num>
  <w:num w:numId="42">
    <w:abstractNumId w:val="3"/>
  </w:num>
  <w:num w:numId="43">
    <w:abstractNumId w:val="11"/>
  </w:num>
  <w:num w:numId="4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F8izXdM0RHBPzqLMF/soqZ0t+E=" w:salt="iFwV/4zjziuHem+uidVH/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25"/>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64C7"/>
    <w:rsid w:val="00096B19"/>
    <w:rsid w:val="000979D9"/>
    <w:rsid w:val="000A20A9"/>
    <w:rsid w:val="000A48B1"/>
    <w:rsid w:val="000B10D6"/>
    <w:rsid w:val="000B23BE"/>
    <w:rsid w:val="000B2F0E"/>
    <w:rsid w:val="000B3143"/>
    <w:rsid w:val="000B405D"/>
    <w:rsid w:val="000B7F21"/>
    <w:rsid w:val="000C2BE6"/>
    <w:rsid w:val="000C6B05"/>
    <w:rsid w:val="000C6DD6"/>
    <w:rsid w:val="000C73D4"/>
    <w:rsid w:val="000D3D4C"/>
    <w:rsid w:val="000D4F51"/>
    <w:rsid w:val="000D718B"/>
    <w:rsid w:val="000E0C46"/>
    <w:rsid w:val="000E15EE"/>
    <w:rsid w:val="000E21E3"/>
    <w:rsid w:val="000E2429"/>
    <w:rsid w:val="000F030C"/>
    <w:rsid w:val="000F129C"/>
    <w:rsid w:val="000F174F"/>
    <w:rsid w:val="00104E29"/>
    <w:rsid w:val="001056DE"/>
    <w:rsid w:val="001124C0"/>
    <w:rsid w:val="00117A25"/>
    <w:rsid w:val="00121293"/>
    <w:rsid w:val="0013175F"/>
    <w:rsid w:val="0013364D"/>
    <w:rsid w:val="001343BB"/>
    <w:rsid w:val="001512B4"/>
    <w:rsid w:val="00153A26"/>
    <w:rsid w:val="001620A5"/>
    <w:rsid w:val="00164E53"/>
    <w:rsid w:val="00165D35"/>
    <w:rsid w:val="0016699D"/>
    <w:rsid w:val="001670D9"/>
    <w:rsid w:val="00173E68"/>
    <w:rsid w:val="00175159"/>
    <w:rsid w:val="00175AD7"/>
    <w:rsid w:val="00176208"/>
    <w:rsid w:val="0017780C"/>
    <w:rsid w:val="00180FAA"/>
    <w:rsid w:val="001813B2"/>
    <w:rsid w:val="0018211B"/>
    <w:rsid w:val="00183FE1"/>
    <w:rsid w:val="001840D3"/>
    <w:rsid w:val="00184782"/>
    <w:rsid w:val="00187A8A"/>
    <w:rsid w:val="001900F8"/>
    <w:rsid w:val="001910A7"/>
    <w:rsid w:val="00191258"/>
    <w:rsid w:val="00192680"/>
    <w:rsid w:val="00193037"/>
    <w:rsid w:val="00193375"/>
    <w:rsid w:val="00193A2C"/>
    <w:rsid w:val="001A288E"/>
    <w:rsid w:val="001B36ED"/>
    <w:rsid w:val="001B6DC2"/>
    <w:rsid w:val="001B754B"/>
    <w:rsid w:val="001C149C"/>
    <w:rsid w:val="001C21AC"/>
    <w:rsid w:val="001C3689"/>
    <w:rsid w:val="001C47BA"/>
    <w:rsid w:val="001C59EA"/>
    <w:rsid w:val="001D19AE"/>
    <w:rsid w:val="001D3556"/>
    <w:rsid w:val="001D406C"/>
    <w:rsid w:val="001D41EE"/>
    <w:rsid w:val="001D4BEB"/>
    <w:rsid w:val="001D71E6"/>
    <w:rsid w:val="001E0380"/>
    <w:rsid w:val="001E0B1B"/>
    <w:rsid w:val="001E13B1"/>
    <w:rsid w:val="001E2153"/>
    <w:rsid w:val="001F3A19"/>
    <w:rsid w:val="002009E4"/>
    <w:rsid w:val="00201053"/>
    <w:rsid w:val="0020251B"/>
    <w:rsid w:val="002073D3"/>
    <w:rsid w:val="00215D48"/>
    <w:rsid w:val="0021624B"/>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1F39"/>
    <w:rsid w:val="00303D27"/>
    <w:rsid w:val="00305BEE"/>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A0E27"/>
    <w:rsid w:val="003A2275"/>
    <w:rsid w:val="003A6A4F"/>
    <w:rsid w:val="003A7088"/>
    <w:rsid w:val="003B00DF"/>
    <w:rsid w:val="003B1275"/>
    <w:rsid w:val="003B1778"/>
    <w:rsid w:val="003C11CB"/>
    <w:rsid w:val="003C3017"/>
    <w:rsid w:val="003C6A77"/>
    <w:rsid w:val="003C75F3"/>
    <w:rsid w:val="003C78A3"/>
    <w:rsid w:val="003D162C"/>
    <w:rsid w:val="003D2382"/>
    <w:rsid w:val="003D36AB"/>
    <w:rsid w:val="003E1867"/>
    <w:rsid w:val="003E5729"/>
    <w:rsid w:val="003E6AB8"/>
    <w:rsid w:val="003E724E"/>
    <w:rsid w:val="003F1D40"/>
    <w:rsid w:val="003F22BB"/>
    <w:rsid w:val="003F2A5B"/>
    <w:rsid w:val="003F4EE0"/>
    <w:rsid w:val="003F5559"/>
    <w:rsid w:val="00400473"/>
    <w:rsid w:val="00402153"/>
    <w:rsid w:val="00402E26"/>
    <w:rsid w:val="00402FC1"/>
    <w:rsid w:val="00414BD9"/>
    <w:rsid w:val="004200D9"/>
    <w:rsid w:val="004212C2"/>
    <w:rsid w:val="00425082"/>
    <w:rsid w:val="00431DEB"/>
    <w:rsid w:val="00434323"/>
    <w:rsid w:val="0044259D"/>
    <w:rsid w:val="004439D9"/>
    <w:rsid w:val="00446B29"/>
    <w:rsid w:val="004524BE"/>
    <w:rsid w:val="00453F9A"/>
    <w:rsid w:val="00454CC3"/>
    <w:rsid w:val="00464903"/>
    <w:rsid w:val="00471E91"/>
    <w:rsid w:val="00474079"/>
    <w:rsid w:val="00474675"/>
    <w:rsid w:val="0047470C"/>
    <w:rsid w:val="00484C88"/>
    <w:rsid w:val="004A203E"/>
    <w:rsid w:val="004A35F9"/>
    <w:rsid w:val="004A4662"/>
    <w:rsid w:val="004A7E02"/>
    <w:rsid w:val="004B157A"/>
    <w:rsid w:val="004B24C1"/>
    <w:rsid w:val="004B3092"/>
    <w:rsid w:val="004B49B1"/>
    <w:rsid w:val="004B557C"/>
    <w:rsid w:val="004C02E9"/>
    <w:rsid w:val="004C292F"/>
    <w:rsid w:val="004C657F"/>
    <w:rsid w:val="004D306F"/>
    <w:rsid w:val="004D4B02"/>
    <w:rsid w:val="004D4F76"/>
    <w:rsid w:val="004E4B13"/>
    <w:rsid w:val="004E4B8C"/>
    <w:rsid w:val="004E5A47"/>
    <w:rsid w:val="005036E2"/>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509A2"/>
    <w:rsid w:val="0055153A"/>
    <w:rsid w:val="005533D7"/>
    <w:rsid w:val="00554B63"/>
    <w:rsid w:val="00562CF6"/>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842"/>
    <w:rsid w:val="005E19E7"/>
    <w:rsid w:val="005E2392"/>
    <w:rsid w:val="00601622"/>
    <w:rsid w:val="0060789B"/>
    <w:rsid w:val="0061037E"/>
    <w:rsid w:val="00613FAA"/>
    <w:rsid w:val="00616C36"/>
    <w:rsid w:val="0061716C"/>
    <w:rsid w:val="006171AF"/>
    <w:rsid w:val="00617868"/>
    <w:rsid w:val="006238F9"/>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7B54"/>
    <w:rsid w:val="00682682"/>
    <w:rsid w:val="00682702"/>
    <w:rsid w:val="00692368"/>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5D01"/>
    <w:rsid w:val="006F64A0"/>
    <w:rsid w:val="0070038F"/>
    <w:rsid w:val="0070193B"/>
    <w:rsid w:val="007027B1"/>
    <w:rsid w:val="0070286C"/>
    <w:rsid w:val="00704DF6"/>
    <w:rsid w:val="0070641D"/>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80DE2"/>
    <w:rsid w:val="007913AB"/>
    <w:rsid w:val="007914F7"/>
    <w:rsid w:val="00795C73"/>
    <w:rsid w:val="007A4809"/>
    <w:rsid w:val="007B1625"/>
    <w:rsid w:val="007B706E"/>
    <w:rsid w:val="007B71EB"/>
    <w:rsid w:val="007C0748"/>
    <w:rsid w:val="007C3AEB"/>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7198C"/>
    <w:rsid w:val="00872C1F"/>
    <w:rsid w:val="00873B42"/>
    <w:rsid w:val="00877CB0"/>
    <w:rsid w:val="008805AC"/>
    <w:rsid w:val="00880D1A"/>
    <w:rsid w:val="00884468"/>
    <w:rsid w:val="008856D8"/>
    <w:rsid w:val="00892E82"/>
    <w:rsid w:val="00893277"/>
    <w:rsid w:val="00895FA9"/>
    <w:rsid w:val="008A1035"/>
    <w:rsid w:val="008A6E08"/>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40DD"/>
    <w:rsid w:val="00905B47"/>
    <w:rsid w:val="0090690F"/>
    <w:rsid w:val="00911391"/>
    <w:rsid w:val="0091331C"/>
    <w:rsid w:val="009137BD"/>
    <w:rsid w:val="0091503D"/>
    <w:rsid w:val="009273D8"/>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6637"/>
    <w:rsid w:val="009E7E25"/>
    <w:rsid w:val="00A02E43"/>
    <w:rsid w:val="00A05368"/>
    <w:rsid w:val="00A065F9"/>
    <w:rsid w:val="00A07011"/>
    <w:rsid w:val="00A07F34"/>
    <w:rsid w:val="00A11229"/>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BBA"/>
    <w:rsid w:val="00A6730D"/>
    <w:rsid w:val="00A71625"/>
    <w:rsid w:val="00A71B9B"/>
    <w:rsid w:val="00A72C32"/>
    <w:rsid w:val="00A751C7"/>
    <w:rsid w:val="00A80008"/>
    <w:rsid w:val="00A84CE5"/>
    <w:rsid w:val="00A87844"/>
    <w:rsid w:val="00A9227B"/>
    <w:rsid w:val="00A97A55"/>
    <w:rsid w:val="00AA038C"/>
    <w:rsid w:val="00AA7A09"/>
    <w:rsid w:val="00AB3B50"/>
    <w:rsid w:val="00AC05B1"/>
    <w:rsid w:val="00AC450C"/>
    <w:rsid w:val="00AD340B"/>
    <w:rsid w:val="00AD356C"/>
    <w:rsid w:val="00AE2914"/>
    <w:rsid w:val="00AE6D15"/>
    <w:rsid w:val="00AE7023"/>
    <w:rsid w:val="00AE78AA"/>
    <w:rsid w:val="00AF0EF3"/>
    <w:rsid w:val="00AF1F49"/>
    <w:rsid w:val="00AF2D81"/>
    <w:rsid w:val="00B04182"/>
    <w:rsid w:val="00B054F5"/>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B6C11"/>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098C"/>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5BCC"/>
    <w:rsid w:val="00C66970"/>
    <w:rsid w:val="00C71E16"/>
    <w:rsid w:val="00C71F4D"/>
    <w:rsid w:val="00C8691C"/>
    <w:rsid w:val="00C86CB4"/>
    <w:rsid w:val="00C96295"/>
    <w:rsid w:val="00C96364"/>
    <w:rsid w:val="00CA03DF"/>
    <w:rsid w:val="00CA168A"/>
    <w:rsid w:val="00CA2097"/>
    <w:rsid w:val="00CA357E"/>
    <w:rsid w:val="00CA44F9"/>
    <w:rsid w:val="00CA4A69"/>
    <w:rsid w:val="00CB722E"/>
    <w:rsid w:val="00CC3E0C"/>
    <w:rsid w:val="00CC4AB1"/>
    <w:rsid w:val="00CC58D3"/>
    <w:rsid w:val="00CC784D"/>
    <w:rsid w:val="00CF1E15"/>
    <w:rsid w:val="00D00A8D"/>
    <w:rsid w:val="00D03268"/>
    <w:rsid w:val="00D0337B"/>
    <w:rsid w:val="00D07777"/>
    <w:rsid w:val="00D079B2"/>
    <w:rsid w:val="00D114E9"/>
    <w:rsid w:val="00D17CD8"/>
    <w:rsid w:val="00D2527C"/>
    <w:rsid w:val="00D313B3"/>
    <w:rsid w:val="00D35B8E"/>
    <w:rsid w:val="00D40F07"/>
    <w:rsid w:val="00D429C6"/>
    <w:rsid w:val="00D449D6"/>
    <w:rsid w:val="00D47748"/>
    <w:rsid w:val="00D5178F"/>
    <w:rsid w:val="00D518DF"/>
    <w:rsid w:val="00D54CC3"/>
    <w:rsid w:val="00D6041A"/>
    <w:rsid w:val="00D61258"/>
    <w:rsid w:val="00D633EB"/>
    <w:rsid w:val="00D736AC"/>
    <w:rsid w:val="00D747AA"/>
    <w:rsid w:val="00D75A7E"/>
    <w:rsid w:val="00D777F1"/>
    <w:rsid w:val="00D82FF7"/>
    <w:rsid w:val="00D84271"/>
    <w:rsid w:val="00D847FE"/>
    <w:rsid w:val="00D86B9C"/>
    <w:rsid w:val="00D900CD"/>
    <w:rsid w:val="00D90A39"/>
    <w:rsid w:val="00D964EA"/>
    <w:rsid w:val="00D966D0"/>
    <w:rsid w:val="00DA0C59"/>
    <w:rsid w:val="00DA3991"/>
    <w:rsid w:val="00DA72A1"/>
    <w:rsid w:val="00DA7F95"/>
    <w:rsid w:val="00DB01F1"/>
    <w:rsid w:val="00DB3222"/>
    <w:rsid w:val="00DB7E6C"/>
    <w:rsid w:val="00DC4F68"/>
    <w:rsid w:val="00DC64B0"/>
    <w:rsid w:val="00DC6B1E"/>
    <w:rsid w:val="00DD252A"/>
    <w:rsid w:val="00DD43BF"/>
    <w:rsid w:val="00DD5949"/>
    <w:rsid w:val="00DD5A29"/>
    <w:rsid w:val="00DD5D9D"/>
    <w:rsid w:val="00DE35CB"/>
    <w:rsid w:val="00DF0EF0"/>
    <w:rsid w:val="00DF21E9"/>
    <w:rsid w:val="00DF22C7"/>
    <w:rsid w:val="00DF5588"/>
    <w:rsid w:val="00DF5CC9"/>
    <w:rsid w:val="00E005D3"/>
    <w:rsid w:val="00E00F14"/>
    <w:rsid w:val="00E01AE2"/>
    <w:rsid w:val="00E01CB8"/>
    <w:rsid w:val="00E06386"/>
    <w:rsid w:val="00E075C5"/>
    <w:rsid w:val="00E1051A"/>
    <w:rsid w:val="00E111F3"/>
    <w:rsid w:val="00E11668"/>
    <w:rsid w:val="00E118E7"/>
    <w:rsid w:val="00E122B7"/>
    <w:rsid w:val="00E21B55"/>
    <w:rsid w:val="00E221D3"/>
    <w:rsid w:val="00E24EB4"/>
    <w:rsid w:val="00E30635"/>
    <w:rsid w:val="00E320ED"/>
    <w:rsid w:val="00E33AFB"/>
    <w:rsid w:val="00E34218"/>
    <w:rsid w:val="00E429FF"/>
    <w:rsid w:val="00E4555B"/>
    <w:rsid w:val="00E46282"/>
    <w:rsid w:val="00E5216E"/>
    <w:rsid w:val="00E5529C"/>
    <w:rsid w:val="00E657C6"/>
    <w:rsid w:val="00E75D40"/>
    <w:rsid w:val="00E81965"/>
    <w:rsid w:val="00E81A88"/>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356"/>
    <w:rsid w:val="00EC3CC9"/>
    <w:rsid w:val="00EC3D37"/>
    <w:rsid w:val="00EC5D85"/>
    <w:rsid w:val="00EC680A"/>
    <w:rsid w:val="00ED511C"/>
    <w:rsid w:val="00ED7229"/>
    <w:rsid w:val="00EE25CB"/>
    <w:rsid w:val="00EE2BED"/>
    <w:rsid w:val="00EE374B"/>
    <w:rsid w:val="00EE4A87"/>
    <w:rsid w:val="00EE6E7A"/>
    <w:rsid w:val="00EE7D6F"/>
    <w:rsid w:val="00EF2869"/>
    <w:rsid w:val="00F05D60"/>
    <w:rsid w:val="00F07224"/>
    <w:rsid w:val="00F07FD3"/>
    <w:rsid w:val="00F11BB5"/>
    <w:rsid w:val="00F1296C"/>
    <w:rsid w:val="00F1417B"/>
    <w:rsid w:val="00F1712D"/>
    <w:rsid w:val="00F17A17"/>
    <w:rsid w:val="00F208A0"/>
    <w:rsid w:val="00F2115E"/>
    <w:rsid w:val="00F25BB4"/>
    <w:rsid w:val="00F27B3D"/>
    <w:rsid w:val="00F30ABD"/>
    <w:rsid w:val="00F34B99"/>
    <w:rsid w:val="00F40B02"/>
    <w:rsid w:val="00F41E81"/>
    <w:rsid w:val="00F51720"/>
    <w:rsid w:val="00F51CF2"/>
    <w:rsid w:val="00F52DAB"/>
    <w:rsid w:val="00F543F0"/>
    <w:rsid w:val="00F55E3E"/>
    <w:rsid w:val="00F57601"/>
    <w:rsid w:val="00F73F99"/>
    <w:rsid w:val="00F75F80"/>
    <w:rsid w:val="00F81D29"/>
    <w:rsid w:val="00F8368C"/>
    <w:rsid w:val="00F90BE5"/>
    <w:rsid w:val="00F915C7"/>
    <w:rsid w:val="00F91C4D"/>
    <w:rsid w:val="00F92FD9"/>
    <w:rsid w:val="00FA1A0C"/>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E6DE4"/>
    <w:rsid w:val="00FF1801"/>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D5674"/>
  <w15:docId w15:val="{F8A0B0B0-5A46-4C7B-AC38-B177C973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
    <w:name w:val="Normal"/>
    <w:qFormat/>
    <w:rsid w:val="003234E0"/>
    <w:pPr>
      <w:widowControl w:val="0"/>
      <w:jc w:val="both"/>
    </w:pPr>
    <w:rPr>
      <w:kern w:val="2"/>
      <w:sz w:val="21"/>
      <w:szCs w:val="24"/>
    </w:rPr>
  </w:style>
  <w:style w:type="paragraph" w:styleId="1">
    <w:name w:val="heading 1"/>
    <w:basedOn w:val="aff"/>
    <w:next w:val="aff"/>
    <w:link w:val="10"/>
    <w:uiPriority w:val="9"/>
    <w:qFormat/>
    <w:rsid w:val="003D2382"/>
    <w:pPr>
      <w:keepNext/>
      <w:keepLines/>
      <w:spacing w:before="120" w:after="120"/>
      <w:outlineLvl w:val="0"/>
    </w:pPr>
    <w:rPr>
      <w:rFonts w:asciiTheme="minorHAnsi" w:eastAsia="黑体" w:hAnsiTheme="minorHAnsi" w:cstheme="minorBidi"/>
      <w:b/>
      <w:bCs/>
      <w:kern w:val="44"/>
      <w:sz w:val="32"/>
      <w:szCs w:val="44"/>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customStyle="1" w:styleId="aff3">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3"/>
    <w:rsid w:val="00035925"/>
    <w:rPr>
      <w:rFonts w:ascii="宋体"/>
      <w:noProof/>
      <w:sz w:val="21"/>
      <w:lang w:val="en-US" w:eastAsia="zh-CN" w:bidi="ar-SA"/>
    </w:rPr>
  </w:style>
  <w:style w:type="paragraph" w:customStyle="1" w:styleId="a2">
    <w:name w:val="一级条标题"/>
    <w:next w:val="aff3"/>
    <w:rsid w:val="001C149C"/>
    <w:pPr>
      <w:numPr>
        <w:ilvl w:val="1"/>
        <w:numId w:val="8"/>
      </w:numPr>
      <w:spacing w:beforeLines="50" w:afterLines="50"/>
      <w:outlineLvl w:val="2"/>
    </w:pPr>
    <w:rPr>
      <w:rFonts w:ascii="黑体" w:eastAsia="黑体"/>
      <w:sz w:val="21"/>
      <w:szCs w:val="21"/>
    </w:rPr>
  </w:style>
  <w:style w:type="paragraph" w:customStyle="1" w:styleId="aff4">
    <w:name w:val="标准书脚_奇数页"/>
    <w:rsid w:val="000A48B1"/>
    <w:pPr>
      <w:spacing w:before="120"/>
      <w:ind w:right="198"/>
      <w:jc w:val="right"/>
    </w:pPr>
    <w:rPr>
      <w:rFonts w:ascii="宋体"/>
      <w:sz w:val="18"/>
      <w:szCs w:val="18"/>
    </w:rPr>
  </w:style>
  <w:style w:type="paragraph" w:customStyle="1" w:styleId="aff5">
    <w:name w:val="标准书眉_奇数页"/>
    <w:next w:val="aff"/>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3"/>
    <w:rsid w:val="001C149C"/>
    <w:pPr>
      <w:numPr>
        <w:numId w:val="8"/>
      </w:numPr>
      <w:spacing w:beforeLines="100" w:afterLines="100"/>
      <w:jc w:val="both"/>
      <w:outlineLvl w:val="1"/>
    </w:pPr>
    <w:rPr>
      <w:rFonts w:ascii="黑体" w:eastAsia="黑体"/>
      <w:sz w:val="21"/>
    </w:rPr>
  </w:style>
  <w:style w:type="paragraph" w:customStyle="1" w:styleId="a3">
    <w:name w:val="二级条标题"/>
    <w:basedOn w:val="a2"/>
    <w:next w:val="aff3"/>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rsid w:val="00BE55CB"/>
    <w:pPr>
      <w:widowControl w:val="0"/>
      <w:numPr>
        <w:numId w:val="1"/>
      </w:numPr>
      <w:jc w:val="both"/>
    </w:pPr>
    <w:rPr>
      <w:rFonts w:ascii="宋体"/>
      <w:sz w:val="21"/>
    </w:rPr>
  </w:style>
  <w:style w:type="paragraph" w:customStyle="1" w:styleId="a9">
    <w:name w:val="列项●（二级）"/>
    <w:rsid w:val="00BE55CB"/>
    <w:pPr>
      <w:numPr>
        <w:ilvl w:val="1"/>
        <w:numId w:val="1"/>
      </w:numPr>
      <w:tabs>
        <w:tab w:val="left" w:pos="840"/>
      </w:tabs>
      <w:jc w:val="both"/>
    </w:pPr>
    <w:rPr>
      <w:rFonts w:ascii="宋体"/>
      <w:sz w:val="21"/>
    </w:rPr>
  </w:style>
  <w:style w:type="paragraph" w:customStyle="1" w:styleId="aff6">
    <w:name w:val="目次、标准名称标题"/>
    <w:basedOn w:val="aff"/>
    <w:next w:val="aff3"/>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7">
    <w:name w:val="三级条标题"/>
    <w:basedOn w:val="a3"/>
    <w:next w:val="aff3"/>
    <w:rsid w:val="001C149C"/>
    <w:pPr>
      <w:numPr>
        <w:ilvl w:val="0"/>
        <w:numId w:val="0"/>
      </w:numPr>
      <w:outlineLvl w:val="4"/>
    </w:pPr>
  </w:style>
  <w:style w:type="paragraph" w:customStyle="1" w:styleId="af3">
    <w:name w:val="示例"/>
    <w:next w:val="aff8"/>
    <w:rsid w:val="005A5EAF"/>
    <w:pPr>
      <w:widowControl w:val="0"/>
      <w:numPr>
        <w:numId w:val="11"/>
      </w:numPr>
      <w:jc w:val="both"/>
    </w:pPr>
    <w:rPr>
      <w:rFonts w:ascii="宋体"/>
      <w:sz w:val="18"/>
      <w:szCs w:val="18"/>
    </w:rPr>
  </w:style>
  <w:style w:type="paragraph" w:customStyle="1" w:styleId="ad">
    <w:name w:val="数字编号列项（二级）"/>
    <w:rsid w:val="003E5729"/>
    <w:pPr>
      <w:numPr>
        <w:ilvl w:val="1"/>
        <w:numId w:val="7"/>
      </w:numPr>
      <w:jc w:val="both"/>
    </w:pPr>
    <w:rPr>
      <w:rFonts w:ascii="宋体"/>
      <w:sz w:val="21"/>
    </w:rPr>
  </w:style>
  <w:style w:type="paragraph" w:customStyle="1" w:styleId="aff9">
    <w:name w:val="四级条标题"/>
    <w:basedOn w:val="aff7"/>
    <w:next w:val="aff3"/>
    <w:rsid w:val="001C149C"/>
    <w:pPr>
      <w:numPr>
        <w:ilvl w:val="4"/>
      </w:numPr>
      <w:outlineLvl w:val="5"/>
    </w:pPr>
  </w:style>
  <w:style w:type="paragraph" w:customStyle="1" w:styleId="affa">
    <w:name w:val="五级条标题"/>
    <w:basedOn w:val="aff9"/>
    <w:next w:val="aff3"/>
    <w:rsid w:val="001C149C"/>
    <w:pPr>
      <w:numPr>
        <w:ilvl w:val="5"/>
      </w:numPr>
      <w:outlineLvl w:val="6"/>
    </w:pPr>
  </w:style>
  <w:style w:type="paragraph" w:styleId="affb">
    <w:name w:val="footer"/>
    <w:basedOn w:val="aff"/>
    <w:rsid w:val="00294E70"/>
    <w:pPr>
      <w:snapToGrid w:val="0"/>
      <w:ind w:rightChars="100" w:right="210"/>
      <w:jc w:val="right"/>
    </w:pPr>
    <w:rPr>
      <w:sz w:val="18"/>
      <w:szCs w:val="18"/>
    </w:rPr>
  </w:style>
  <w:style w:type="paragraph" w:styleId="affc">
    <w:name w:val="header"/>
    <w:basedOn w:val="aff"/>
    <w:link w:val="11"/>
    <w:uiPriority w:val="99"/>
    <w:rsid w:val="00930116"/>
    <w:pPr>
      <w:snapToGrid w:val="0"/>
      <w:jc w:val="left"/>
    </w:pPr>
    <w:rPr>
      <w:sz w:val="18"/>
      <w:szCs w:val="18"/>
    </w:rPr>
  </w:style>
  <w:style w:type="paragraph" w:customStyle="1" w:styleId="a0">
    <w:name w:val="注："/>
    <w:next w:val="aff3"/>
    <w:rsid w:val="004200D9"/>
    <w:pPr>
      <w:widowControl w:val="0"/>
      <w:numPr>
        <w:numId w:val="16"/>
      </w:numPr>
      <w:autoSpaceDE w:val="0"/>
      <w:autoSpaceDN w:val="0"/>
      <w:ind w:left="726" w:hanging="363"/>
      <w:jc w:val="both"/>
    </w:pPr>
    <w:rPr>
      <w:rFonts w:ascii="宋体"/>
      <w:sz w:val="18"/>
      <w:szCs w:val="18"/>
    </w:rPr>
  </w:style>
  <w:style w:type="paragraph" w:customStyle="1" w:styleId="af0">
    <w:name w:val="注×："/>
    <w:rsid w:val="0090690F"/>
    <w:pPr>
      <w:widowControl w:val="0"/>
      <w:numPr>
        <w:numId w:val="14"/>
      </w:numPr>
      <w:autoSpaceDE w:val="0"/>
      <w:autoSpaceDN w:val="0"/>
      <w:ind w:left="811" w:hanging="448"/>
      <w:jc w:val="both"/>
    </w:pPr>
    <w:rPr>
      <w:rFonts w:ascii="宋体"/>
      <w:sz w:val="18"/>
      <w:szCs w:val="18"/>
    </w:rPr>
  </w:style>
  <w:style w:type="paragraph" w:customStyle="1" w:styleId="ac">
    <w:name w:val="字母编号列项（一级）"/>
    <w:rsid w:val="003E5729"/>
    <w:pPr>
      <w:numPr>
        <w:numId w:val="7"/>
      </w:numPr>
      <w:jc w:val="both"/>
    </w:pPr>
    <w:rPr>
      <w:rFonts w:ascii="宋体"/>
      <w:sz w:val="21"/>
    </w:rPr>
  </w:style>
  <w:style w:type="paragraph" w:customStyle="1" w:styleId="aa">
    <w:name w:val="列项◆（三级）"/>
    <w:basedOn w:val="aff"/>
    <w:rsid w:val="00BE55CB"/>
    <w:pPr>
      <w:numPr>
        <w:ilvl w:val="2"/>
        <w:numId w:val="1"/>
      </w:numPr>
    </w:pPr>
    <w:rPr>
      <w:rFonts w:ascii="宋体"/>
      <w:szCs w:val="21"/>
    </w:rPr>
  </w:style>
  <w:style w:type="paragraph" w:customStyle="1" w:styleId="ae">
    <w:name w:val="编号列项（三级）"/>
    <w:rsid w:val="003E5729"/>
    <w:pPr>
      <w:numPr>
        <w:ilvl w:val="2"/>
        <w:numId w:val="7"/>
      </w:numPr>
    </w:pPr>
    <w:rPr>
      <w:rFonts w:ascii="宋体"/>
      <w:sz w:val="21"/>
    </w:rPr>
  </w:style>
  <w:style w:type="paragraph" w:customStyle="1" w:styleId="afc">
    <w:name w:val="示例×："/>
    <w:basedOn w:val="a1"/>
    <w:qFormat/>
    <w:rsid w:val="007E1980"/>
    <w:pPr>
      <w:numPr>
        <w:numId w:val="12"/>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5">
    <w:name w:val="注：（正文）"/>
    <w:basedOn w:val="a0"/>
    <w:next w:val="aff3"/>
    <w:rsid w:val="004200D9"/>
    <w:pPr>
      <w:numPr>
        <w:numId w:val="13"/>
      </w:numPr>
      <w:ind w:left="726" w:hanging="363"/>
    </w:pPr>
  </w:style>
  <w:style w:type="paragraph" w:customStyle="1" w:styleId="a">
    <w:name w:val="注×：（正文）"/>
    <w:rsid w:val="0090690F"/>
    <w:pPr>
      <w:numPr>
        <w:numId w:val="15"/>
      </w:numPr>
      <w:ind w:left="811" w:hanging="448"/>
      <w:jc w:val="both"/>
    </w:pPr>
    <w:rPr>
      <w:rFonts w:ascii="宋体"/>
      <w:sz w:val="18"/>
      <w:szCs w:val="18"/>
    </w:rPr>
  </w:style>
  <w:style w:type="paragraph" w:customStyle="1" w:styleId="affe">
    <w:name w:val="标准标志"/>
    <w:next w:val="aff"/>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5"/>
    <w:next w:val="aff"/>
    <w:rsid w:val="0074741B"/>
    <w:pPr>
      <w:jc w:val="left"/>
    </w:pPr>
  </w:style>
  <w:style w:type="paragraph" w:customStyle="1" w:styleId="afff2">
    <w:name w:val="标准书眉一"/>
    <w:rsid w:val="00083A09"/>
    <w:pPr>
      <w:jc w:val="both"/>
    </w:pPr>
  </w:style>
  <w:style w:type="paragraph" w:customStyle="1" w:styleId="afff3">
    <w:name w:val="参考文献"/>
    <w:basedOn w:val="aff"/>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3"/>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5">
    <w:name w:val="附录标识"/>
    <w:basedOn w:val="aff"/>
    <w:next w:val="aff3"/>
    <w:rsid w:val="00083A09"/>
    <w:pPr>
      <w:keepNext/>
      <w:widowControl/>
      <w:numPr>
        <w:numId w:val="4"/>
      </w:numPr>
      <w:shd w:val="clear" w:color="FFFFFF" w:fill="FFFFFF"/>
      <w:tabs>
        <w:tab w:val="left" w:pos="6405"/>
      </w:tabs>
      <w:spacing w:before="640" w:after="280"/>
      <w:ind w:left="4819"/>
      <w:jc w:val="center"/>
      <w:outlineLvl w:val="0"/>
    </w:pPr>
    <w:rPr>
      <w:rFonts w:ascii="黑体" w:eastAsia="黑体"/>
      <w:kern w:val="0"/>
      <w:szCs w:val="20"/>
    </w:rPr>
  </w:style>
  <w:style w:type="paragraph" w:customStyle="1" w:styleId="affff0">
    <w:name w:val="附录标题"/>
    <w:basedOn w:val="aff3"/>
    <w:next w:val="aff3"/>
    <w:rsid w:val="00083A09"/>
    <w:pPr>
      <w:ind w:firstLineChars="0" w:firstLine="0"/>
      <w:jc w:val="center"/>
    </w:pPr>
    <w:rPr>
      <w:rFonts w:ascii="黑体" w:eastAsia="黑体"/>
    </w:rPr>
  </w:style>
  <w:style w:type="paragraph" w:customStyle="1" w:styleId="af1">
    <w:name w:val="附录表标号"/>
    <w:basedOn w:val="aff"/>
    <w:next w:val="aff3"/>
    <w:rsid w:val="00083A09"/>
    <w:pPr>
      <w:numPr>
        <w:numId w:val="2"/>
      </w:numPr>
      <w:tabs>
        <w:tab w:val="clear" w:pos="0"/>
      </w:tabs>
      <w:spacing w:line="14" w:lineRule="exact"/>
      <w:ind w:left="811" w:hanging="448"/>
      <w:jc w:val="center"/>
      <w:outlineLvl w:val="0"/>
    </w:pPr>
    <w:rPr>
      <w:color w:val="FFFFFF"/>
    </w:rPr>
  </w:style>
  <w:style w:type="paragraph" w:customStyle="1" w:styleId="af2">
    <w:name w:val="附录表标题"/>
    <w:basedOn w:val="aff"/>
    <w:next w:val="aff3"/>
    <w:rsid w:val="000D718B"/>
    <w:pPr>
      <w:numPr>
        <w:ilvl w:val="1"/>
        <w:numId w:val="2"/>
      </w:numPr>
      <w:tabs>
        <w:tab w:val="num" w:pos="180"/>
      </w:tabs>
      <w:spacing w:beforeLines="50" w:afterLines="50"/>
      <w:ind w:left="0" w:firstLine="0"/>
      <w:jc w:val="center"/>
    </w:pPr>
    <w:rPr>
      <w:rFonts w:ascii="黑体" w:eastAsia="黑体"/>
      <w:szCs w:val="21"/>
    </w:rPr>
  </w:style>
  <w:style w:type="paragraph" w:customStyle="1" w:styleId="af8">
    <w:name w:val="附录二级条标题"/>
    <w:basedOn w:val="aff"/>
    <w:next w:val="aff3"/>
    <w:rsid w:val="00083A09"/>
    <w:pPr>
      <w:widowControl/>
      <w:numPr>
        <w:ilvl w:val="3"/>
        <w:numId w:val="4"/>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8"/>
    <w:rsid w:val="00BF617A"/>
    <w:pPr>
      <w:tabs>
        <w:tab w:val="clear" w:pos="360"/>
      </w:tabs>
      <w:spacing w:beforeLines="0" w:afterLines="0"/>
    </w:pPr>
    <w:rPr>
      <w:rFonts w:ascii="宋体" w:eastAsia="宋体"/>
      <w:szCs w:val="21"/>
    </w:rPr>
  </w:style>
  <w:style w:type="paragraph" w:customStyle="1" w:styleId="affff2">
    <w:name w:val="附录公式"/>
    <w:basedOn w:val="aff3"/>
    <w:next w:val="aff3"/>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
    <w:next w:val="aff3"/>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9">
    <w:name w:val="附录三级条标题"/>
    <w:basedOn w:val="af8"/>
    <w:next w:val="aff3"/>
    <w:rsid w:val="00083A09"/>
    <w:pPr>
      <w:numPr>
        <w:ilvl w:val="4"/>
      </w:numPr>
      <w:tabs>
        <w:tab w:val="num" w:pos="360"/>
      </w:tabs>
      <w:outlineLvl w:val="4"/>
    </w:pPr>
  </w:style>
  <w:style w:type="paragraph" w:customStyle="1" w:styleId="affff4">
    <w:name w:val="附录三级无"/>
    <w:basedOn w:val="af9"/>
    <w:rsid w:val="00BF617A"/>
    <w:pPr>
      <w:tabs>
        <w:tab w:val="clear" w:pos="360"/>
      </w:tabs>
      <w:spacing w:beforeLines="0" w:afterLines="0"/>
    </w:pPr>
    <w:rPr>
      <w:rFonts w:ascii="宋体" w:eastAsia="宋体"/>
      <w:szCs w:val="21"/>
    </w:rPr>
  </w:style>
  <w:style w:type="paragraph" w:customStyle="1" w:styleId="afe">
    <w:name w:val="附录数字编号列项（二级）"/>
    <w:qFormat/>
    <w:rsid w:val="00A751C7"/>
    <w:pPr>
      <w:numPr>
        <w:ilvl w:val="1"/>
        <w:numId w:val="5"/>
      </w:numPr>
    </w:pPr>
    <w:rPr>
      <w:rFonts w:ascii="宋体"/>
      <w:sz w:val="21"/>
    </w:rPr>
  </w:style>
  <w:style w:type="paragraph" w:customStyle="1" w:styleId="afa">
    <w:name w:val="附录四级条标题"/>
    <w:basedOn w:val="af9"/>
    <w:next w:val="aff3"/>
    <w:rsid w:val="00083A09"/>
    <w:pPr>
      <w:numPr>
        <w:ilvl w:val="5"/>
      </w:numPr>
      <w:tabs>
        <w:tab w:val="num" w:pos="360"/>
      </w:tabs>
      <w:outlineLvl w:val="5"/>
    </w:pPr>
  </w:style>
  <w:style w:type="paragraph" w:customStyle="1" w:styleId="affff5">
    <w:name w:val="附录四级无"/>
    <w:basedOn w:val="afa"/>
    <w:rsid w:val="00BF617A"/>
    <w:pPr>
      <w:tabs>
        <w:tab w:val="clear" w:pos="360"/>
      </w:tabs>
      <w:spacing w:beforeLines="0" w:afterLines="0"/>
    </w:pPr>
    <w:rPr>
      <w:rFonts w:ascii="宋体" w:eastAsia="宋体"/>
      <w:szCs w:val="21"/>
    </w:rPr>
  </w:style>
  <w:style w:type="paragraph" w:customStyle="1" w:styleId="a6">
    <w:name w:val="附录图标号"/>
    <w:basedOn w:val="aff"/>
    <w:rsid w:val="00083A09"/>
    <w:pPr>
      <w:keepNext/>
      <w:pageBreakBefore/>
      <w:widowControl/>
      <w:numPr>
        <w:numId w:val="3"/>
      </w:numPr>
      <w:spacing w:line="14" w:lineRule="exact"/>
      <w:ind w:left="0" w:firstLine="363"/>
      <w:jc w:val="center"/>
      <w:outlineLvl w:val="0"/>
    </w:pPr>
    <w:rPr>
      <w:color w:val="FFFFFF"/>
    </w:rPr>
  </w:style>
  <w:style w:type="paragraph" w:customStyle="1" w:styleId="a7">
    <w:name w:val="附录图标题"/>
    <w:basedOn w:val="aff"/>
    <w:next w:val="aff3"/>
    <w:rsid w:val="000D718B"/>
    <w:pPr>
      <w:numPr>
        <w:ilvl w:val="1"/>
        <w:numId w:val="3"/>
      </w:numPr>
      <w:tabs>
        <w:tab w:val="num" w:pos="363"/>
      </w:tabs>
      <w:spacing w:beforeLines="50" w:afterLines="50"/>
      <w:ind w:left="0" w:firstLine="0"/>
      <w:jc w:val="center"/>
    </w:pPr>
    <w:rPr>
      <w:rFonts w:ascii="黑体" w:eastAsia="黑体"/>
      <w:szCs w:val="21"/>
    </w:rPr>
  </w:style>
  <w:style w:type="paragraph" w:customStyle="1" w:styleId="afb">
    <w:name w:val="附录五级条标题"/>
    <w:basedOn w:val="afa"/>
    <w:next w:val="aff3"/>
    <w:rsid w:val="00083A09"/>
    <w:pPr>
      <w:numPr>
        <w:ilvl w:val="6"/>
      </w:numPr>
      <w:tabs>
        <w:tab w:val="num" w:pos="360"/>
      </w:tabs>
      <w:outlineLvl w:val="6"/>
    </w:pPr>
  </w:style>
  <w:style w:type="paragraph" w:customStyle="1" w:styleId="affff6">
    <w:name w:val="附录五级无"/>
    <w:basedOn w:val="afb"/>
    <w:rsid w:val="00BF617A"/>
    <w:pPr>
      <w:tabs>
        <w:tab w:val="clear" w:pos="360"/>
      </w:tabs>
      <w:spacing w:beforeLines="0" w:afterLines="0"/>
    </w:pPr>
    <w:rPr>
      <w:rFonts w:ascii="宋体" w:eastAsia="宋体"/>
      <w:szCs w:val="21"/>
    </w:rPr>
  </w:style>
  <w:style w:type="paragraph" w:customStyle="1" w:styleId="af6">
    <w:name w:val="附录章标题"/>
    <w:next w:val="aff3"/>
    <w:rsid w:val="00083A09"/>
    <w:pPr>
      <w:numPr>
        <w:ilvl w:val="1"/>
        <w:numId w:val="4"/>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3"/>
    <w:rsid w:val="00083A09"/>
    <w:pPr>
      <w:numPr>
        <w:ilvl w:val="2"/>
      </w:numPr>
      <w:tabs>
        <w:tab w:val="num" w:pos="360"/>
      </w:tabs>
      <w:autoSpaceDN w:val="0"/>
      <w:spacing w:beforeLines="50" w:afterLines="50"/>
      <w:outlineLvl w:val="2"/>
    </w:pPr>
  </w:style>
  <w:style w:type="paragraph" w:customStyle="1" w:styleId="affff7">
    <w:name w:val="附录一级无"/>
    <w:basedOn w:val="af7"/>
    <w:rsid w:val="00BF617A"/>
    <w:pPr>
      <w:tabs>
        <w:tab w:val="clear" w:pos="360"/>
      </w:tabs>
      <w:spacing w:beforeLines="0" w:afterLines="0"/>
    </w:pPr>
    <w:rPr>
      <w:rFonts w:ascii="宋体" w:eastAsia="宋体"/>
      <w:szCs w:val="21"/>
    </w:rPr>
  </w:style>
  <w:style w:type="paragraph" w:customStyle="1" w:styleId="afd">
    <w:name w:val="附录字母编号列项（一级）"/>
    <w:qFormat/>
    <w:rsid w:val="00A751C7"/>
    <w:pPr>
      <w:numPr>
        <w:numId w:val="5"/>
      </w:numPr>
    </w:pPr>
    <w:rPr>
      <w:rFonts w:ascii="宋体"/>
      <w:noProof/>
      <w:sz w:val="21"/>
    </w:rPr>
  </w:style>
  <w:style w:type="paragraph" w:styleId="ab">
    <w:name w:val="footnote text"/>
    <w:basedOn w:val="aff"/>
    <w:rsid w:val="00074FBE"/>
    <w:pPr>
      <w:numPr>
        <w:numId w:val="6"/>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TOC3">
    <w:name w:val="toc 3"/>
    <w:basedOn w:val="aff"/>
    <w:next w:val="aff"/>
    <w:autoRedefine/>
    <w:uiPriority w:val="39"/>
    <w:rsid w:val="00961C93"/>
    <w:pPr>
      <w:tabs>
        <w:tab w:val="right" w:leader="dot" w:pos="9241"/>
      </w:tabs>
      <w:ind w:firstLineChars="100" w:firstLine="102"/>
      <w:jc w:val="left"/>
    </w:pPr>
    <w:rPr>
      <w:rFonts w:ascii="宋体"/>
      <w:szCs w:val="21"/>
    </w:rPr>
  </w:style>
  <w:style w:type="paragraph" w:styleId="TOC4">
    <w:name w:val="toc 4"/>
    <w:basedOn w:val="aff"/>
    <w:next w:val="aff"/>
    <w:autoRedefine/>
    <w:semiHidden/>
    <w:rsid w:val="00961C93"/>
    <w:pPr>
      <w:tabs>
        <w:tab w:val="right" w:leader="dot" w:pos="9241"/>
      </w:tabs>
      <w:ind w:firstLineChars="200" w:firstLine="198"/>
      <w:jc w:val="left"/>
    </w:pPr>
    <w:rPr>
      <w:rFonts w:ascii="宋体"/>
      <w:szCs w:val="21"/>
    </w:rPr>
  </w:style>
  <w:style w:type="paragraph" w:styleId="TOC5">
    <w:name w:val="toc 5"/>
    <w:basedOn w:val="aff"/>
    <w:next w:val="aff"/>
    <w:autoRedefine/>
    <w:semiHidden/>
    <w:rsid w:val="00961C93"/>
    <w:pPr>
      <w:tabs>
        <w:tab w:val="right" w:leader="dot" w:pos="9241"/>
      </w:tabs>
      <w:ind w:firstLineChars="300" w:firstLine="300"/>
      <w:jc w:val="left"/>
    </w:pPr>
    <w:rPr>
      <w:rFonts w:ascii="宋体"/>
      <w:szCs w:val="21"/>
    </w:rPr>
  </w:style>
  <w:style w:type="paragraph" w:styleId="TOC6">
    <w:name w:val="toc 6"/>
    <w:basedOn w:val="aff"/>
    <w:next w:val="aff"/>
    <w:autoRedefine/>
    <w:semiHidden/>
    <w:rsid w:val="00961C93"/>
    <w:pPr>
      <w:tabs>
        <w:tab w:val="right" w:leader="dot" w:pos="9241"/>
      </w:tabs>
      <w:ind w:firstLineChars="400" w:firstLine="403"/>
      <w:jc w:val="left"/>
    </w:pPr>
    <w:rPr>
      <w:rFonts w:ascii="宋体"/>
      <w:szCs w:val="21"/>
    </w:rPr>
  </w:style>
  <w:style w:type="paragraph" w:styleId="TOC7">
    <w:name w:val="toc 7"/>
    <w:basedOn w:val="aff"/>
    <w:next w:val="aff"/>
    <w:autoRedefine/>
    <w:semiHidden/>
    <w:rsid w:val="00961C93"/>
    <w:pPr>
      <w:tabs>
        <w:tab w:val="right" w:leader="dot" w:pos="9241"/>
      </w:tabs>
      <w:ind w:firstLineChars="500" w:firstLine="505"/>
      <w:jc w:val="left"/>
    </w:pPr>
    <w:rPr>
      <w:rFonts w:ascii="宋体"/>
      <w:szCs w:val="21"/>
    </w:rPr>
  </w:style>
  <w:style w:type="paragraph" w:styleId="TOC8">
    <w:name w:val="toc 8"/>
    <w:basedOn w:val="aff"/>
    <w:next w:val="aff"/>
    <w:autoRedefine/>
    <w:semiHidden/>
    <w:rsid w:val="00D54CC3"/>
    <w:pPr>
      <w:tabs>
        <w:tab w:val="right" w:leader="dot" w:pos="9241"/>
      </w:tabs>
      <w:ind w:firstLineChars="600" w:firstLine="607"/>
      <w:jc w:val="left"/>
    </w:pPr>
    <w:rPr>
      <w:rFonts w:ascii="宋体"/>
      <w:szCs w:val="21"/>
    </w:rPr>
  </w:style>
  <w:style w:type="paragraph" w:styleId="TOC9">
    <w:name w:val="toc 9"/>
    <w:basedOn w:val="aff"/>
    <w:next w:val="aff"/>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3"/>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ff7"/>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3"/>
    <w:next w:val="aff3"/>
    <w:qFormat/>
    <w:rsid w:val="00083A09"/>
    <w:pPr>
      <w:ind w:firstLine="360"/>
    </w:pPr>
    <w:rPr>
      <w:sz w:val="18"/>
    </w:rPr>
  </w:style>
  <w:style w:type="paragraph" w:customStyle="1" w:styleId="afffff3">
    <w:name w:val="首示例"/>
    <w:next w:val="aff3"/>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ff9"/>
    <w:rsid w:val="001C149C"/>
    <w:pPr>
      <w:spacing w:beforeLines="0" w:afterLines="0"/>
    </w:pPr>
    <w:rPr>
      <w:rFonts w:ascii="宋体" w:eastAsia="宋体"/>
    </w:rPr>
  </w:style>
  <w:style w:type="paragraph" w:styleId="13">
    <w:name w:val="index 1"/>
    <w:basedOn w:val="aff"/>
    <w:next w:val="aff3"/>
    <w:rsid w:val="009951DC"/>
    <w:pPr>
      <w:tabs>
        <w:tab w:val="right" w:leader="dot" w:pos="9299"/>
      </w:tabs>
      <w:jc w:val="left"/>
    </w:pPr>
    <w:rPr>
      <w:rFonts w:ascii="宋体"/>
      <w:szCs w:val="21"/>
    </w:rPr>
  </w:style>
  <w:style w:type="paragraph" w:styleId="20">
    <w:name w:val="index 2"/>
    <w:basedOn w:val="aff"/>
    <w:next w:val="aff"/>
    <w:autoRedefine/>
    <w:rsid w:val="00083A09"/>
    <w:pPr>
      <w:ind w:left="420" w:hanging="210"/>
      <w:jc w:val="left"/>
    </w:pPr>
    <w:rPr>
      <w:rFonts w:ascii="Calibri" w:hAnsi="Calibri"/>
      <w:sz w:val="20"/>
      <w:szCs w:val="20"/>
    </w:rPr>
  </w:style>
  <w:style w:type="paragraph" w:styleId="3">
    <w:name w:val="index 3"/>
    <w:basedOn w:val="aff"/>
    <w:next w:val="aff"/>
    <w:autoRedefine/>
    <w:rsid w:val="00083A09"/>
    <w:pPr>
      <w:ind w:left="630" w:hanging="210"/>
      <w:jc w:val="left"/>
    </w:pPr>
    <w:rPr>
      <w:rFonts w:ascii="Calibri" w:hAnsi="Calibri"/>
      <w:sz w:val="20"/>
      <w:szCs w:val="20"/>
    </w:rPr>
  </w:style>
  <w:style w:type="paragraph" w:styleId="4">
    <w:name w:val="index 4"/>
    <w:basedOn w:val="aff"/>
    <w:next w:val="aff"/>
    <w:autoRedefine/>
    <w:rsid w:val="00083A09"/>
    <w:pPr>
      <w:ind w:left="840" w:hanging="210"/>
      <w:jc w:val="left"/>
    </w:pPr>
    <w:rPr>
      <w:rFonts w:ascii="Calibri" w:hAnsi="Calibri"/>
      <w:sz w:val="20"/>
      <w:szCs w:val="20"/>
    </w:rPr>
  </w:style>
  <w:style w:type="paragraph" w:styleId="5">
    <w:name w:val="index 5"/>
    <w:basedOn w:val="aff"/>
    <w:next w:val="aff"/>
    <w:autoRedefine/>
    <w:rsid w:val="00083A09"/>
    <w:pPr>
      <w:ind w:left="1050" w:hanging="210"/>
      <w:jc w:val="left"/>
    </w:pPr>
    <w:rPr>
      <w:rFonts w:ascii="Calibri" w:hAnsi="Calibri"/>
      <w:sz w:val="20"/>
      <w:szCs w:val="20"/>
    </w:rPr>
  </w:style>
  <w:style w:type="paragraph" w:styleId="6">
    <w:name w:val="index 6"/>
    <w:basedOn w:val="aff"/>
    <w:next w:val="aff"/>
    <w:autoRedefine/>
    <w:rsid w:val="00083A09"/>
    <w:pPr>
      <w:ind w:left="1260" w:hanging="210"/>
      <w:jc w:val="left"/>
    </w:pPr>
    <w:rPr>
      <w:rFonts w:ascii="Calibri" w:hAnsi="Calibri"/>
      <w:sz w:val="20"/>
      <w:szCs w:val="20"/>
    </w:rPr>
  </w:style>
  <w:style w:type="paragraph" w:styleId="7">
    <w:name w:val="index 7"/>
    <w:basedOn w:val="aff"/>
    <w:next w:val="aff"/>
    <w:autoRedefine/>
    <w:rsid w:val="00083A09"/>
    <w:pPr>
      <w:ind w:left="1470" w:hanging="210"/>
      <w:jc w:val="left"/>
    </w:pPr>
    <w:rPr>
      <w:rFonts w:ascii="Calibri" w:hAnsi="Calibri"/>
      <w:sz w:val="20"/>
      <w:szCs w:val="20"/>
    </w:rPr>
  </w:style>
  <w:style w:type="paragraph" w:styleId="8">
    <w:name w:val="index 8"/>
    <w:basedOn w:val="aff"/>
    <w:next w:val="aff"/>
    <w:autoRedefine/>
    <w:rsid w:val="00083A09"/>
    <w:pPr>
      <w:ind w:left="1680" w:hanging="210"/>
      <w:jc w:val="left"/>
    </w:pPr>
    <w:rPr>
      <w:rFonts w:ascii="Calibri" w:hAnsi="Calibri"/>
      <w:sz w:val="20"/>
      <w:szCs w:val="20"/>
    </w:rPr>
  </w:style>
  <w:style w:type="paragraph" w:styleId="9">
    <w:name w:val="index 9"/>
    <w:basedOn w:val="aff"/>
    <w:next w:val="aff"/>
    <w:autoRedefine/>
    <w:rsid w:val="00083A09"/>
    <w:pPr>
      <w:ind w:left="1890" w:hanging="210"/>
      <w:jc w:val="left"/>
    </w:pPr>
    <w:rPr>
      <w:rFonts w:ascii="Calibri" w:hAnsi="Calibri"/>
      <w:sz w:val="20"/>
      <w:szCs w:val="20"/>
    </w:rPr>
  </w:style>
  <w:style w:type="paragraph" w:styleId="afffff5">
    <w:name w:val="index heading"/>
    <w:basedOn w:val="aff"/>
    <w:next w:val="13"/>
    <w:rsid w:val="00083A09"/>
    <w:pPr>
      <w:spacing w:before="120" w:after="120"/>
      <w:jc w:val="center"/>
    </w:pPr>
    <w:rPr>
      <w:rFonts w:ascii="Calibri" w:hAnsi="Calibri"/>
      <w:b/>
      <w:bCs/>
      <w:iCs/>
      <w:szCs w:val="20"/>
    </w:rPr>
  </w:style>
  <w:style w:type="paragraph" w:styleId="afffff6">
    <w:name w:val="caption"/>
    <w:basedOn w:val="aff"/>
    <w:next w:val="aff"/>
    <w:qFormat/>
    <w:rsid w:val="00083A09"/>
    <w:pPr>
      <w:spacing w:before="152" w:after="160"/>
    </w:pPr>
    <w:rPr>
      <w:rFonts w:ascii="Arial" w:eastAsia="黑体" w:hAnsi="Arial" w:cs="Arial"/>
      <w:sz w:val="20"/>
      <w:szCs w:val="20"/>
    </w:rPr>
  </w:style>
  <w:style w:type="paragraph" w:customStyle="1" w:styleId="afffff7">
    <w:name w:val="条文脚注"/>
    <w:basedOn w:val="ab"/>
    <w:rsid w:val="000D718B"/>
    <w:pPr>
      <w:numPr>
        <w:numId w:val="0"/>
      </w:numPr>
      <w:jc w:val="both"/>
    </w:pPr>
  </w:style>
  <w:style w:type="paragraph" w:customStyle="1" w:styleId="afffff8">
    <w:name w:val="图标脚注说明"/>
    <w:basedOn w:val="aff3"/>
    <w:rsid w:val="000D718B"/>
    <w:pPr>
      <w:ind w:left="840" w:firstLineChars="0" w:hanging="420"/>
    </w:pPr>
    <w:rPr>
      <w:sz w:val="18"/>
      <w:szCs w:val="18"/>
    </w:rPr>
  </w:style>
  <w:style w:type="paragraph" w:customStyle="1" w:styleId="a4">
    <w:name w:val="图表脚注说明"/>
    <w:basedOn w:val="aff"/>
    <w:rsid w:val="003912E7"/>
    <w:pPr>
      <w:numPr>
        <w:numId w:val="17"/>
      </w:numPr>
    </w:pPr>
    <w:rPr>
      <w:rFonts w:ascii="宋体"/>
      <w:sz w:val="18"/>
      <w:szCs w:val="18"/>
    </w:rPr>
  </w:style>
  <w:style w:type="paragraph" w:customStyle="1" w:styleId="afffff9">
    <w:name w:val="图的脚注"/>
    <w:next w:val="aff3"/>
    <w:autoRedefine/>
    <w:qFormat/>
    <w:rsid w:val="00083A09"/>
    <w:pPr>
      <w:widowControl w:val="0"/>
      <w:ind w:leftChars="200" w:left="840" w:hangingChars="200" w:hanging="420"/>
      <w:jc w:val="both"/>
    </w:pPr>
    <w:rPr>
      <w:rFonts w:ascii="宋体"/>
      <w:sz w:val="18"/>
    </w:rPr>
  </w:style>
  <w:style w:type="table" w:styleId="afffffa">
    <w:name w:val="Table Grid"/>
    <w:basedOn w:val="aff1"/>
    <w:uiPriority w:val="59"/>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ffa"/>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4">
    <w:name w:val="正文表标题"/>
    <w:next w:val="aff3"/>
    <w:rsid w:val="00083A09"/>
    <w:pPr>
      <w:numPr>
        <w:numId w:val="9"/>
      </w:numPr>
      <w:spacing w:beforeLines="50" w:afterLines="50"/>
      <w:jc w:val="center"/>
    </w:pPr>
    <w:rPr>
      <w:rFonts w:ascii="黑体" w:eastAsia="黑体"/>
      <w:sz w:val="21"/>
    </w:rPr>
  </w:style>
  <w:style w:type="paragraph" w:customStyle="1" w:styleId="affffff3">
    <w:name w:val="正文公式编号制表符"/>
    <w:basedOn w:val="aff3"/>
    <w:next w:val="aff3"/>
    <w:qFormat/>
    <w:rsid w:val="00EC680A"/>
    <w:pPr>
      <w:ind w:firstLineChars="0" w:firstLine="0"/>
    </w:pPr>
  </w:style>
  <w:style w:type="paragraph" w:customStyle="1" w:styleId="af">
    <w:name w:val="正文图标题"/>
    <w:next w:val="aff3"/>
    <w:rsid w:val="00083A09"/>
    <w:pPr>
      <w:numPr>
        <w:numId w:val="10"/>
      </w:numPr>
      <w:spacing w:beforeLines="50" w:afterLines="50"/>
      <w:jc w:val="center"/>
    </w:pPr>
    <w:rPr>
      <w:rFonts w:ascii="黑体" w:eastAsia="黑体"/>
      <w:sz w:val="21"/>
    </w:rPr>
  </w:style>
  <w:style w:type="paragraph" w:customStyle="1" w:styleId="affffff4">
    <w:name w:val="终结线"/>
    <w:basedOn w:val="aff"/>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8">
    <w:name w:val="示例内容"/>
    <w:rsid w:val="00B636A8"/>
    <w:pPr>
      <w:ind w:firstLineChars="200" w:firstLine="200"/>
    </w:pPr>
    <w:rPr>
      <w:rFonts w:ascii="宋体"/>
      <w:noProof/>
      <w:sz w:val="18"/>
      <w:szCs w:val="18"/>
    </w:rPr>
  </w:style>
  <w:style w:type="paragraph" w:styleId="TOC1">
    <w:name w:val="toc 1"/>
    <w:basedOn w:val="aff"/>
    <w:next w:val="aff"/>
    <w:autoRedefine/>
    <w:uiPriority w:val="39"/>
    <w:rsid w:val="00961C93"/>
    <w:pPr>
      <w:tabs>
        <w:tab w:val="right" w:leader="dot" w:pos="9241"/>
      </w:tabs>
      <w:spacing w:beforeLines="25" w:afterLines="25"/>
      <w:jc w:val="left"/>
    </w:pPr>
    <w:rPr>
      <w:rFonts w:ascii="宋体"/>
      <w:szCs w:val="21"/>
    </w:rPr>
  </w:style>
  <w:style w:type="paragraph" w:styleId="TOC2">
    <w:name w:val="toc 2"/>
    <w:basedOn w:val="aff"/>
    <w:next w:val="aff"/>
    <w:autoRedefine/>
    <w:uiPriority w:val="39"/>
    <w:rsid w:val="00961C93"/>
    <w:pPr>
      <w:tabs>
        <w:tab w:val="right" w:leader="dot" w:pos="9241"/>
      </w:tabs>
    </w:pPr>
    <w:rPr>
      <w:rFonts w:ascii="宋体"/>
      <w:szCs w:val="21"/>
    </w:rPr>
  </w:style>
  <w:style w:type="paragraph" w:customStyle="1" w:styleId="affffff7">
    <w:name w:val="标准名称"/>
    <w:basedOn w:val="aff6"/>
    <w:link w:val="Char3"/>
    <w:qFormat/>
    <w:rsid w:val="00B74441"/>
  </w:style>
  <w:style w:type="character" w:styleId="affffff8">
    <w:name w:val="Placeholder Text"/>
    <w:basedOn w:val="aff0"/>
    <w:uiPriority w:val="99"/>
    <w:semiHidden/>
    <w:rsid w:val="00B74441"/>
    <w:rPr>
      <w:color w:val="808080"/>
    </w:rPr>
  </w:style>
  <w:style w:type="character" w:customStyle="1" w:styleId="Char0">
    <w:name w:val="目次、标准名称标题 Char"/>
    <w:basedOn w:val="aff0"/>
    <w:link w:val="aff6"/>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
    <w:link w:val="affffffa"/>
    <w:rsid w:val="00B74441"/>
    <w:rPr>
      <w:sz w:val="18"/>
      <w:szCs w:val="18"/>
    </w:rPr>
  </w:style>
  <w:style w:type="character" w:customStyle="1" w:styleId="affffffa">
    <w:name w:val="批注框文本 字符"/>
    <w:basedOn w:val="aff0"/>
    <w:link w:val="affffff9"/>
    <w:rsid w:val="00B74441"/>
    <w:rPr>
      <w:kern w:val="2"/>
      <w:sz w:val="18"/>
      <w:szCs w:val="18"/>
    </w:rPr>
  </w:style>
  <w:style w:type="paragraph" w:styleId="affffffb">
    <w:name w:val="annotation text"/>
    <w:basedOn w:val="aff"/>
    <w:link w:val="14"/>
    <w:uiPriority w:val="99"/>
    <w:unhideWhenUsed/>
    <w:rsid w:val="00A72C32"/>
    <w:pPr>
      <w:jc w:val="left"/>
    </w:pPr>
    <w:rPr>
      <w:rFonts w:ascii="Calibri" w:hAnsi="Calibri"/>
      <w:szCs w:val="22"/>
    </w:rPr>
  </w:style>
  <w:style w:type="character" w:customStyle="1" w:styleId="affffffc">
    <w:name w:val="批注文字 字符"/>
    <w:basedOn w:val="aff0"/>
    <w:uiPriority w:val="99"/>
    <w:rsid w:val="00A72C32"/>
    <w:rPr>
      <w:kern w:val="2"/>
      <w:sz w:val="21"/>
      <w:szCs w:val="24"/>
    </w:rPr>
  </w:style>
  <w:style w:type="character" w:customStyle="1" w:styleId="14">
    <w:name w:val="批注文字 字符1"/>
    <w:basedOn w:val="aff0"/>
    <w:link w:val="affffffb"/>
    <w:uiPriority w:val="99"/>
    <w:rsid w:val="00A72C32"/>
    <w:rPr>
      <w:rFonts w:ascii="Calibri" w:hAnsi="Calibri"/>
      <w:kern w:val="2"/>
      <w:sz w:val="21"/>
      <w:szCs w:val="22"/>
    </w:rPr>
  </w:style>
  <w:style w:type="paragraph" w:styleId="affffffd">
    <w:name w:val="List Paragraph"/>
    <w:basedOn w:val="aff"/>
    <w:uiPriority w:val="34"/>
    <w:qFormat/>
    <w:rsid w:val="00A72C32"/>
    <w:pPr>
      <w:ind w:firstLineChars="200" w:firstLine="420"/>
    </w:pPr>
  </w:style>
  <w:style w:type="character" w:customStyle="1" w:styleId="11">
    <w:name w:val="页眉 字符1"/>
    <w:basedOn w:val="aff0"/>
    <w:link w:val="affc"/>
    <w:uiPriority w:val="99"/>
    <w:rsid w:val="00A72C32"/>
    <w:rPr>
      <w:kern w:val="2"/>
      <w:sz w:val="18"/>
      <w:szCs w:val="18"/>
    </w:rPr>
  </w:style>
  <w:style w:type="paragraph" w:customStyle="1" w:styleId="affffffe">
    <w:basedOn w:val="aff"/>
    <w:next w:val="affffffd"/>
    <w:uiPriority w:val="34"/>
    <w:qFormat/>
    <w:rsid w:val="00FA1A0C"/>
    <w:pPr>
      <w:ind w:firstLineChars="200" w:firstLine="420"/>
    </w:pPr>
    <w:rPr>
      <w:rFonts w:ascii="Calibri" w:hAnsi="Calibri"/>
      <w:szCs w:val="22"/>
    </w:rPr>
  </w:style>
  <w:style w:type="character" w:customStyle="1" w:styleId="afffffff">
    <w:name w:val="页眉 字符"/>
    <w:basedOn w:val="aff0"/>
    <w:uiPriority w:val="99"/>
    <w:rsid w:val="00434323"/>
    <w:rPr>
      <w:sz w:val="18"/>
      <w:szCs w:val="18"/>
    </w:rPr>
  </w:style>
  <w:style w:type="character" w:customStyle="1" w:styleId="10">
    <w:name w:val="标题 1 字符"/>
    <w:basedOn w:val="aff0"/>
    <w:link w:val="1"/>
    <w:uiPriority w:val="9"/>
    <w:rsid w:val="003D2382"/>
    <w:rPr>
      <w:rFonts w:asciiTheme="minorHAnsi" w:eastAsia="黑体" w:hAnsiTheme="minorHAnsi" w:cstheme="minorBidi"/>
      <w:b/>
      <w:bCs/>
      <w:kern w:val="44"/>
      <w:sz w:val="32"/>
      <w:szCs w:val="44"/>
    </w:rPr>
  </w:style>
  <w:style w:type="paragraph" w:customStyle="1" w:styleId="afffffff0">
    <w:name w:val="图标题"/>
    <w:basedOn w:val="aff"/>
    <w:uiPriority w:val="99"/>
    <w:rsid w:val="003D2382"/>
    <w:pPr>
      <w:jc w:val="center"/>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113A"/>
    <w:rsid w:val="0002647A"/>
    <w:rsid w:val="0002653F"/>
    <w:rsid w:val="00080DE3"/>
    <w:rsid w:val="00087E40"/>
    <w:rsid w:val="000B4B79"/>
    <w:rsid w:val="000C73CF"/>
    <w:rsid w:val="001132F9"/>
    <w:rsid w:val="00114ABC"/>
    <w:rsid w:val="001C16E0"/>
    <w:rsid w:val="002068C7"/>
    <w:rsid w:val="00234636"/>
    <w:rsid w:val="00323E80"/>
    <w:rsid w:val="003372E5"/>
    <w:rsid w:val="003750AF"/>
    <w:rsid w:val="00430F92"/>
    <w:rsid w:val="004A04BA"/>
    <w:rsid w:val="004F113A"/>
    <w:rsid w:val="004F1EC5"/>
    <w:rsid w:val="00515A81"/>
    <w:rsid w:val="005335DD"/>
    <w:rsid w:val="00595E09"/>
    <w:rsid w:val="00674FBA"/>
    <w:rsid w:val="006D02E4"/>
    <w:rsid w:val="007216E9"/>
    <w:rsid w:val="007C6ACB"/>
    <w:rsid w:val="007E2797"/>
    <w:rsid w:val="00800293"/>
    <w:rsid w:val="00820E7E"/>
    <w:rsid w:val="008340DC"/>
    <w:rsid w:val="008E024D"/>
    <w:rsid w:val="008F0268"/>
    <w:rsid w:val="00902EF8"/>
    <w:rsid w:val="00982DAC"/>
    <w:rsid w:val="009B16B1"/>
    <w:rsid w:val="009B2FB5"/>
    <w:rsid w:val="00A94E45"/>
    <w:rsid w:val="00AD6808"/>
    <w:rsid w:val="00B717AC"/>
    <w:rsid w:val="00BC67AA"/>
    <w:rsid w:val="00BE7724"/>
    <w:rsid w:val="00C875D2"/>
    <w:rsid w:val="00CB0B2B"/>
    <w:rsid w:val="00D4454B"/>
    <w:rsid w:val="00D65DD7"/>
    <w:rsid w:val="00DA4409"/>
    <w:rsid w:val="00DB6D78"/>
    <w:rsid w:val="00E90FA0"/>
    <w:rsid w:val="00E95A08"/>
    <w:rsid w:val="00EA15BD"/>
    <w:rsid w:val="00EA32AC"/>
    <w:rsid w:val="00EA5956"/>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FB5"/>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AA640-E8DC-4140-8891-CA2AF70D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张逦嘉</cp:lastModifiedBy>
  <cp:revision>4</cp:revision>
  <dcterms:created xsi:type="dcterms:W3CDTF">2019-05-28T00:36:00Z</dcterms:created>
  <dcterms:modified xsi:type="dcterms:W3CDTF">2019-05-28T00:45:00Z</dcterms:modified>
</cp:coreProperties>
</file>