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59" w:rsidRDefault="00B26459" w:rsidP="00B26459">
      <w:pPr>
        <w:spacing w:line="1000" w:lineRule="exact"/>
        <w:jc w:val="center"/>
        <w:outlineLvl w:val="0"/>
        <w:rPr>
          <w:rFonts w:ascii="黑体" w:eastAsia="黑体" w:hAnsi="黑体"/>
          <w:b/>
          <w:sz w:val="52"/>
          <w:szCs w:val="52"/>
        </w:rPr>
      </w:pPr>
    </w:p>
    <w:p w:rsidR="00B26459" w:rsidRDefault="00B26459" w:rsidP="00B26459">
      <w:pPr>
        <w:spacing w:line="1000" w:lineRule="exact"/>
        <w:jc w:val="center"/>
        <w:outlineLvl w:val="0"/>
        <w:rPr>
          <w:rFonts w:ascii="黑体" w:eastAsia="黑体" w:hAnsi="黑体"/>
          <w:b/>
          <w:sz w:val="52"/>
          <w:szCs w:val="52"/>
        </w:rPr>
      </w:pPr>
    </w:p>
    <w:p w:rsidR="00B26459" w:rsidRDefault="00B26459" w:rsidP="00B26459">
      <w:pPr>
        <w:spacing w:line="1000" w:lineRule="exact"/>
        <w:jc w:val="center"/>
        <w:outlineLvl w:val="0"/>
        <w:rPr>
          <w:rFonts w:ascii="黑体" w:eastAsia="黑体" w:hAnsi="黑体"/>
          <w:b/>
          <w:sz w:val="52"/>
          <w:szCs w:val="52"/>
        </w:rPr>
      </w:pPr>
    </w:p>
    <w:p w:rsidR="00B26459" w:rsidRDefault="00B26459" w:rsidP="00B26459">
      <w:pPr>
        <w:spacing w:line="1000" w:lineRule="exact"/>
        <w:jc w:val="center"/>
        <w:outlineLvl w:val="0"/>
        <w:rPr>
          <w:rFonts w:ascii="黑体" w:eastAsia="黑体" w:hAnsi="黑体"/>
          <w:b/>
          <w:sz w:val="48"/>
          <w:szCs w:val="52"/>
        </w:rPr>
      </w:pPr>
      <w:bookmarkStart w:id="0" w:name="_Toc475953650"/>
      <w:r w:rsidRPr="00B26459">
        <w:rPr>
          <w:rFonts w:ascii="黑体" w:eastAsia="黑体" w:hAnsi="宋体" w:hint="eastAsia"/>
          <w:bCs/>
          <w:sz w:val="48"/>
        </w:rPr>
        <w:t>《消费品安</w:t>
      </w:r>
      <w:bookmarkEnd w:id="0"/>
      <w:r w:rsidRPr="00B26459">
        <w:rPr>
          <w:rFonts w:ascii="黑体" w:eastAsia="黑体" w:hAnsi="宋体" w:hint="eastAsia"/>
          <w:bCs/>
          <w:sz w:val="48"/>
        </w:rPr>
        <w:t>全</w:t>
      </w:r>
      <w:r w:rsidR="009363E9">
        <w:rPr>
          <w:rFonts w:ascii="黑体" w:eastAsia="黑体" w:hAnsi="宋体" w:hint="eastAsia"/>
          <w:bCs/>
          <w:sz w:val="48"/>
        </w:rPr>
        <w:t xml:space="preserve"> </w:t>
      </w:r>
      <w:r w:rsidRPr="00B26459">
        <w:rPr>
          <w:rFonts w:ascii="黑体" w:eastAsia="黑体" w:hAnsi="宋体" w:hint="eastAsia"/>
          <w:bCs/>
          <w:sz w:val="48"/>
        </w:rPr>
        <w:t>物理危害风险评估通则》</w:t>
      </w:r>
    </w:p>
    <w:p w:rsidR="00B26459" w:rsidRDefault="00B26459" w:rsidP="00B26459">
      <w:pPr>
        <w:spacing w:line="1000" w:lineRule="exact"/>
        <w:jc w:val="center"/>
        <w:outlineLvl w:val="0"/>
        <w:rPr>
          <w:rFonts w:ascii="黑体" w:eastAsia="黑体" w:hAnsi="黑体"/>
          <w:b/>
          <w:sz w:val="48"/>
          <w:szCs w:val="52"/>
        </w:rPr>
      </w:pPr>
    </w:p>
    <w:p w:rsidR="00B26459" w:rsidRPr="00B26459" w:rsidRDefault="00B26459" w:rsidP="00B26459">
      <w:pPr>
        <w:spacing w:line="1000" w:lineRule="exact"/>
        <w:jc w:val="center"/>
        <w:outlineLvl w:val="0"/>
        <w:rPr>
          <w:rFonts w:ascii="黑体" w:eastAsia="黑体" w:hAnsi="黑体"/>
          <w:b/>
          <w:sz w:val="48"/>
          <w:szCs w:val="52"/>
        </w:rPr>
      </w:pPr>
      <w:r w:rsidRPr="00B26459">
        <w:rPr>
          <w:rFonts w:ascii="黑体" w:eastAsia="黑体" w:hAnsi="黑体" w:hint="eastAsia"/>
          <w:b/>
          <w:sz w:val="48"/>
          <w:szCs w:val="52"/>
        </w:rPr>
        <w:t>编制说明</w:t>
      </w:r>
    </w:p>
    <w:p w:rsidR="00B26459" w:rsidRPr="00DE2786" w:rsidRDefault="00B26459" w:rsidP="00B26459">
      <w:pPr>
        <w:jc w:val="center"/>
        <w:rPr>
          <w:b/>
          <w:sz w:val="44"/>
          <w:szCs w:val="44"/>
        </w:rPr>
      </w:pPr>
    </w:p>
    <w:p w:rsidR="00B26459" w:rsidRPr="00DE2786" w:rsidRDefault="00B26459" w:rsidP="00B26459">
      <w:pPr>
        <w:ind w:firstLineChars="396" w:firstLine="1749"/>
        <w:rPr>
          <w:b/>
          <w:sz w:val="44"/>
          <w:szCs w:val="44"/>
        </w:rPr>
      </w:pPr>
    </w:p>
    <w:p w:rsidR="00B26459" w:rsidRPr="00DE2786" w:rsidRDefault="00B26459" w:rsidP="00B26459">
      <w:pPr>
        <w:ind w:firstLineChars="396" w:firstLine="1749"/>
        <w:rPr>
          <w:b/>
          <w:sz w:val="44"/>
          <w:szCs w:val="44"/>
        </w:rPr>
      </w:pPr>
    </w:p>
    <w:p w:rsidR="00B26459" w:rsidRPr="00DE2786" w:rsidRDefault="00B26459" w:rsidP="00B26459">
      <w:pPr>
        <w:ind w:firstLineChars="396" w:firstLine="1749"/>
        <w:rPr>
          <w:b/>
          <w:sz w:val="44"/>
          <w:szCs w:val="44"/>
        </w:rPr>
      </w:pPr>
    </w:p>
    <w:p w:rsidR="00B26459" w:rsidRPr="00DE2786" w:rsidRDefault="00B26459" w:rsidP="00B26459">
      <w:pPr>
        <w:jc w:val="center"/>
        <w:outlineLvl w:val="0"/>
        <w:rPr>
          <w:sz w:val="32"/>
          <w:szCs w:val="32"/>
        </w:rPr>
      </w:pPr>
    </w:p>
    <w:p w:rsidR="00B26459" w:rsidRPr="00DE2786" w:rsidRDefault="00B26459" w:rsidP="00B26459">
      <w:pPr>
        <w:rPr>
          <w:sz w:val="32"/>
          <w:szCs w:val="32"/>
        </w:rPr>
      </w:pPr>
    </w:p>
    <w:p w:rsidR="00B26459" w:rsidRPr="00DE2786" w:rsidRDefault="00B26459" w:rsidP="00B26459">
      <w:pPr>
        <w:rPr>
          <w:sz w:val="32"/>
          <w:szCs w:val="32"/>
        </w:rPr>
      </w:pPr>
    </w:p>
    <w:p w:rsidR="00B26459" w:rsidRPr="00DE2786" w:rsidRDefault="00B26459" w:rsidP="00B26459">
      <w:pPr>
        <w:rPr>
          <w:sz w:val="32"/>
          <w:szCs w:val="32"/>
        </w:rPr>
      </w:pPr>
    </w:p>
    <w:p w:rsidR="00B26459" w:rsidRPr="00DE2786" w:rsidRDefault="00B26459" w:rsidP="00B26459">
      <w:pPr>
        <w:jc w:val="center"/>
        <w:rPr>
          <w:b/>
          <w:sz w:val="32"/>
          <w:szCs w:val="32"/>
        </w:rPr>
      </w:pPr>
      <w:r w:rsidRPr="00DE2786">
        <w:rPr>
          <w:rFonts w:hint="eastAsia"/>
          <w:b/>
          <w:sz w:val="32"/>
          <w:szCs w:val="32"/>
        </w:rPr>
        <w:t>国家标准起草组</w:t>
      </w:r>
    </w:p>
    <w:p w:rsidR="00B26459" w:rsidRPr="00DE2786" w:rsidRDefault="00B26459" w:rsidP="00B26459">
      <w:pPr>
        <w:jc w:val="center"/>
        <w:rPr>
          <w:b/>
          <w:sz w:val="32"/>
          <w:szCs w:val="32"/>
        </w:rPr>
      </w:pPr>
      <w:r w:rsidRPr="00DE2786">
        <w:rPr>
          <w:b/>
          <w:sz w:val="32"/>
          <w:szCs w:val="32"/>
        </w:rPr>
        <w:t>20</w:t>
      </w:r>
      <w:r w:rsidRPr="00DE2786">
        <w:rPr>
          <w:rFonts w:hint="eastAsia"/>
          <w:b/>
          <w:sz w:val="32"/>
          <w:szCs w:val="32"/>
        </w:rPr>
        <w:t>19</w:t>
      </w:r>
      <w:r w:rsidRPr="00DE2786">
        <w:rPr>
          <w:rFonts w:hint="eastAsia"/>
          <w:b/>
          <w:sz w:val="32"/>
          <w:szCs w:val="32"/>
        </w:rPr>
        <w:t>年</w:t>
      </w:r>
      <w:r>
        <w:rPr>
          <w:rFonts w:hint="eastAsia"/>
          <w:b/>
          <w:sz w:val="32"/>
          <w:szCs w:val="32"/>
        </w:rPr>
        <w:t>11</w:t>
      </w:r>
      <w:r w:rsidRPr="00DE2786">
        <w:rPr>
          <w:rFonts w:hint="eastAsia"/>
          <w:b/>
          <w:sz w:val="32"/>
          <w:szCs w:val="32"/>
        </w:rPr>
        <w:t>月</w:t>
      </w:r>
    </w:p>
    <w:p w:rsidR="00B26459" w:rsidRDefault="00B26459" w:rsidP="005166D7">
      <w:pPr>
        <w:ind w:firstLine="480"/>
      </w:pPr>
    </w:p>
    <w:p w:rsidR="00C96996" w:rsidRDefault="00C96996">
      <w:pPr>
        <w:widowControl/>
        <w:jc w:val="left"/>
        <w:rPr>
          <w:rFonts w:ascii="黑体" w:eastAsia="黑体" w:hAnsi="黑体"/>
          <w:sz w:val="32"/>
          <w:szCs w:val="32"/>
        </w:rPr>
      </w:pPr>
      <w:r>
        <w:br w:type="page"/>
      </w:r>
    </w:p>
    <w:p w:rsidR="00B26459" w:rsidRPr="00072C4A" w:rsidRDefault="00B26459" w:rsidP="00C80FE3">
      <w:pPr>
        <w:pStyle w:val="1"/>
        <w:ind w:firstLineChars="200" w:firstLine="640"/>
      </w:pPr>
      <w:r w:rsidRPr="00072C4A">
        <w:rPr>
          <w:rFonts w:hint="eastAsia"/>
        </w:rPr>
        <w:lastRenderedPageBreak/>
        <w:t>一、任务来源</w:t>
      </w:r>
    </w:p>
    <w:p w:rsidR="00B26459" w:rsidRPr="00072C4A" w:rsidRDefault="00B26459" w:rsidP="00C80FE3">
      <w:pPr>
        <w:suppressAutoHyphens/>
        <w:ind w:firstLineChars="200" w:firstLine="640"/>
        <w:rPr>
          <w:rFonts w:ascii="仿宋_GB2312" w:eastAsia="仿宋_GB2312"/>
          <w:sz w:val="32"/>
          <w:szCs w:val="32"/>
        </w:rPr>
      </w:pPr>
      <w:r w:rsidRPr="00072C4A">
        <w:rPr>
          <w:rFonts w:ascii="仿宋_GB2312" w:eastAsia="仿宋_GB2312" w:hint="eastAsia"/>
          <w:sz w:val="32"/>
          <w:szCs w:val="32"/>
        </w:rPr>
        <w:t>《消费品安全</w:t>
      </w:r>
      <w:r w:rsidR="00C80FE3">
        <w:rPr>
          <w:rFonts w:ascii="仿宋_GB2312" w:eastAsia="仿宋_GB2312" w:hint="eastAsia"/>
          <w:sz w:val="32"/>
          <w:szCs w:val="32"/>
        </w:rPr>
        <w:t xml:space="preserve"> </w:t>
      </w:r>
      <w:r w:rsidRPr="00072C4A">
        <w:rPr>
          <w:rFonts w:ascii="仿宋_GB2312" w:eastAsia="仿宋_GB2312" w:hint="eastAsia"/>
          <w:sz w:val="32"/>
          <w:szCs w:val="32"/>
        </w:rPr>
        <w:t>物理危害风险评估通则》(计划编号：20183048-T-469)，由全国消费品安全标准化技术委员会（SAC/TC508）提出并归口，由中国标准化研究院负责牵头标准起草工作，定于2020年完成报批。</w:t>
      </w:r>
    </w:p>
    <w:p w:rsidR="00B26459" w:rsidRPr="00072C4A" w:rsidRDefault="00B26459" w:rsidP="00C80FE3">
      <w:pPr>
        <w:pStyle w:val="1"/>
        <w:ind w:firstLineChars="200" w:firstLine="640"/>
      </w:pPr>
      <w:r w:rsidRPr="00072C4A">
        <w:rPr>
          <w:rFonts w:hint="eastAsia"/>
        </w:rPr>
        <w:t xml:space="preserve">二、目的及意义 </w:t>
      </w:r>
    </w:p>
    <w:p w:rsidR="00B26459" w:rsidRPr="00072C4A" w:rsidRDefault="00B26459" w:rsidP="00072C4A">
      <w:pPr>
        <w:ind w:firstLineChars="200" w:firstLine="640"/>
        <w:rPr>
          <w:rFonts w:ascii="仿宋_GB2312" w:eastAsia="仿宋_GB2312"/>
          <w:bCs/>
          <w:sz w:val="32"/>
          <w:szCs w:val="32"/>
        </w:rPr>
      </w:pPr>
      <w:r w:rsidRPr="00072C4A">
        <w:rPr>
          <w:rFonts w:ascii="仿宋_GB2312" w:eastAsia="仿宋_GB2312" w:hint="eastAsia"/>
          <w:bCs/>
          <w:sz w:val="32"/>
          <w:szCs w:val="32"/>
        </w:rPr>
        <w:t>近年来，随着经济社会的不断发展，新材料、新工艺的大量应用，种类繁多、数量庞大的消费品涌入市场，从儿童玩具、服装服饰、家用电器等均有不同程度的伤害事件发生，严重威胁了消费者的人身健康安全，也对我国消费品的国际竞争力与公信力产生了巨大的负面影响。</w:t>
      </w:r>
    </w:p>
    <w:p w:rsidR="00B26459" w:rsidRPr="00072C4A" w:rsidRDefault="00B26459" w:rsidP="00072C4A">
      <w:pPr>
        <w:ind w:firstLineChars="200" w:firstLine="640"/>
        <w:rPr>
          <w:rFonts w:ascii="仿宋_GB2312" w:eastAsia="仿宋_GB2312"/>
          <w:bCs/>
          <w:sz w:val="32"/>
          <w:szCs w:val="32"/>
        </w:rPr>
      </w:pPr>
      <w:r w:rsidRPr="00072C4A">
        <w:rPr>
          <w:rFonts w:ascii="仿宋_GB2312" w:eastAsia="仿宋_GB2312" w:hint="eastAsia"/>
          <w:bCs/>
          <w:sz w:val="32"/>
          <w:szCs w:val="32"/>
        </w:rPr>
        <w:t>据统计，我国每年因存在物理危害而被CPSC和RAPEX召回的消费品，占当年消费品总召回量的一半以上。因此，如何评估、预防和降低消费品的安全风险，成了亟需解决的问题。风险评估技术是目前世界范围内保证消费品安全的重要方法之一，同时也是政府和企业召回管理工作最主要的依据之一。</w:t>
      </w:r>
    </w:p>
    <w:p w:rsidR="00B26459" w:rsidRPr="00072C4A" w:rsidRDefault="00B26459" w:rsidP="00072C4A">
      <w:pPr>
        <w:ind w:firstLineChars="200" w:firstLine="640"/>
        <w:rPr>
          <w:rFonts w:ascii="仿宋_GB2312" w:eastAsia="仿宋_GB2312"/>
          <w:bCs/>
          <w:sz w:val="32"/>
          <w:szCs w:val="32"/>
        </w:rPr>
      </w:pPr>
      <w:r w:rsidRPr="00072C4A">
        <w:rPr>
          <w:rFonts w:ascii="仿宋_GB2312" w:eastAsia="仿宋_GB2312" w:hint="eastAsia"/>
          <w:bCs/>
          <w:sz w:val="32"/>
          <w:szCs w:val="32"/>
        </w:rPr>
        <w:t>建立科学、规范的风险监控体系需要完善的技术支撑，虽然某些发达国家和地区已经开展了产品安全风险监控工作，但国外风险监控的核心技术——风险评估方法较难获取，同时，鉴于管理体制、经济发展状况等情况</w:t>
      </w:r>
      <w:proofErr w:type="gramStart"/>
      <w:r w:rsidRPr="00072C4A">
        <w:rPr>
          <w:rFonts w:ascii="仿宋_GB2312" w:eastAsia="仿宋_GB2312" w:hint="eastAsia"/>
          <w:bCs/>
          <w:sz w:val="32"/>
          <w:szCs w:val="32"/>
        </w:rPr>
        <w:t>较之我国</w:t>
      </w:r>
      <w:proofErr w:type="gramEnd"/>
      <w:r w:rsidRPr="00072C4A">
        <w:rPr>
          <w:rFonts w:ascii="仿宋_GB2312" w:eastAsia="仿宋_GB2312" w:hint="eastAsia"/>
          <w:bCs/>
          <w:sz w:val="32"/>
          <w:szCs w:val="32"/>
        </w:rPr>
        <w:t>迥异，很多风险评估的技术和方法不能完全适用于我国。再者，虽然我国近年来在食品、</w:t>
      </w:r>
      <w:r w:rsidRPr="00072C4A">
        <w:rPr>
          <w:rFonts w:ascii="仿宋_GB2312" w:eastAsia="仿宋_GB2312" w:hint="eastAsia"/>
          <w:bCs/>
          <w:sz w:val="32"/>
          <w:szCs w:val="32"/>
        </w:rPr>
        <w:lastRenderedPageBreak/>
        <w:t>医疗器械、特种设备等领域已经开展了一些尝试性研究，但仍缺乏系统性，上述研究的成果并不适用于所有消费品物理危害的风险评估。我国在消费品领域虽然已经出台了GB/T 22760-2008《消费品安全风险评估通则》，该标准也在国家质检总局的消费品安全风险监测工作中发挥了极大作用，但由于该标准目前仅对通用风险评估的流程进行了描述，并未对物理危害风险评估的方法进行细化分析，导致实际操作工作中缺乏具体流程指导。</w:t>
      </w:r>
    </w:p>
    <w:p w:rsidR="00B26459" w:rsidRDefault="00B26459" w:rsidP="00072C4A">
      <w:pPr>
        <w:ind w:firstLineChars="200" w:firstLine="640"/>
        <w:rPr>
          <w:rFonts w:ascii="仿宋_GB2312" w:eastAsia="仿宋_GB2312"/>
          <w:bCs/>
          <w:sz w:val="32"/>
          <w:szCs w:val="32"/>
        </w:rPr>
      </w:pPr>
      <w:r w:rsidRPr="00072C4A">
        <w:rPr>
          <w:rFonts w:ascii="仿宋_GB2312" w:eastAsia="仿宋_GB2312" w:hint="eastAsia"/>
          <w:bCs/>
          <w:sz w:val="32"/>
          <w:szCs w:val="32"/>
        </w:rPr>
        <w:t>纵观发达国家产品安全监管的实践经验，运用风险评估理论，建立产品安全风险监控体系，已成为国际新的发展趋势，如：欧盟基于风险管理理论建立的非食品类产品快速报警系统（RAPEX），美国建立的一般产品国家电子伤害监测系统（NEISS）等，均是风险评估技术的产物，且这些国家按照不同类型消费品的特征，制定了物理危害风险评估的技术方法规程。上述国家以此作为技术贸易壁垒的重要依据，严重影响了我国产品的对外贸易。</w:t>
      </w:r>
    </w:p>
    <w:p w:rsidR="00B26459" w:rsidRPr="00072C4A" w:rsidRDefault="00C96996" w:rsidP="00C96996">
      <w:pPr>
        <w:ind w:firstLineChars="200" w:firstLine="640"/>
        <w:rPr>
          <w:rFonts w:ascii="仿宋_GB2312" w:eastAsia="仿宋_GB2312"/>
          <w:sz w:val="32"/>
          <w:szCs w:val="32"/>
        </w:rPr>
      </w:pPr>
      <w:r w:rsidRPr="00C96996">
        <w:rPr>
          <w:rFonts w:ascii="仿宋_GB2312" w:eastAsia="仿宋_GB2312" w:hint="eastAsia"/>
          <w:sz w:val="32"/>
          <w:szCs w:val="32"/>
        </w:rPr>
        <w:t>为进一步规范消费品</w:t>
      </w:r>
      <w:r>
        <w:rPr>
          <w:rFonts w:ascii="仿宋_GB2312" w:eastAsia="仿宋_GB2312" w:hint="eastAsia"/>
          <w:sz w:val="32"/>
          <w:szCs w:val="32"/>
        </w:rPr>
        <w:t>安全物理</w:t>
      </w:r>
      <w:r w:rsidRPr="00C96996">
        <w:rPr>
          <w:rFonts w:ascii="仿宋_GB2312" w:eastAsia="仿宋_GB2312" w:hint="eastAsia"/>
          <w:sz w:val="32"/>
          <w:szCs w:val="32"/>
        </w:rPr>
        <w:t>危害识别方法，使我国开展消费品安全风险监测的机构或相关企业等能运用科学统一的方法来识别具有不同特征消费品的物理危害，亟需借鉴国内外在食品、药品、医疗器械、机械等领域的相关经验，用标准的形式将消费品安全</w:t>
      </w:r>
      <w:r>
        <w:rPr>
          <w:rFonts w:ascii="仿宋_GB2312" w:eastAsia="仿宋_GB2312" w:hint="eastAsia"/>
          <w:sz w:val="32"/>
          <w:szCs w:val="32"/>
        </w:rPr>
        <w:t>物理</w:t>
      </w:r>
      <w:r w:rsidRPr="00C96996">
        <w:rPr>
          <w:rFonts w:ascii="仿宋_GB2312" w:eastAsia="仿宋_GB2312" w:hint="eastAsia"/>
          <w:sz w:val="32"/>
          <w:szCs w:val="32"/>
        </w:rPr>
        <w:t>危害识别的方法、流程加以固化。</w:t>
      </w:r>
    </w:p>
    <w:p w:rsidR="00B26459" w:rsidRDefault="00B26459" w:rsidP="00072C4A">
      <w:pPr>
        <w:pStyle w:val="1"/>
      </w:pPr>
      <w:r w:rsidRPr="00072C4A">
        <w:rPr>
          <w:rFonts w:hint="eastAsia"/>
        </w:rPr>
        <w:t>三、标准制定</w:t>
      </w:r>
      <w:r w:rsidR="00284379" w:rsidRPr="00072C4A">
        <w:rPr>
          <w:rFonts w:hint="eastAsia"/>
        </w:rPr>
        <w:t>原则</w:t>
      </w:r>
    </w:p>
    <w:p w:rsidR="00C96996" w:rsidRPr="00C96996" w:rsidRDefault="00C96996" w:rsidP="00C96996">
      <w:pPr>
        <w:ind w:firstLine="480"/>
        <w:rPr>
          <w:rFonts w:ascii="仿宋_GB2312" w:eastAsia="仿宋_GB2312"/>
          <w:sz w:val="32"/>
          <w:szCs w:val="32"/>
        </w:rPr>
      </w:pPr>
      <w:r w:rsidRPr="00C96996">
        <w:rPr>
          <w:rFonts w:ascii="仿宋_GB2312" w:eastAsia="仿宋_GB2312" w:hint="eastAsia"/>
          <w:sz w:val="32"/>
          <w:szCs w:val="32"/>
        </w:rPr>
        <w:t>本标准的制定依据以下原则：</w:t>
      </w:r>
    </w:p>
    <w:p w:rsidR="00C96996" w:rsidRPr="001A0F24" w:rsidRDefault="00A507C2" w:rsidP="001A0F24">
      <w:pPr>
        <w:ind w:firstLineChars="200" w:firstLine="643"/>
        <w:rPr>
          <w:rFonts w:ascii="仿宋_GB2312" w:eastAsia="仿宋_GB2312"/>
          <w:b/>
          <w:sz w:val="32"/>
          <w:szCs w:val="32"/>
        </w:rPr>
      </w:pPr>
      <w:r>
        <w:rPr>
          <w:rFonts w:ascii="仿宋_GB2312" w:eastAsia="仿宋_GB2312" w:hint="eastAsia"/>
          <w:b/>
          <w:sz w:val="32"/>
          <w:szCs w:val="32"/>
        </w:rPr>
        <w:lastRenderedPageBreak/>
        <w:t>1.</w:t>
      </w:r>
      <w:r w:rsidR="00C96996" w:rsidRPr="001A0F24">
        <w:rPr>
          <w:rFonts w:ascii="仿宋_GB2312" w:eastAsia="仿宋_GB2312" w:hint="eastAsia"/>
          <w:b/>
          <w:sz w:val="32"/>
          <w:szCs w:val="32"/>
        </w:rPr>
        <w:t>可操作性原则</w:t>
      </w:r>
    </w:p>
    <w:p w:rsidR="00C96996" w:rsidRPr="00C96996" w:rsidRDefault="00C96996" w:rsidP="001A0F24">
      <w:pPr>
        <w:ind w:firstLineChars="200" w:firstLine="640"/>
        <w:rPr>
          <w:rFonts w:ascii="仿宋_GB2312" w:eastAsia="仿宋_GB2312"/>
          <w:sz w:val="32"/>
          <w:szCs w:val="32"/>
        </w:rPr>
      </w:pPr>
      <w:r w:rsidRPr="00C96996">
        <w:rPr>
          <w:rFonts w:ascii="仿宋_GB2312" w:eastAsia="仿宋_GB2312" w:hint="eastAsia"/>
          <w:sz w:val="32"/>
          <w:szCs w:val="32"/>
        </w:rPr>
        <w:t>消费品安全经过近几年的发展，形成了一系列的管理制度、标准法规、科技论文等，在实际运作中积累了大量的经验，本标准以可操作性为重要原则，总结吸纳了现有的成功经验，使其能够为政府部门、科研院所、企业等相关机构开展消费品</w:t>
      </w:r>
      <w:r w:rsidR="001A0F24">
        <w:rPr>
          <w:rFonts w:ascii="仿宋_GB2312" w:eastAsia="仿宋_GB2312" w:hint="eastAsia"/>
          <w:sz w:val="32"/>
          <w:szCs w:val="32"/>
        </w:rPr>
        <w:t>安全物理</w:t>
      </w:r>
      <w:r w:rsidRPr="00C96996">
        <w:rPr>
          <w:rFonts w:ascii="仿宋_GB2312" w:eastAsia="仿宋_GB2312" w:hint="eastAsia"/>
          <w:sz w:val="32"/>
          <w:szCs w:val="32"/>
        </w:rPr>
        <w:t>危害识别工作提供参考。</w:t>
      </w:r>
    </w:p>
    <w:p w:rsidR="00C96996" w:rsidRPr="001A0F24" w:rsidRDefault="00A507C2" w:rsidP="001A0F24">
      <w:pPr>
        <w:ind w:firstLineChars="200" w:firstLine="643"/>
        <w:rPr>
          <w:rFonts w:ascii="仿宋_GB2312" w:eastAsia="仿宋_GB2312"/>
          <w:b/>
          <w:sz w:val="32"/>
          <w:szCs w:val="32"/>
        </w:rPr>
      </w:pPr>
      <w:r>
        <w:rPr>
          <w:rFonts w:ascii="仿宋_GB2312" w:eastAsia="仿宋_GB2312" w:hint="eastAsia"/>
          <w:b/>
          <w:sz w:val="32"/>
          <w:szCs w:val="32"/>
        </w:rPr>
        <w:t>2.</w:t>
      </w:r>
      <w:r w:rsidR="00C96996" w:rsidRPr="001A0F24">
        <w:rPr>
          <w:rFonts w:ascii="仿宋_GB2312" w:eastAsia="仿宋_GB2312" w:hint="eastAsia"/>
          <w:b/>
          <w:sz w:val="32"/>
          <w:szCs w:val="32"/>
        </w:rPr>
        <w:t>前瞻性原则</w:t>
      </w:r>
    </w:p>
    <w:p w:rsidR="00C96996" w:rsidRPr="00C96996" w:rsidRDefault="00C96996" w:rsidP="001A0F24">
      <w:pPr>
        <w:ind w:firstLineChars="200" w:firstLine="640"/>
        <w:rPr>
          <w:rFonts w:ascii="仿宋_GB2312" w:eastAsia="仿宋_GB2312"/>
          <w:sz w:val="32"/>
          <w:szCs w:val="32"/>
        </w:rPr>
      </w:pPr>
      <w:r w:rsidRPr="00C96996">
        <w:rPr>
          <w:rFonts w:ascii="仿宋_GB2312" w:eastAsia="仿宋_GB2312" w:hint="eastAsia"/>
          <w:sz w:val="32"/>
          <w:szCs w:val="32"/>
        </w:rPr>
        <w:t>本标准的技术内容在兼顾我国相关组织开展消费品安全</w:t>
      </w:r>
      <w:r w:rsidR="001A0F24">
        <w:rPr>
          <w:rFonts w:ascii="仿宋_GB2312" w:eastAsia="仿宋_GB2312" w:hint="eastAsia"/>
          <w:sz w:val="32"/>
          <w:szCs w:val="32"/>
        </w:rPr>
        <w:t>物理</w:t>
      </w:r>
      <w:r w:rsidRPr="00C96996">
        <w:rPr>
          <w:rFonts w:ascii="仿宋_GB2312" w:eastAsia="仿宋_GB2312" w:hint="eastAsia"/>
          <w:sz w:val="32"/>
          <w:szCs w:val="32"/>
        </w:rPr>
        <w:t>危害识别工作的同时，还须充分考虑了国际标准化需求、相关技术发展趋势等问题，充分体现了其前瞻性和引导性特点。</w:t>
      </w:r>
    </w:p>
    <w:p w:rsidR="00C96996" w:rsidRPr="001A0F24" w:rsidRDefault="00C96996" w:rsidP="001A0F24">
      <w:pPr>
        <w:ind w:firstLineChars="200" w:firstLine="643"/>
        <w:rPr>
          <w:rFonts w:ascii="仿宋_GB2312" w:eastAsia="仿宋_GB2312"/>
          <w:b/>
          <w:sz w:val="32"/>
          <w:szCs w:val="32"/>
        </w:rPr>
      </w:pPr>
      <w:r w:rsidRPr="001A0F24">
        <w:rPr>
          <w:rFonts w:ascii="仿宋_GB2312" w:eastAsia="仿宋_GB2312" w:hint="eastAsia"/>
          <w:b/>
          <w:sz w:val="32"/>
          <w:szCs w:val="32"/>
        </w:rPr>
        <w:t>3.协调性原则</w:t>
      </w:r>
    </w:p>
    <w:p w:rsidR="00C96996" w:rsidRPr="00C96996" w:rsidRDefault="00C96996" w:rsidP="001A0F24">
      <w:pPr>
        <w:ind w:firstLineChars="200" w:firstLine="640"/>
        <w:rPr>
          <w:rFonts w:ascii="仿宋_GB2312" w:eastAsia="仿宋_GB2312"/>
          <w:sz w:val="32"/>
          <w:szCs w:val="32"/>
        </w:rPr>
      </w:pPr>
      <w:r w:rsidRPr="00C96996">
        <w:rPr>
          <w:rFonts w:ascii="仿宋_GB2312" w:eastAsia="仿宋_GB2312" w:hint="eastAsia"/>
          <w:sz w:val="32"/>
          <w:szCs w:val="32"/>
        </w:rPr>
        <w:t>作为消费品安全系列标准之一，在理念、术语和标准条款等方面应考虑与其他几项标准协调一致，形成相互支撑、内容连贯的标准体系。</w:t>
      </w:r>
    </w:p>
    <w:p w:rsidR="00C96996" w:rsidRPr="001A0F24" w:rsidRDefault="00C96996" w:rsidP="001A0F24">
      <w:pPr>
        <w:ind w:firstLineChars="200" w:firstLine="643"/>
        <w:rPr>
          <w:rFonts w:ascii="仿宋_GB2312" w:eastAsia="仿宋_GB2312"/>
          <w:b/>
          <w:sz w:val="32"/>
          <w:szCs w:val="32"/>
        </w:rPr>
      </w:pPr>
      <w:r w:rsidRPr="001A0F24">
        <w:rPr>
          <w:rFonts w:ascii="仿宋_GB2312" w:eastAsia="仿宋_GB2312" w:hint="eastAsia"/>
          <w:b/>
          <w:sz w:val="32"/>
          <w:szCs w:val="32"/>
        </w:rPr>
        <w:t>4．依法原则</w:t>
      </w:r>
    </w:p>
    <w:p w:rsidR="00C96996" w:rsidRPr="00C96996" w:rsidRDefault="00C96996" w:rsidP="001A0F24">
      <w:pPr>
        <w:ind w:firstLineChars="200" w:firstLine="640"/>
      </w:pPr>
      <w:r w:rsidRPr="00C96996">
        <w:rPr>
          <w:rFonts w:ascii="仿宋_GB2312" w:eastAsia="仿宋_GB2312" w:hint="eastAsia"/>
          <w:sz w:val="32"/>
          <w:szCs w:val="32"/>
        </w:rPr>
        <w:t>即以现行法律法规的规定为基础。标准中的条款首先应与这些法律法规、强制性标准的要求保持一致，总体上不得有悖于法律法规和强制性标准的要求。</w:t>
      </w:r>
    </w:p>
    <w:p w:rsidR="00B26459" w:rsidRPr="00072C4A" w:rsidRDefault="00B26459" w:rsidP="00072C4A">
      <w:pPr>
        <w:pStyle w:val="1"/>
      </w:pPr>
      <w:r w:rsidRPr="00072C4A">
        <w:rPr>
          <w:rFonts w:hint="eastAsia"/>
        </w:rPr>
        <w:t>四、主要工作过程</w:t>
      </w:r>
    </w:p>
    <w:p w:rsidR="00A507C2" w:rsidRPr="00A507C2" w:rsidRDefault="00A507C2" w:rsidP="00A507C2">
      <w:pPr>
        <w:ind w:firstLineChars="200" w:firstLine="640"/>
        <w:rPr>
          <w:rFonts w:ascii="仿宋_GB2312" w:eastAsia="仿宋_GB2312"/>
          <w:sz w:val="32"/>
          <w:szCs w:val="32"/>
        </w:rPr>
      </w:pPr>
      <w:r w:rsidRPr="00A507C2">
        <w:rPr>
          <w:rFonts w:ascii="仿宋_GB2312" w:eastAsia="仿宋_GB2312" w:hint="eastAsia"/>
          <w:sz w:val="32"/>
          <w:szCs w:val="32"/>
        </w:rPr>
        <w:t>1、201</w:t>
      </w:r>
      <w:r>
        <w:rPr>
          <w:rFonts w:ascii="仿宋_GB2312" w:eastAsia="仿宋_GB2312" w:hint="eastAsia"/>
          <w:sz w:val="32"/>
          <w:szCs w:val="32"/>
        </w:rPr>
        <w:t>8</w:t>
      </w:r>
      <w:r w:rsidRPr="00A507C2">
        <w:rPr>
          <w:rFonts w:ascii="仿宋_GB2312" w:eastAsia="仿宋_GB2312" w:hint="eastAsia"/>
          <w:sz w:val="32"/>
          <w:szCs w:val="32"/>
        </w:rPr>
        <w:t>年</w:t>
      </w:r>
      <w:r w:rsidR="00E05969">
        <w:rPr>
          <w:rFonts w:ascii="仿宋_GB2312" w:eastAsia="仿宋_GB2312" w:hint="eastAsia"/>
          <w:sz w:val="32"/>
          <w:szCs w:val="32"/>
        </w:rPr>
        <w:t>11</w:t>
      </w:r>
      <w:r w:rsidRPr="00A507C2">
        <w:rPr>
          <w:rFonts w:ascii="仿宋_GB2312" w:eastAsia="仿宋_GB2312" w:hint="eastAsia"/>
          <w:sz w:val="32"/>
          <w:szCs w:val="32"/>
        </w:rPr>
        <w:t>月-</w:t>
      </w:r>
      <w:r w:rsidR="00E05969">
        <w:rPr>
          <w:rFonts w:ascii="仿宋_GB2312" w:eastAsia="仿宋_GB2312" w:hint="eastAsia"/>
          <w:sz w:val="32"/>
          <w:szCs w:val="32"/>
        </w:rPr>
        <w:t>2019年3</w:t>
      </w:r>
      <w:r w:rsidRPr="00A507C2">
        <w:rPr>
          <w:rFonts w:ascii="仿宋_GB2312" w:eastAsia="仿宋_GB2312" w:hint="eastAsia"/>
          <w:sz w:val="32"/>
          <w:szCs w:val="32"/>
        </w:rPr>
        <w:t>月，调研国内外消费品安全</w:t>
      </w:r>
      <w:r w:rsidR="00E05969">
        <w:rPr>
          <w:rFonts w:ascii="仿宋_GB2312" w:eastAsia="仿宋_GB2312" w:hint="eastAsia"/>
          <w:sz w:val="32"/>
          <w:szCs w:val="32"/>
        </w:rPr>
        <w:t>物理危害</w:t>
      </w:r>
      <w:r w:rsidRPr="00A507C2">
        <w:rPr>
          <w:rFonts w:ascii="仿宋_GB2312" w:eastAsia="仿宋_GB2312" w:hint="eastAsia"/>
          <w:sz w:val="32"/>
          <w:szCs w:val="32"/>
        </w:rPr>
        <w:t>相关资料等，组建标准起草组，明确标准定位、形成标准主</w:t>
      </w:r>
      <w:r w:rsidRPr="00A507C2">
        <w:rPr>
          <w:rFonts w:ascii="仿宋_GB2312" w:eastAsia="仿宋_GB2312" w:hint="eastAsia"/>
          <w:sz w:val="32"/>
          <w:szCs w:val="32"/>
        </w:rPr>
        <w:lastRenderedPageBreak/>
        <w:t>体框架。</w:t>
      </w:r>
    </w:p>
    <w:p w:rsidR="00A507C2" w:rsidRPr="00A507C2" w:rsidRDefault="00A507C2" w:rsidP="00A507C2">
      <w:pPr>
        <w:ind w:firstLineChars="200" w:firstLine="640"/>
        <w:rPr>
          <w:rFonts w:ascii="仿宋_GB2312" w:eastAsia="仿宋_GB2312"/>
          <w:sz w:val="32"/>
          <w:szCs w:val="32"/>
        </w:rPr>
      </w:pPr>
      <w:r w:rsidRPr="00A507C2">
        <w:rPr>
          <w:rFonts w:ascii="仿宋_GB2312" w:eastAsia="仿宋_GB2312" w:hint="eastAsia"/>
          <w:sz w:val="32"/>
          <w:szCs w:val="32"/>
        </w:rPr>
        <w:t>2、201</w:t>
      </w:r>
      <w:r w:rsidR="00E05969">
        <w:rPr>
          <w:rFonts w:ascii="仿宋_GB2312" w:eastAsia="仿宋_GB2312" w:hint="eastAsia"/>
          <w:sz w:val="32"/>
          <w:szCs w:val="32"/>
        </w:rPr>
        <w:t>9</w:t>
      </w:r>
      <w:r w:rsidRPr="00A507C2">
        <w:rPr>
          <w:rFonts w:ascii="仿宋_GB2312" w:eastAsia="仿宋_GB2312" w:hint="eastAsia"/>
          <w:sz w:val="32"/>
          <w:szCs w:val="32"/>
        </w:rPr>
        <w:t>年</w:t>
      </w:r>
      <w:r w:rsidR="00E05969">
        <w:rPr>
          <w:rFonts w:ascii="仿宋_GB2312" w:eastAsia="仿宋_GB2312" w:hint="eastAsia"/>
          <w:sz w:val="32"/>
          <w:szCs w:val="32"/>
        </w:rPr>
        <w:t>4</w:t>
      </w:r>
      <w:r w:rsidRPr="00A507C2">
        <w:rPr>
          <w:rFonts w:ascii="仿宋_GB2312" w:eastAsia="仿宋_GB2312" w:hint="eastAsia"/>
          <w:sz w:val="32"/>
          <w:szCs w:val="32"/>
        </w:rPr>
        <w:t>月-</w:t>
      </w:r>
      <w:r w:rsidR="00E05969">
        <w:rPr>
          <w:rFonts w:ascii="仿宋_GB2312" w:eastAsia="仿宋_GB2312" w:hint="eastAsia"/>
          <w:sz w:val="32"/>
          <w:szCs w:val="32"/>
        </w:rPr>
        <w:t>6</w:t>
      </w:r>
      <w:r w:rsidRPr="00A507C2">
        <w:rPr>
          <w:rFonts w:ascii="仿宋_GB2312" w:eastAsia="仿宋_GB2312" w:hint="eastAsia"/>
          <w:sz w:val="32"/>
          <w:szCs w:val="32"/>
        </w:rPr>
        <w:t>月，多次召开专家研讨会，就</w:t>
      </w:r>
      <w:r w:rsidR="00EA15F9">
        <w:rPr>
          <w:rFonts w:ascii="仿宋_GB2312" w:eastAsia="仿宋_GB2312" w:hint="eastAsia"/>
          <w:sz w:val="32"/>
          <w:szCs w:val="32"/>
        </w:rPr>
        <w:t>消费品安全物理危害的</w:t>
      </w:r>
      <w:r w:rsidRPr="00A507C2">
        <w:rPr>
          <w:rFonts w:ascii="仿宋_GB2312" w:eastAsia="仿宋_GB2312" w:hint="eastAsia"/>
          <w:sz w:val="32"/>
          <w:szCs w:val="32"/>
        </w:rPr>
        <w:t>流程等内容进行研讨，</w:t>
      </w:r>
      <w:r w:rsidR="00EA15F9" w:rsidRPr="00A507C2">
        <w:rPr>
          <w:rFonts w:ascii="仿宋_GB2312" w:eastAsia="仿宋_GB2312" w:hint="eastAsia"/>
          <w:sz w:val="32"/>
          <w:szCs w:val="32"/>
        </w:rPr>
        <w:t>将消费品安全</w:t>
      </w:r>
      <w:r w:rsidR="00EA15F9">
        <w:rPr>
          <w:rFonts w:ascii="仿宋_GB2312" w:eastAsia="仿宋_GB2312" w:hint="eastAsia"/>
          <w:sz w:val="32"/>
          <w:szCs w:val="32"/>
        </w:rPr>
        <w:t>物理危害识别</w:t>
      </w:r>
      <w:r w:rsidR="00EA15F9" w:rsidRPr="00A507C2">
        <w:rPr>
          <w:rFonts w:ascii="仿宋_GB2312" w:eastAsia="仿宋_GB2312" w:hint="eastAsia"/>
          <w:sz w:val="32"/>
          <w:szCs w:val="32"/>
        </w:rPr>
        <w:t>方法分为</w:t>
      </w:r>
      <w:r w:rsidR="00EA15F9">
        <w:rPr>
          <w:rFonts w:ascii="仿宋_GB2312" w:eastAsia="仿宋_GB2312" w:hint="eastAsia"/>
          <w:sz w:val="32"/>
          <w:szCs w:val="32"/>
        </w:rPr>
        <w:t>自上而下法和自下而上法</w:t>
      </w:r>
      <w:r w:rsidR="00EA15F9" w:rsidRPr="00A507C2">
        <w:rPr>
          <w:rFonts w:ascii="仿宋_GB2312" w:eastAsia="仿宋_GB2312" w:hint="eastAsia"/>
          <w:sz w:val="32"/>
          <w:szCs w:val="32"/>
        </w:rPr>
        <w:t>两类，完善了标准草案的内容。</w:t>
      </w:r>
      <w:r w:rsidRPr="00A507C2">
        <w:rPr>
          <w:rFonts w:ascii="仿宋_GB2312" w:eastAsia="仿宋_GB2312" w:hint="eastAsia"/>
          <w:sz w:val="32"/>
          <w:szCs w:val="32"/>
        </w:rPr>
        <w:t>形成标准草案。</w:t>
      </w:r>
    </w:p>
    <w:p w:rsidR="00A507C2" w:rsidRPr="00A507C2" w:rsidRDefault="00A507C2" w:rsidP="00A507C2">
      <w:pPr>
        <w:ind w:firstLineChars="200" w:firstLine="640"/>
        <w:rPr>
          <w:rFonts w:ascii="仿宋_GB2312" w:eastAsia="仿宋_GB2312"/>
          <w:sz w:val="32"/>
          <w:szCs w:val="32"/>
        </w:rPr>
      </w:pPr>
      <w:r w:rsidRPr="00A507C2">
        <w:rPr>
          <w:rFonts w:ascii="仿宋_GB2312" w:eastAsia="仿宋_GB2312" w:hint="eastAsia"/>
          <w:sz w:val="32"/>
          <w:szCs w:val="32"/>
        </w:rPr>
        <w:t>3、201</w:t>
      </w:r>
      <w:r w:rsidR="00E05969">
        <w:rPr>
          <w:rFonts w:ascii="仿宋_GB2312" w:eastAsia="仿宋_GB2312" w:hint="eastAsia"/>
          <w:sz w:val="32"/>
          <w:szCs w:val="32"/>
        </w:rPr>
        <w:t>9</w:t>
      </w:r>
      <w:r w:rsidRPr="00A507C2">
        <w:rPr>
          <w:rFonts w:ascii="仿宋_GB2312" w:eastAsia="仿宋_GB2312" w:hint="eastAsia"/>
          <w:sz w:val="32"/>
          <w:szCs w:val="32"/>
        </w:rPr>
        <w:t>年</w:t>
      </w:r>
      <w:r w:rsidR="00E05969">
        <w:rPr>
          <w:rFonts w:ascii="仿宋_GB2312" w:eastAsia="仿宋_GB2312" w:hint="eastAsia"/>
          <w:sz w:val="32"/>
          <w:szCs w:val="32"/>
        </w:rPr>
        <w:t>7</w:t>
      </w:r>
      <w:r w:rsidRPr="00A507C2">
        <w:rPr>
          <w:rFonts w:ascii="仿宋_GB2312" w:eastAsia="仿宋_GB2312" w:hint="eastAsia"/>
          <w:sz w:val="32"/>
          <w:szCs w:val="32"/>
        </w:rPr>
        <w:t>月-1</w:t>
      </w:r>
      <w:r w:rsidR="00E05969">
        <w:rPr>
          <w:rFonts w:ascii="仿宋_GB2312" w:eastAsia="仿宋_GB2312" w:hint="eastAsia"/>
          <w:sz w:val="32"/>
          <w:szCs w:val="32"/>
        </w:rPr>
        <w:t>0</w:t>
      </w:r>
      <w:r w:rsidRPr="00A507C2">
        <w:rPr>
          <w:rFonts w:ascii="仿宋_GB2312" w:eastAsia="仿宋_GB2312" w:hint="eastAsia"/>
          <w:sz w:val="32"/>
          <w:szCs w:val="32"/>
        </w:rPr>
        <w:t>月，针对标准草案稿，起草组成员与专家进行多次沟通交流，</w:t>
      </w:r>
      <w:r w:rsidR="00EA15F9">
        <w:rPr>
          <w:rFonts w:ascii="仿宋_GB2312" w:eastAsia="仿宋_GB2312" w:hint="eastAsia"/>
          <w:sz w:val="32"/>
          <w:szCs w:val="32"/>
        </w:rPr>
        <w:t>在消费品安全物理危害识别流程和方法的内容上，增加了资料性附录，包括对</w:t>
      </w:r>
      <w:r w:rsidR="00EA15F9" w:rsidRPr="00EA15F9">
        <w:rPr>
          <w:rFonts w:ascii="仿宋_GB2312" w:eastAsia="仿宋_GB2312" w:hint="eastAsia"/>
          <w:sz w:val="32"/>
          <w:szCs w:val="32"/>
        </w:rPr>
        <w:t>机械危害</w:t>
      </w:r>
      <w:r w:rsidR="00EA15F9">
        <w:rPr>
          <w:rFonts w:ascii="仿宋_GB2312" w:eastAsia="仿宋_GB2312" w:hint="eastAsia"/>
          <w:sz w:val="32"/>
          <w:szCs w:val="32"/>
        </w:rPr>
        <w:t>、</w:t>
      </w:r>
      <w:r w:rsidR="00EA15F9" w:rsidRPr="00EA15F9">
        <w:rPr>
          <w:rFonts w:ascii="仿宋_GB2312" w:eastAsia="仿宋_GB2312" w:hint="eastAsia"/>
          <w:sz w:val="32"/>
          <w:szCs w:val="32"/>
        </w:rPr>
        <w:t>电磁辐射危害</w:t>
      </w:r>
      <w:r w:rsidR="00EA15F9">
        <w:rPr>
          <w:rFonts w:ascii="仿宋_GB2312" w:eastAsia="仿宋_GB2312" w:hint="eastAsia"/>
          <w:sz w:val="32"/>
          <w:szCs w:val="32"/>
        </w:rPr>
        <w:t>两种消费品物理危害的</w:t>
      </w:r>
      <w:r w:rsidR="00EA15F9" w:rsidRPr="00EA15F9">
        <w:rPr>
          <w:rFonts w:ascii="仿宋_GB2312" w:eastAsia="仿宋_GB2312" w:hint="eastAsia"/>
          <w:sz w:val="32"/>
          <w:szCs w:val="32"/>
        </w:rPr>
        <w:t>风险评估</w:t>
      </w:r>
      <w:r w:rsidR="00EA15F9">
        <w:rPr>
          <w:rFonts w:ascii="仿宋_GB2312" w:eastAsia="仿宋_GB2312" w:hint="eastAsia"/>
          <w:sz w:val="32"/>
          <w:szCs w:val="32"/>
        </w:rPr>
        <w:t>示例。</w:t>
      </w:r>
    </w:p>
    <w:p w:rsidR="00A507C2" w:rsidRPr="00A507C2" w:rsidRDefault="00A507C2" w:rsidP="00A507C2">
      <w:pPr>
        <w:ind w:firstLineChars="200" w:firstLine="640"/>
        <w:rPr>
          <w:rFonts w:ascii="仿宋_GB2312" w:eastAsia="仿宋_GB2312"/>
          <w:sz w:val="32"/>
          <w:szCs w:val="32"/>
        </w:rPr>
      </w:pPr>
      <w:r w:rsidRPr="00A507C2">
        <w:rPr>
          <w:rFonts w:ascii="仿宋_GB2312" w:eastAsia="仿宋_GB2312" w:hint="eastAsia"/>
          <w:sz w:val="32"/>
          <w:szCs w:val="32"/>
        </w:rPr>
        <w:t>4、201</w:t>
      </w:r>
      <w:r w:rsidR="00E05969">
        <w:rPr>
          <w:rFonts w:ascii="仿宋_GB2312" w:eastAsia="仿宋_GB2312" w:hint="eastAsia"/>
          <w:sz w:val="32"/>
          <w:szCs w:val="32"/>
        </w:rPr>
        <w:t>9</w:t>
      </w:r>
      <w:r w:rsidRPr="00A507C2">
        <w:rPr>
          <w:rFonts w:ascii="仿宋_GB2312" w:eastAsia="仿宋_GB2312" w:hint="eastAsia"/>
          <w:sz w:val="32"/>
          <w:szCs w:val="32"/>
        </w:rPr>
        <w:t>年</w:t>
      </w:r>
      <w:r w:rsidR="00E05969">
        <w:rPr>
          <w:rFonts w:ascii="仿宋_GB2312" w:eastAsia="仿宋_GB2312" w:hint="eastAsia"/>
          <w:sz w:val="32"/>
          <w:szCs w:val="32"/>
        </w:rPr>
        <w:t>11</w:t>
      </w:r>
      <w:r w:rsidRPr="00A507C2">
        <w:rPr>
          <w:rFonts w:ascii="仿宋_GB2312" w:eastAsia="仿宋_GB2312" w:hint="eastAsia"/>
          <w:sz w:val="32"/>
          <w:szCs w:val="32"/>
        </w:rPr>
        <w:t>月，起草组在标准草案稿的基础上，进一步细化了消费品</w:t>
      </w:r>
      <w:r w:rsidR="00EA15F9">
        <w:rPr>
          <w:rFonts w:ascii="仿宋_GB2312" w:eastAsia="仿宋_GB2312" w:hint="eastAsia"/>
          <w:sz w:val="32"/>
          <w:szCs w:val="32"/>
        </w:rPr>
        <w:t>安全</w:t>
      </w:r>
      <w:r w:rsidRPr="00A507C2">
        <w:rPr>
          <w:rFonts w:ascii="仿宋_GB2312" w:eastAsia="仿宋_GB2312" w:hint="eastAsia"/>
          <w:sz w:val="32"/>
          <w:szCs w:val="32"/>
        </w:rPr>
        <w:t>物理危害</w:t>
      </w:r>
      <w:r w:rsidR="00EA15F9">
        <w:rPr>
          <w:rFonts w:ascii="仿宋_GB2312" w:eastAsia="仿宋_GB2312" w:hint="eastAsia"/>
          <w:sz w:val="32"/>
          <w:szCs w:val="32"/>
        </w:rPr>
        <w:t>识别</w:t>
      </w:r>
      <w:r w:rsidRPr="00A507C2">
        <w:rPr>
          <w:rFonts w:ascii="仿宋_GB2312" w:eastAsia="仿宋_GB2312" w:hint="eastAsia"/>
          <w:sz w:val="32"/>
          <w:szCs w:val="32"/>
        </w:rPr>
        <w:t>的风险流程，并针对流程的每一个步骤都做了详细的分析，形成了标准征求意见稿。</w:t>
      </w:r>
    </w:p>
    <w:p w:rsidR="00B26459" w:rsidRPr="00072C4A" w:rsidRDefault="00B26459" w:rsidP="00E37CC3">
      <w:pPr>
        <w:pStyle w:val="1"/>
        <w:ind w:firstLineChars="200" w:firstLine="640"/>
      </w:pPr>
      <w:r w:rsidRPr="00072C4A">
        <w:rPr>
          <w:rFonts w:hint="eastAsia"/>
        </w:rPr>
        <w:t>五、标准主要技术内容</w:t>
      </w:r>
    </w:p>
    <w:p w:rsidR="00284379" w:rsidRPr="00ED1B36" w:rsidRDefault="00E37CC3" w:rsidP="00ED1B36">
      <w:pPr>
        <w:ind w:firstLineChars="200" w:firstLine="643"/>
        <w:rPr>
          <w:rFonts w:ascii="仿宋_GB2312" w:eastAsia="仿宋_GB2312"/>
          <w:b/>
          <w:sz w:val="32"/>
          <w:szCs w:val="32"/>
        </w:rPr>
      </w:pPr>
      <w:r w:rsidRPr="00ED1B36">
        <w:rPr>
          <w:rFonts w:ascii="仿宋_GB2312" w:eastAsia="仿宋_GB2312" w:hint="eastAsia"/>
          <w:b/>
          <w:sz w:val="32"/>
          <w:szCs w:val="32"/>
        </w:rPr>
        <w:t>1、术语和定义</w:t>
      </w:r>
    </w:p>
    <w:p w:rsidR="00E37CC3" w:rsidRPr="00ED1B36" w:rsidRDefault="00E37CC3" w:rsidP="00E472AD">
      <w:pPr>
        <w:ind w:firstLineChars="200" w:firstLine="640"/>
        <w:rPr>
          <w:rFonts w:ascii="仿宋_GB2312" w:eastAsia="仿宋_GB2312"/>
          <w:sz w:val="32"/>
          <w:szCs w:val="32"/>
        </w:rPr>
      </w:pPr>
      <w:r w:rsidRPr="00ED1B36">
        <w:rPr>
          <w:rFonts w:ascii="仿宋_GB2312" w:eastAsia="仿宋_GB2312" w:hint="eastAsia"/>
          <w:sz w:val="32"/>
          <w:szCs w:val="32"/>
        </w:rPr>
        <w:t>本标准给出了消费品、</w:t>
      </w:r>
      <w:r w:rsidR="00E472AD" w:rsidRPr="00ED1B36">
        <w:rPr>
          <w:rFonts w:ascii="仿宋_GB2312" w:eastAsia="仿宋_GB2312" w:hint="eastAsia"/>
          <w:sz w:val="32"/>
          <w:szCs w:val="32"/>
        </w:rPr>
        <w:t>物理危害、</w:t>
      </w:r>
      <w:r w:rsidRPr="00ED1B36">
        <w:rPr>
          <w:rFonts w:ascii="仿宋_GB2312" w:eastAsia="仿宋_GB2312" w:hint="eastAsia"/>
          <w:sz w:val="32"/>
          <w:szCs w:val="32"/>
        </w:rPr>
        <w:t>伤害、危害（源）、</w:t>
      </w:r>
      <w:r w:rsidR="00E472AD" w:rsidRPr="00ED1B36">
        <w:rPr>
          <w:rFonts w:ascii="仿宋_GB2312" w:eastAsia="仿宋_GB2312" w:hint="eastAsia"/>
          <w:sz w:val="32"/>
          <w:szCs w:val="32"/>
        </w:rPr>
        <w:t>危险区域、危险事件、</w:t>
      </w:r>
      <w:r w:rsidRPr="00ED1B36">
        <w:rPr>
          <w:rFonts w:ascii="仿宋_GB2312" w:eastAsia="仿宋_GB2312" w:hint="eastAsia"/>
          <w:sz w:val="32"/>
          <w:szCs w:val="32"/>
        </w:rPr>
        <w:t>危害处境、</w:t>
      </w:r>
      <w:r w:rsidR="00E472AD" w:rsidRPr="00ED1B36">
        <w:rPr>
          <w:rFonts w:ascii="仿宋_GB2312" w:eastAsia="仿宋_GB2312" w:hint="eastAsia"/>
          <w:sz w:val="32"/>
          <w:szCs w:val="32"/>
        </w:rPr>
        <w:t>事故、预期使用、故障、防护措施、合理的可预见使用、残余风险、</w:t>
      </w:r>
      <w:r w:rsidRPr="00ED1B36">
        <w:rPr>
          <w:rFonts w:ascii="仿宋_GB2312" w:eastAsia="仿宋_GB2312" w:hint="eastAsia"/>
          <w:sz w:val="32"/>
          <w:szCs w:val="32"/>
        </w:rPr>
        <w:t>风险、安全、可容许风险、风险估计、风险分析、风险评价、风险评估</w:t>
      </w:r>
      <w:r w:rsidR="00E472AD" w:rsidRPr="00ED1B36">
        <w:rPr>
          <w:rFonts w:ascii="仿宋_GB2312" w:eastAsia="仿宋_GB2312" w:hint="eastAsia"/>
          <w:sz w:val="32"/>
          <w:szCs w:val="32"/>
        </w:rPr>
        <w:t>20</w:t>
      </w:r>
      <w:r w:rsidRPr="00ED1B36">
        <w:rPr>
          <w:rFonts w:ascii="仿宋_GB2312" w:eastAsia="仿宋_GB2312" w:hint="eastAsia"/>
          <w:sz w:val="32"/>
          <w:szCs w:val="32"/>
        </w:rPr>
        <w:t>个术语的定义。</w:t>
      </w:r>
    </w:p>
    <w:p w:rsidR="00ED1B36" w:rsidRPr="00ED1B36" w:rsidRDefault="00ED1B36" w:rsidP="00E472AD">
      <w:pPr>
        <w:ind w:firstLineChars="200" w:firstLine="640"/>
        <w:rPr>
          <w:rFonts w:ascii="仿宋_GB2312" w:eastAsia="仿宋_GB2312"/>
          <w:sz w:val="32"/>
          <w:szCs w:val="32"/>
        </w:rPr>
      </w:pPr>
      <w:r w:rsidRPr="00ED1B36">
        <w:rPr>
          <w:rFonts w:ascii="仿宋_GB2312" w:eastAsia="仿宋_GB2312" w:hint="eastAsia"/>
          <w:sz w:val="32"/>
          <w:szCs w:val="32"/>
        </w:rPr>
        <w:t>①术语延用情况。</w:t>
      </w:r>
    </w:p>
    <w:p w:rsidR="00ED1B36" w:rsidRPr="00ED1B36" w:rsidRDefault="00ED1B36" w:rsidP="00E472AD">
      <w:pPr>
        <w:ind w:firstLineChars="200" w:firstLine="640"/>
        <w:rPr>
          <w:rFonts w:ascii="仿宋_GB2312" w:eastAsia="仿宋_GB2312"/>
          <w:sz w:val="32"/>
          <w:szCs w:val="32"/>
        </w:rPr>
      </w:pPr>
      <w:r w:rsidRPr="00ED1B36">
        <w:rPr>
          <w:rFonts w:ascii="仿宋_GB2312" w:eastAsia="仿宋_GB2312" w:hint="eastAsia"/>
          <w:sz w:val="32"/>
          <w:szCs w:val="32"/>
        </w:rPr>
        <w:t>共有13个术语延用相关标准。</w:t>
      </w:r>
    </w:p>
    <w:p w:rsidR="003851C0" w:rsidRPr="00ED1B36" w:rsidRDefault="00ED1B36" w:rsidP="00E472AD">
      <w:pPr>
        <w:ind w:firstLineChars="200" w:firstLine="640"/>
        <w:rPr>
          <w:rFonts w:ascii="仿宋_GB2312" w:eastAsia="仿宋_GB2312"/>
          <w:sz w:val="32"/>
          <w:szCs w:val="32"/>
        </w:rPr>
      </w:pPr>
      <w:r w:rsidRPr="00ED1B36">
        <w:rPr>
          <w:rFonts w:ascii="仿宋_GB2312" w:eastAsia="仿宋_GB2312" w:hint="eastAsia"/>
          <w:sz w:val="32"/>
          <w:szCs w:val="32"/>
        </w:rPr>
        <w:t>“消费品”1个术语延用GB/T 35248-2017中的定义；</w:t>
      </w:r>
      <w:r w:rsidR="00E472AD" w:rsidRPr="00ED1B36">
        <w:rPr>
          <w:rFonts w:ascii="仿宋_GB2312" w:eastAsia="仿宋_GB2312" w:hint="eastAsia"/>
          <w:sz w:val="32"/>
          <w:szCs w:val="32"/>
        </w:rPr>
        <w:t>“伤害”、</w:t>
      </w:r>
      <w:r w:rsidR="00E472AD" w:rsidRPr="00ED1B36">
        <w:rPr>
          <w:rFonts w:ascii="仿宋_GB2312" w:eastAsia="仿宋_GB2312" w:hint="eastAsia"/>
          <w:sz w:val="32"/>
          <w:szCs w:val="32"/>
        </w:rPr>
        <w:lastRenderedPageBreak/>
        <w:t>“危害（源）”、“预期使用”、“合理的可预见使用”4</w:t>
      </w:r>
      <w:r w:rsidR="003851C0" w:rsidRPr="00ED1B36">
        <w:rPr>
          <w:rFonts w:ascii="仿宋_GB2312" w:eastAsia="仿宋_GB2312" w:hint="eastAsia"/>
          <w:sz w:val="32"/>
          <w:szCs w:val="32"/>
        </w:rPr>
        <w:t>个术语延用GB/T</w:t>
      </w:r>
      <w:r w:rsidR="00E472AD" w:rsidRPr="00ED1B36">
        <w:rPr>
          <w:rFonts w:ascii="仿宋_GB2312" w:eastAsia="仿宋_GB2312" w:hint="eastAsia"/>
          <w:sz w:val="32"/>
          <w:szCs w:val="32"/>
        </w:rPr>
        <w:t xml:space="preserve"> </w:t>
      </w:r>
      <w:r w:rsidR="00E472AD" w:rsidRPr="00ED1B36">
        <w:rPr>
          <w:rFonts w:ascii="仿宋_GB2312" w:eastAsia="仿宋_GB2312"/>
          <w:sz w:val="32"/>
          <w:szCs w:val="32"/>
        </w:rPr>
        <w:t>28803-2012</w:t>
      </w:r>
      <w:r w:rsidR="00E472AD" w:rsidRPr="00ED1B36">
        <w:rPr>
          <w:rFonts w:ascii="仿宋_GB2312" w:eastAsia="仿宋_GB2312" w:hint="eastAsia"/>
          <w:sz w:val="32"/>
          <w:szCs w:val="32"/>
        </w:rPr>
        <w:t>中的定义；“</w:t>
      </w:r>
      <w:r w:rsidR="007C3860" w:rsidRPr="00ED1B36">
        <w:rPr>
          <w:rFonts w:ascii="仿宋_GB2312" w:eastAsia="仿宋_GB2312" w:hint="eastAsia"/>
          <w:sz w:val="32"/>
          <w:szCs w:val="32"/>
        </w:rPr>
        <w:t xml:space="preserve">风险”、“安全”、“可容许风险”、“风险估计”、“风险分析”、“风险评价”、“风险评估”7个术语延用GB/T </w:t>
      </w:r>
      <w:r w:rsidR="007C3860" w:rsidRPr="00ED1B36">
        <w:rPr>
          <w:rFonts w:ascii="仿宋_GB2312" w:eastAsia="仿宋_GB2312"/>
          <w:sz w:val="32"/>
          <w:szCs w:val="32"/>
        </w:rPr>
        <w:t>22760-2008</w:t>
      </w:r>
      <w:r w:rsidR="007C3860" w:rsidRPr="00ED1B36">
        <w:rPr>
          <w:rFonts w:ascii="仿宋_GB2312" w:eastAsia="仿宋_GB2312" w:hint="eastAsia"/>
          <w:sz w:val="32"/>
          <w:szCs w:val="32"/>
        </w:rPr>
        <w:t>中的定义</w:t>
      </w:r>
      <w:r w:rsidRPr="00ED1B36">
        <w:rPr>
          <w:rFonts w:ascii="仿宋_GB2312" w:eastAsia="仿宋_GB2312" w:hint="eastAsia"/>
          <w:sz w:val="32"/>
          <w:szCs w:val="32"/>
        </w:rPr>
        <w:t>；“危险事件”1个术语延用</w:t>
      </w:r>
      <w:r w:rsidRPr="00ED1B36">
        <w:rPr>
          <w:rFonts w:ascii="仿宋_GB2312" w:eastAsia="仿宋_GB2312"/>
          <w:sz w:val="32"/>
          <w:szCs w:val="32"/>
        </w:rPr>
        <w:t>GB/T 15706-2012</w:t>
      </w:r>
      <w:r w:rsidRPr="00ED1B36">
        <w:rPr>
          <w:rFonts w:ascii="仿宋_GB2312" w:eastAsia="仿宋_GB2312" w:hint="eastAsia"/>
          <w:sz w:val="32"/>
          <w:szCs w:val="32"/>
        </w:rPr>
        <w:t>中的定义</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②术语改写情况。</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 xml:space="preserve">“危害区”“危险处境”“残余风险”“防护措施”4个术语改写了GB/T </w:t>
      </w:r>
      <w:r w:rsidRPr="00ED1B36">
        <w:rPr>
          <w:rFonts w:ascii="仿宋_GB2312" w:eastAsia="仿宋_GB2312"/>
          <w:sz w:val="32"/>
          <w:szCs w:val="32"/>
        </w:rPr>
        <w:t>15706-2012</w:t>
      </w:r>
      <w:r w:rsidRPr="00ED1B36">
        <w:rPr>
          <w:rFonts w:ascii="仿宋_GB2312" w:eastAsia="仿宋_GB2312" w:hint="eastAsia"/>
          <w:sz w:val="32"/>
          <w:szCs w:val="32"/>
        </w:rPr>
        <w:t>中对其的定义。</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“危害区”：消费品内和/或周围的空间，在该空间内可能导致伤害。</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“危险处境”：人员、财产或环境处在至少一种危险状态下，该状态可能立即或经过一段时间造成伤害。</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“残余风险”：在实施防护措施后还存在的风险。注：残余风险可区分为：在设计者采取防护措施后的风险；在用户实施所有防护措施后的风险。</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“防护措施”：降低风险的方法。注：防护措施包括固有的安全设计、防护装置、个体防护装备、使用和安装信息以及培训等。</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③术语参考编写情况。</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“故障”参考相关文献资料，将其定义为：由于如下各种原因，消费品不能发挥预期功能：加工材料或加工件的多种特性或</w:t>
      </w:r>
      <w:r w:rsidRPr="00ED1B36">
        <w:rPr>
          <w:rFonts w:ascii="仿宋_GB2312" w:eastAsia="仿宋_GB2312" w:hint="eastAsia"/>
          <w:sz w:val="32"/>
          <w:szCs w:val="32"/>
        </w:rPr>
        <w:lastRenderedPageBreak/>
        <w:t>尺寸；一个（或多个）零部件部分或服务的故障；外部干扰（如，电击、振动、电磁干扰）；设计错误或缺陷（如，软件错误）；电源干扰；周围环境（如，损坏的地板表面）。</w:t>
      </w:r>
    </w:p>
    <w:p w:rsidR="00ED1B36" w:rsidRPr="00ED1B36" w:rsidRDefault="00ED1B36" w:rsidP="00ED1B36">
      <w:pPr>
        <w:ind w:firstLineChars="200" w:firstLine="640"/>
        <w:rPr>
          <w:rFonts w:ascii="仿宋_GB2312" w:eastAsia="仿宋_GB2312"/>
          <w:sz w:val="32"/>
          <w:szCs w:val="32"/>
        </w:rPr>
      </w:pPr>
      <w:r w:rsidRPr="00ED1B36">
        <w:rPr>
          <w:rFonts w:ascii="仿宋_GB2312" w:eastAsia="仿宋_GB2312" w:hint="eastAsia"/>
          <w:sz w:val="32"/>
          <w:szCs w:val="32"/>
        </w:rPr>
        <w:t>“事故”参考相关文献资料，将其定义为：过去的危险事件。注：已发生并且造成伤害的事故可视为意外事故。已发生但未造成伤害的事故可视为侥幸事故。</w:t>
      </w:r>
    </w:p>
    <w:p w:rsidR="00E37CC3" w:rsidRDefault="00ED1B36" w:rsidP="00ED1B36">
      <w:pPr>
        <w:ind w:firstLine="480"/>
        <w:rPr>
          <w:rFonts w:ascii="仿宋_GB2312" w:eastAsia="仿宋_GB2312"/>
          <w:sz w:val="32"/>
          <w:szCs w:val="32"/>
        </w:rPr>
      </w:pPr>
      <w:r w:rsidRPr="00ED1B36">
        <w:rPr>
          <w:rFonts w:ascii="仿宋_GB2312" w:eastAsia="仿宋_GB2312" w:hint="eastAsia"/>
          <w:sz w:val="32"/>
          <w:szCs w:val="32"/>
        </w:rPr>
        <w:t xml:space="preserve"> </w:t>
      </w:r>
      <w:r w:rsidR="003851C0" w:rsidRPr="00ED1B36">
        <w:rPr>
          <w:rFonts w:ascii="仿宋_GB2312" w:eastAsia="仿宋_GB2312" w:hint="eastAsia"/>
          <w:sz w:val="32"/>
          <w:szCs w:val="32"/>
        </w:rPr>
        <w:t>“</w:t>
      </w:r>
      <w:r w:rsidRPr="00ED1B36">
        <w:rPr>
          <w:rFonts w:ascii="仿宋_GB2312" w:eastAsia="仿宋_GB2312" w:hint="eastAsia"/>
          <w:sz w:val="32"/>
          <w:szCs w:val="32"/>
        </w:rPr>
        <w:t>物理危害</w:t>
      </w:r>
      <w:r w:rsidR="003851C0" w:rsidRPr="00ED1B36">
        <w:rPr>
          <w:rFonts w:ascii="仿宋_GB2312" w:eastAsia="仿宋_GB2312" w:hint="eastAsia"/>
          <w:sz w:val="32"/>
          <w:szCs w:val="32"/>
        </w:rPr>
        <w:t>”参考相关文献资料，将其定义为：</w:t>
      </w:r>
      <w:r w:rsidRPr="00ED1B36">
        <w:rPr>
          <w:rFonts w:ascii="仿宋_GB2312" w:eastAsia="仿宋_GB2312" w:hint="eastAsia"/>
          <w:sz w:val="32"/>
          <w:szCs w:val="32"/>
        </w:rPr>
        <w:t>对人的健康和财产造成物理性损伤或损害的因素。注：如高温、低温、高湿、高气压、低气压、噪声、振动、电磁辐射等因素，具体分类见 GB/T 28803-2012 附录B.1）。</w:t>
      </w:r>
    </w:p>
    <w:p w:rsidR="0043016C" w:rsidRPr="00E66C08" w:rsidRDefault="00ED1B36" w:rsidP="00E66C08">
      <w:pPr>
        <w:ind w:firstLineChars="200" w:firstLine="643"/>
        <w:rPr>
          <w:rFonts w:ascii="仿宋_GB2312" w:eastAsia="仿宋_GB2312"/>
          <w:b/>
          <w:sz w:val="32"/>
          <w:szCs w:val="32"/>
        </w:rPr>
      </w:pPr>
      <w:r w:rsidRPr="00E66C08">
        <w:rPr>
          <w:rFonts w:ascii="仿宋_GB2312" w:eastAsia="仿宋_GB2312" w:hint="eastAsia"/>
          <w:b/>
          <w:sz w:val="32"/>
          <w:szCs w:val="32"/>
        </w:rPr>
        <w:t>2、</w:t>
      </w:r>
      <w:r w:rsidR="0043016C" w:rsidRPr="00E66C08">
        <w:rPr>
          <w:rFonts w:ascii="仿宋_GB2312" w:eastAsia="仿宋_GB2312" w:hint="eastAsia"/>
          <w:b/>
          <w:sz w:val="32"/>
          <w:szCs w:val="32"/>
        </w:rPr>
        <w:t>物理危害风险评估的一般原则</w:t>
      </w:r>
      <w:r w:rsidR="00957860">
        <w:rPr>
          <w:rFonts w:ascii="仿宋_GB2312" w:eastAsia="仿宋_GB2312" w:hint="eastAsia"/>
          <w:b/>
          <w:sz w:val="32"/>
          <w:szCs w:val="32"/>
        </w:rPr>
        <w:t>（第4章）</w:t>
      </w:r>
    </w:p>
    <w:p w:rsidR="00E66C08" w:rsidRDefault="0043016C" w:rsidP="000030E2">
      <w:pPr>
        <w:ind w:firstLineChars="200" w:firstLine="640"/>
        <w:rPr>
          <w:rFonts w:ascii="仿宋_GB2312" w:eastAsia="仿宋_GB2312"/>
          <w:sz w:val="32"/>
          <w:szCs w:val="32"/>
        </w:rPr>
      </w:pPr>
      <w:r>
        <w:rPr>
          <w:rFonts w:ascii="仿宋_GB2312" w:eastAsia="仿宋_GB2312" w:hint="eastAsia"/>
          <w:sz w:val="32"/>
          <w:szCs w:val="32"/>
        </w:rPr>
        <w:t>本标准给出了物理危害风险评估的一般原则，即</w:t>
      </w:r>
      <w:r w:rsidRPr="0043016C">
        <w:rPr>
          <w:rFonts w:ascii="仿宋_GB2312" w:eastAsia="仿宋_GB2312" w:hint="eastAsia"/>
          <w:sz w:val="32"/>
          <w:szCs w:val="32"/>
        </w:rPr>
        <w:t>可容许风险取决于伤害的严重程度，对财产的损害、暴露在危险下的人员数量、人员暴露在危险下的频度和暴露持续时间等要素。导致危险事件的要素在风险评价中是重要的。合理地分析相关要素，有助于确定可容许风险。分析相关要素需要考虑以下方面：a) 法律、法规的要求；b) 安全管理机构的规定；c) 国家标准、国际标准；d) 行业标准、专家和顾问机构的建议。</w:t>
      </w:r>
    </w:p>
    <w:p w:rsidR="0043016C" w:rsidRPr="00957860" w:rsidRDefault="0043016C" w:rsidP="00957860">
      <w:pPr>
        <w:ind w:firstLineChars="200" w:firstLine="643"/>
        <w:rPr>
          <w:rFonts w:ascii="仿宋_GB2312" w:eastAsia="仿宋_GB2312"/>
          <w:b/>
          <w:sz w:val="32"/>
          <w:szCs w:val="32"/>
        </w:rPr>
      </w:pPr>
      <w:r w:rsidRPr="00957860">
        <w:rPr>
          <w:rFonts w:ascii="仿宋_GB2312" w:eastAsia="仿宋_GB2312" w:hint="eastAsia"/>
          <w:b/>
          <w:sz w:val="32"/>
          <w:szCs w:val="32"/>
        </w:rPr>
        <w:t>3. 物理危害风险评估的程序</w:t>
      </w:r>
      <w:r w:rsidR="00957860">
        <w:rPr>
          <w:rFonts w:ascii="仿宋_GB2312" w:eastAsia="仿宋_GB2312" w:hint="eastAsia"/>
          <w:b/>
          <w:sz w:val="32"/>
          <w:szCs w:val="32"/>
        </w:rPr>
        <w:t>和内容（第5-9章）</w:t>
      </w:r>
    </w:p>
    <w:p w:rsidR="006658F0" w:rsidRDefault="00E66C08" w:rsidP="000030E2">
      <w:pPr>
        <w:ind w:firstLineChars="200" w:firstLine="640"/>
        <w:rPr>
          <w:rFonts w:ascii="仿宋_GB2312" w:eastAsia="仿宋_GB2312"/>
          <w:sz w:val="32"/>
          <w:szCs w:val="32"/>
        </w:rPr>
      </w:pPr>
      <w:r>
        <w:rPr>
          <w:rFonts w:ascii="仿宋_GB2312" w:eastAsia="仿宋_GB2312" w:hint="eastAsia"/>
          <w:sz w:val="32"/>
          <w:szCs w:val="32"/>
        </w:rPr>
        <w:t>本标准引用了GB/T 22760-2008《消费品安全风险评估通则》中消费品安全风险评估的流程</w:t>
      </w:r>
      <w:r w:rsidR="00957860">
        <w:rPr>
          <w:rFonts w:ascii="仿宋_GB2312" w:eastAsia="仿宋_GB2312" w:hint="eastAsia"/>
          <w:sz w:val="32"/>
          <w:szCs w:val="32"/>
        </w:rPr>
        <w:t>（</w:t>
      </w:r>
      <w:r w:rsidR="006C4B5A">
        <w:rPr>
          <w:rFonts w:ascii="仿宋_GB2312" w:eastAsia="仿宋_GB2312" w:hint="eastAsia"/>
          <w:sz w:val="32"/>
          <w:szCs w:val="32"/>
        </w:rPr>
        <w:t>第</w:t>
      </w:r>
      <w:r w:rsidR="00957860">
        <w:rPr>
          <w:rFonts w:ascii="仿宋_GB2312" w:eastAsia="仿宋_GB2312" w:hint="eastAsia"/>
          <w:sz w:val="32"/>
          <w:szCs w:val="32"/>
        </w:rPr>
        <w:t>5</w:t>
      </w:r>
      <w:r w:rsidR="006C4B5A">
        <w:rPr>
          <w:rFonts w:ascii="仿宋_GB2312" w:eastAsia="仿宋_GB2312" w:hint="eastAsia"/>
          <w:sz w:val="32"/>
          <w:szCs w:val="32"/>
        </w:rPr>
        <w:t>章</w:t>
      </w:r>
      <w:r w:rsidR="00957860">
        <w:rPr>
          <w:rFonts w:ascii="仿宋_GB2312" w:eastAsia="仿宋_GB2312" w:hint="eastAsia"/>
          <w:sz w:val="32"/>
          <w:szCs w:val="32"/>
        </w:rPr>
        <w:t>）</w:t>
      </w:r>
      <w:r w:rsidR="006658F0">
        <w:rPr>
          <w:rFonts w:ascii="仿宋_GB2312" w:eastAsia="仿宋_GB2312" w:hint="eastAsia"/>
          <w:sz w:val="32"/>
          <w:szCs w:val="32"/>
        </w:rPr>
        <w:t>。</w:t>
      </w:r>
    </w:p>
    <w:p w:rsidR="00E66C08" w:rsidRDefault="006658F0" w:rsidP="006C4B5A">
      <w:pPr>
        <w:ind w:firstLineChars="200" w:firstLine="643"/>
        <w:rPr>
          <w:rFonts w:ascii="仿宋_GB2312" w:eastAsia="仿宋_GB2312"/>
          <w:sz w:val="32"/>
          <w:szCs w:val="32"/>
        </w:rPr>
      </w:pPr>
      <w:r w:rsidRPr="006C4B5A">
        <w:rPr>
          <w:rFonts w:ascii="仿宋_GB2312" w:eastAsia="仿宋_GB2312" w:hint="eastAsia"/>
          <w:b/>
          <w:sz w:val="32"/>
          <w:szCs w:val="32"/>
        </w:rPr>
        <w:lastRenderedPageBreak/>
        <w:t>（1）评估前准备</w:t>
      </w:r>
      <w:r w:rsidR="006C4B5A" w:rsidRPr="006C4B5A">
        <w:rPr>
          <w:rFonts w:ascii="仿宋_GB2312" w:eastAsia="仿宋_GB2312" w:hint="eastAsia"/>
          <w:b/>
          <w:sz w:val="32"/>
          <w:szCs w:val="32"/>
        </w:rPr>
        <w:t>（第6章）</w:t>
      </w:r>
      <w:r w:rsidRPr="006C4B5A">
        <w:rPr>
          <w:rFonts w:ascii="仿宋_GB2312" w:eastAsia="仿宋_GB2312" w:hint="eastAsia"/>
          <w:b/>
          <w:sz w:val="32"/>
          <w:szCs w:val="32"/>
        </w:rPr>
        <w:t>。</w:t>
      </w:r>
      <w:r w:rsidR="00957860">
        <w:rPr>
          <w:rFonts w:ascii="仿宋_GB2312" w:eastAsia="仿宋_GB2312" w:hint="eastAsia"/>
          <w:sz w:val="32"/>
          <w:szCs w:val="32"/>
        </w:rPr>
        <w:t>增加了对“确定消费品的限制”的内容，即</w:t>
      </w:r>
      <w:r w:rsidR="00957860" w:rsidRPr="00957860">
        <w:rPr>
          <w:rFonts w:ascii="仿宋_GB2312" w:eastAsia="仿宋_GB2312" w:hint="eastAsia"/>
          <w:sz w:val="32"/>
          <w:szCs w:val="32"/>
        </w:rPr>
        <w:t>对消费品的功能、使用、可预见的误用，以及消费品的使用和维修环境类型给予清晰的描述</w:t>
      </w:r>
      <w:r w:rsidR="00957860">
        <w:rPr>
          <w:rFonts w:ascii="仿宋_GB2312" w:eastAsia="仿宋_GB2312" w:hint="eastAsia"/>
          <w:sz w:val="32"/>
          <w:szCs w:val="32"/>
        </w:rPr>
        <w:t>（6.1，6.2）</w:t>
      </w:r>
      <w:r>
        <w:rPr>
          <w:rFonts w:ascii="仿宋_GB2312" w:eastAsia="仿宋_GB2312" w:hint="eastAsia"/>
          <w:sz w:val="32"/>
          <w:szCs w:val="32"/>
        </w:rPr>
        <w:t>。</w:t>
      </w:r>
    </w:p>
    <w:p w:rsidR="00ED1B36" w:rsidRDefault="006658F0" w:rsidP="006C4B5A">
      <w:pPr>
        <w:ind w:firstLineChars="200" w:firstLine="643"/>
        <w:rPr>
          <w:rFonts w:ascii="仿宋_GB2312" w:eastAsia="仿宋_GB2312"/>
          <w:sz w:val="32"/>
          <w:szCs w:val="32"/>
        </w:rPr>
      </w:pPr>
      <w:r w:rsidRPr="006C4B5A">
        <w:rPr>
          <w:rFonts w:ascii="仿宋_GB2312" w:eastAsia="仿宋_GB2312" w:hint="eastAsia"/>
          <w:b/>
          <w:sz w:val="32"/>
          <w:szCs w:val="32"/>
        </w:rPr>
        <w:t>（2）危害识别</w:t>
      </w:r>
      <w:r w:rsidR="006C4B5A" w:rsidRPr="006C4B5A">
        <w:rPr>
          <w:rFonts w:ascii="仿宋_GB2312" w:eastAsia="仿宋_GB2312" w:hint="eastAsia"/>
          <w:b/>
          <w:sz w:val="32"/>
          <w:szCs w:val="32"/>
        </w:rPr>
        <w:t>（第7章）</w:t>
      </w:r>
      <w:r w:rsidRPr="006C4B5A">
        <w:rPr>
          <w:rFonts w:ascii="仿宋_GB2312" w:eastAsia="仿宋_GB2312" w:hint="eastAsia"/>
          <w:b/>
          <w:sz w:val="32"/>
          <w:szCs w:val="32"/>
        </w:rPr>
        <w:t>。</w:t>
      </w:r>
      <w:r>
        <w:rPr>
          <w:rFonts w:ascii="仿宋_GB2312" w:eastAsia="仿宋_GB2312" w:hint="eastAsia"/>
          <w:sz w:val="32"/>
          <w:szCs w:val="32"/>
        </w:rPr>
        <w:t>①对危害识别的方法进行了分类，给出了“自上而下法”和“自下而上法”2种危害识别方法的内容</w:t>
      </w:r>
      <w:r w:rsidR="00957860">
        <w:rPr>
          <w:rFonts w:ascii="仿宋_GB2312" w:eastAsia="仿宋_GB2312" w:hint="eastAsia"/>
          <w:sz w:val="32"/>
          <w:szCs w:val="32"/>
        </w:rPr>
        <w:t>（7.2）</w:t>
      </w:r>
      <w:r>
        <w:rPr>
          <w:rFonts w:ascii="仿宋_GB2312" w:eastAsia="仿宋_GB2312" w:hint="eastAsia"/>
          <w:sz w:val="32"/>
          <w:szCs w:val="32"/>
        </w:rPr>
        <w:t>；②提出了</w:t>
      </w:r>
      <w:r w:rsidRPr="006658F0">
        <w:rPr>
          <w:rFonts w:ascii="仿宋_GB2312" w:eastAsia="仿宋_GB2312" w:hint="eastAsia"/>
          <w:sz w:val="32"/>
          <w:szCs w:val="32"/>
        </w:rPr>
        <w:t>应采用适当的方式</w:t>
      </w:r>
      <w:r>
        <w:rPr>
          <w:rFonts w:ascii="仿宋_GB2312" w:eastAsia="仿宋_GB2312" w:hint="eastAsia"/>
          <w:sz w:val="32"/>
          <w:szCs w:val="32"/>
        </w:rPr>
        <w:t>对</w:t>
      </w:r>
      <w:r w:rsidRPr="006658F0">
        <w:rPr>
          <w:rFonts w:ascii="仿宋_GB2312" w:eastAsia="仿宋_GB2312" w:hint="eastAsia"/>
          <w:sz w:val="32"/>
          <w:szCs w:val="32"/>
        </w:rPr>
        <w:t>危害识别进行记录</w:t>
      </w:r>
      <w:r>
        <w:rPr>
          <w:rFonts w:ascii="仿宋_GB2312" w:eastAsia="仿宋_GB2312" w:hint="eastAsia"/>
          <w:sz w:val="32"/>
          <w:szCs w:val="32"/>
        </w:rPr>
        <w:t>的要求，</w:t>
      </w:r>
      <w:r w:rsidR="00957860">
        <w:rPr>
          <w:rFonts w:ascii="仿宋_GB2312" w:eastAsia="仿宋_GB2312" w:hint="eastAsia"/>
          <w:sz w:val="32"/>
          <w:szCs w:val="32"/>
        </w:rPr>
        <w:t>并</w:t>
      </w:r>
      <w:r>
        <w:rPr>
          <w:rFonts w:ascii="仿宋_GB2312" w:eastAsia="仿宋_GB2312" w:hint="eastAsia"/>
          <w:sz w:val="32"/>
          <w:szCs w:val="32"/>
        </w:rPr>
        <w:t>给出了记录信息的内容和范围</w:t>
      </w:r>
      <w:r w:rsidR="00957860">
        <w:rPr>
          <w:rFonts w:ascii="仿宋_GB2312" w:eastAsia="仿宋_GB2312" w:hint="eastAsia"/>
          <w:sz w:val="32"/>
          <w:szCs w:val="32"/>
        </w:rPr>
        <w:t>（7.3）</w:t>
      </w:r>
      <w:r>
        <w:rPr>
          <w:rFonts w:ascii="仿宋_GB2312" w:eastAsia="仿宋_GB2312" w:hint="eastAsia"/>
          <w:sz w:val="32"/>
          <w:szCs w:val="32"/>
        </w:rPr>
        <w:t>；③</w:t>
      </w:r>
      <w:r w:rsidR="00957860">
        <w:rPr>
          <w:rFonts w:ascii="仿宋_GB2312" w:eastAsia="仿宋_GB2312" w:hint="eastAsia"/>
          <w:sz w:val="32"/>
          <w:szCs w:val="32"/>
        </w:rPr>
        <w:t>在消费品安全物理危害源识别中应注意潜在的危害源（7.4.1）以及</w:t>
      </w:r>
      <w:r w:rsidR="00957860" w:rsidRPr="00957860">
        <w:rPr>
          <w:rFonts w:ascii="仿宋_GB2312" w:eastAsia="仿宋_GB2312" w:hint="eastAsia"/>
          <w:sz w:val="32"/>
          <w:szCs w:val="32"/>
        </w:rPr>
        <w:t>设计和制造的危险</w:t>
      </w:r>
      <w:r w:rsidR="00957860">
        <w:rPr>
          <w:rFonts w:ascii="仿宋_GB2312" w:eastAsia="仿宋_GB2312" w:hint="eastAsia"/>
          <w:sz w:val="32"/>
          <w:szCs w:val="32"/>
        </w:rPr>
        <w:t>（7.4.2）；④给出了危害源的信息内容（7.4.3）。</w:t>
      </w:r>
    </w:p>
    <w:p w:rsidR="006C4B5A" w:rsidRDefault="006658F0" w:rsidP="006C4B5A">
      <w:pPr>
        <w:ind w:firstLineChars="200" w:firstLine="643"/>
        <w:rPr>
          <w:rFonts w:ascii="仿宋_GB2312" w:eastAsia="仿宋_GB2312"/>
          <w:sz w:val="32"/>
          <w:szCs w:val="32"/>
        </w:rPr>
      </w:pPr>
      <w:r w:rsidRPr="006C4B5A">
        <w:rPr>
          <w:rFonts w:ascii="仿宋_GB2312" w:eastAsia="仿宋_GB2312" w:hint="eastAsia"/>
          <w:b/>
          <w:sz w:val="32"/>
          <w:szCs w:val="32"/>
        </w:rPr>
        <w:t>（3）</w:t>
      </w:r>
      <w:r w:rsidR="00957860" w:rsidRPr="006C4B5A">
        <w:rPr>
          <w:rFonts w:ascii="仿宋_GB2312" w:eastAsia="仿宋_GB2312" w:hint="eastAsia"/>
          <w:b/>
          <w:sz w:val="32"/>
          <w:szCs w:val="32"/>
        </w:rPr>
        <w:t>风险估计</w:t>
      </w:r>
      <w:r w:rsidR="006C4B5A" w:rsidRPr="006C4B5A">
        <w:rPr>
          <w:rFonts w:ascii="仿宋_GB2312" w:eastAsia="仿宋_GB2312" w:hint="eastAsia"/>
          <w:b/>
          <w:sz w:val="32"/>
          <w:szCs w:val="32"/>
        </w:rPr>
        <w:t>（第8章）</w:t>
      </w:r>
      <w:r w:rsidR="00957860" w:rsidRPr="006C4B5A">
        <w:rPr>
          <w:rFonts w:ascii="仿宋_GB2312" w:eastAsia="仿宋_GB2312" w:hint="eastAsia"/>
          <w:b/>
          <w:sz w:val="32"/>
          <w:szCs w:val="32"/>
        </w:rPr>
        <w:t>。</w:t>
      </w:r>
      <w:r w:rsidR="006C4B5A">
        <w:rPr>
          <w:rFonts w:ascii="仿宋_GB2312" w:eastAsia="仿宋_GB2312" w:hint="eastAsia"/>
          <w:sz w:val="32"/>
          <w:szCs w:val="32"/>
        </w:rPr>
        <w:t>本标准认为</w:t>
      </w:r>
      <w:r w:rsidR="006C4B5A" w:rsidRPr="006C4B5A">
        <w:rPr>
          <w:rFonts w:ascii="仿宋_GB2312" w:eastAsia="仿宋_GB2312" w:hint="eastAsia"/>
          <w:sz w:val="32"/>
          <w:szCs w:val="32"/>
        </w:rPr>
        <w:t>风险</w:t>
      </w:r>
      <w:r w:rsidR="006C4B5A">
        <w:rPr>
          <w:rFonts w:ascii="仿宋_GB2312" w:eastAsia="仿宋_GB2312" w:hint="eastAsia"/>
          <w:sz w:val="32"/>
          <w:szCs w:val="32"/>
        </w:rPr>
        <w:t>估计</w:t>
      </w:r>
      <w:r w:rsidR="006C4B5A" w:rsidRPr="006C4B5A">
        <w:rPr>
          <w:rFonts w:ascii="仿宋_GB2312" w:eastAsia="仿宋_GB2312" w:hint="eastAsia"/>
          <w:sz w:val="32"/>
          <w:szCs w:val="32"/>
        </w:rPr>
        <w:t>是确定发生每个危险处境或事故的最高风险</w:t>
      </w:r>
      <w:r w:rsidR="006C4B5A">
        <w:rPr>
          <w:rFonts w:ascii="仿宋_GB2312" w:eastAsia="仿宋_GB2312" w:hint="eastAsia"/>
          <w:sz w:val="32"/>
          <w:szCs w:val="32"/>
        </w:rPr>
        <w:t>，</w:t>
      </w:r>
      <w:r w:rsidR="006C4B5A" w:rsidRPr="006C4B5A">
        <w:rPr>
          <w:rFonts w:ascii="仿宋_GB2312" w:eastAsia="仿宋_GB2312" w:hint="eastAsia"/>
          <w:sz w:val="32"/>
          <w:szCs w:val="32"/>
        </w:rPr>
        <w:t>确定风险等级可通过预估伤害的严重程度和其发生概率来进行</w:t>
      </w:r>
      <w:r w:rsidR="006C4B5A">
        <w:rPr>
          <w:rFonts w:ascii="仿宋_GB2312" w:eastAsia="仿宋_GB2312" w:hint="eastAsia"/>
          <w:sz w:val="32"/>
          <w:szCs w:val="32"/>
        </w:rPr>
        <w:t>（8.1），在给出伤害程度时，应</w:t>
      </w:r>
      <w:r w:rsidR="006C4B5A" w:rsidRPr="006C4B5A">
        <w:rPr>
          <w:rFonts w:ascii="仿宋_GB2312" w:eastAsia="仿宋_GB2312" w:hint="eastAsia"/>
          <w:sz w:val="32"/>
          <w:szCs w:val="32"/>
        </w:rPr>
        <w:t>考虑实际发生伤害的严重程度，只</w:t>
      </w:r>
      <w:proofErr w:type="gramStart"/>
      <w:r w:rsidR="006C4B5A" w:rsidRPr="006C4B5A">
        <w:rPr>
          <w:rFonts w:ascii="仿宋_GB2312" w:eastAsia="仿宋_GB2312" w:hint="eastAsia"/>
          <w:sz w:val="32"/>
          <w:szCs w:val="32"/>
        </w:rPr>
        <w:t>取最高</w:t>
      </w:r>
      <w:proofErr w:type="gramEnd"/>
      <w:r w:rsidR="006C4B5A" w:rsidRPr="006C4B5A">
        <w:rPr>
          <w:rFonts w:ascii="仿宋_GB2312" w:eastAsia="仿宋_GB2312" w:hint="eastAsia"/>
          <w:sz w:val="32"/>
          <w:szCs w:val="32"/>
        </w:rPr>
        <w:t>风险的数据</w:t>
      </w:r>
      <w:r w:rsidR="006C4B5A">
        <w:rPr>
          <w:rFonts w:ascii="仿宋_GB2312" w:eastAsia="仿宋_GB2312" w:hint="eastAsia"/>
          <w:sz w:val="32"/>
          <w:szCs w:val="32"/>
        </w:rPr>
        <w:t>（8.2）；在考虑发生概率时，</w:t>
      </w:r>
      <w:r w:rsidR="006C4B5A" w:rsidRPr="006C4B5A">
        <w:rPr>
          <w:rFonts w:ascii="仿宋_GB2312" w:eastAsia="仿宋_GB2312" w:hint="eastAsia"/>
          <w:sz w:val="32"/>
          <w:szCs w:val="32"/>
        </w:rPr>
        <w:t>所有的风险预估方法都需要评估伤害的发生概率</w:t>
      </w:r>
      <w:r w:rsidR="006C4B5A">
        <w:rPr>
          <w:rFonts w:ascii="仿宋_GB2312" w:eastAsia="仿宋_GB2312" w:hint="eastAsia"/>
          <w:sz w:val="32"/>
          <w:szCs w:val="32"/>
        </w:rPr>
        <w:t>，给出了预估时应考虑的内容（8.3.1），并且</w:t>
      </w:r>
      <w:r w:rsidR="006C4B5A">
        <w:rPr>
          <w:rFonts w:ascii="仿宋_GB2312" w:eastAsia="仿宋_GB2312" w:hint="eastAsia"/>
          <w:sz w:val="32"/>
          <w:szCs w:val="32"/>
        </w:rPr>
        <w:tab/>
        <w:t>还需要考虑</w:t>
      </w:r>
      <w:r w:rsidR="006C4B5A">
        <w:rPr>
          <w:rFonts w:ascii="仿宋_GB2312" w:eastAsia="仿宋_GB2312" w:hint="eastAsia"/>
          <w:sz w:val="32"/>
          <w:szCs w:val="32"/>
        </w:rPr>
        <w:tab/>
      </w:r>
      <w:r w:rsidR="006C4B5A" w:rsidRPr="006C4B5A">
        <w:rPr>
          <w:rFonts w:ascii="仿宋_GB2312" w:eastAsia="仿宋_GB2312" w:hint="eastAsia"/>
          <w:sz w:val="32"/>
          <w:szCs w:val="32"/>
        </w:rPr>
        <w:t>处理因积累暴露超过一定时间而导致伤害的危险处境，需要用与处理突然导致严重伤害的危险处境不同的方法</w:t>
      </w:r>
      <w:r w:rsidR="006C4B5A">
        <w:rPr>
          <w:rFonts w:ascii="仿宋_GB2312" w:eastAsia="仿宋_GB2312" w:hint="eastAsia"/>
          <w:sz w:val="32"/>
          <w:szCs w:val="32"/>
        </w:rPr>
        <w:t>（8.3.2），对积累伤害的发生概念给出了具体内容和比较了差别。</w:t>
      </w:r>
    </w:p>
    <w:p w:rsidR="00957860" w:rsidRDefault="00957860" w:rsidP="006C4B5A">
      <w:pPr>
        <w:ind w:firstLineChars="200" w:firstLine="643"/>
        <w:rPr>
          <w:rFonts w:ascii="仿宋_GB2312" w:eastAsia="仿宋_GB2312"/>
          <w:sz w:val="32"/>
          <w:szCs w:val="32"/>
        </w:rPr>
      </w:pPr>
      <w:r w:rsidRPr="006C4B5A">
        <w:rPr>
          <w:rFonts w:ascii="仿宋_GB2312" w:eastAsia="仿宋_GB2312" w:hint="eastAsia"/>
          <w:b/>
          <w:sz w:val="32"/>
          <w:szCs w:val="32"/>
        </w:rPr>
        <w:t>（4）风险评价</w:t>
      </w:r>
      <w:r w:rsidR="006C4B5A" w:rsidRPr="006C4B5A">
        <w:rPr>
          <w:rFonts w:ascii="仿宋_GB2312" w:eastAsia="仿宋_GB2312" w:hint="eastAsia"/>
          <w:b/>
          <w:sz w:val="32"/>
          <w:szCs w:val="32"/>
        </w:rPr>
        <w:t>（第9章）</w:t>
      </w:r>
      <w:r w:rsidRPr="006C4B5A">
        <w:rPr>
          <w:rFonts w:ascii="仿宋_GB2312" w:eastAsia="仿宋_GB2312" w:hint="eastAsia"/>
          <w:b/>
          <w:sz w:val="32"/>
          <w:szCs w:val="32"/>
        </w:rPr>
        <w:t>。</w:t>
      </w:r>
      <w:r w:rsidR="006C4B5A">
        <w:rPr>
          <w:rFonts w:ascii="仿宋_GB2312" w:eastAsia="仿宋_GB2312" w:hint="eastAsia"/>
          <w:sz w:val="32"/>
          <w:szCs w:val="32"/>
        </w:rPr>
        <w:t>本标准给出了风险评估的目的，应根据风险等级应采取不同的风险评价和措施的要求，</w:t>
      </w:r>
      <w:r w:rsidR="006C4B5A" w:rsidRPr="006C4B5A">
        <w:rPr>
          <w:rFonts w:ascii="仿宋_GB2312" w:eastAsia="仿宋_GB2312" w:hint="eastAsia"/>
          <w:sz w:val="32"/>
          <w:szCs w:val="32"/>
        </w:rPr>
        <w:t>如果有相关消费品的具体安全标准，风险评价要包括保证实施该标准，考</w:t>
      </w:r>
      <w:r w:rsidR="006C4B5A" w:rsidRPr="006C4B5A">
        <w:rPr>
          <w:rFonts w:ascii="仿宋_GB2312" w:eastAsia="仿宋_GB2312" w:hint="eastAsia"/>
          <w:sz w:val="32"/>
          <w:szCs w:val="32"/>
        </w:rPr>
        <w:lastRenderedPageBreak/>
        <w:t>虑与被评价消费品相关的保护措施的局限性</w:t>
      </w:r>
      <w:r w:rsidR="006C4B5A">
        <w:rPr>
          <w:rFonts w:ascii="仿宋_GB2312" w:eastAsia="仿宋_GB2312" w:hint="eastAsia"/>
          <w:sz w:val="32"/>
          <w:szCs w:val="32"/>
        </w:rPr>
        <w:t>。具体方法</w:t>
      </w:r>
      <w:r w:rsidR="006C4B5A" w:rsidRPr="006C4B5A">
        <w:rPr>
          <w:rFonts w:ascii="仿宋_GB2312" w:eastAsia="仿宋_GB2312" w:hint="eastAsia"/>
          <w:sz w:val="32"/>
          <w:szCs w:val="32"/>
        </w:rPr>
        <w:t>参加GB/T 22760-2008</w:t>
      </w:r>
      <w:r w:rsidR="006C4B5A">
        <w:rPr>
          <w:rFonts w:ascii="仿宋_GB2312" w:eastAsia="仿宋_GB2312" w:hint="eastAsia"/>
          <w:sz w:val="32"/>
          <w:szCs w:val="32"/>
        </w:rPr>
        <w:t>。</w:t>
      </w:r>
    </w:p>
    <w:p w:rsidR="00957860" w:rsidRPr="00957860" w:rsidRDefault="00957860" w:rsidP="00957860">
      <w:pPr>
        <w:ind w:firstLineChars="200" w:firstLine="643"/>
        <w:rPr>
          <w:rFonts w:ascii="仿宋_GB2312" w:eastAsia="仿宋_GB2312"/>
          <w:b/>
          <w:sz w:val="32"/>
          <w:szCs w:val="32"/>
        </w:rPr>
      </w:pPr>
      <w:r w:rsidRPr="00957860">
        <w:rPr>
          <w:rFonts w:ascii="仿宋_GB2312" w:eastAsia="仿宋_GB2312" w:hint="eastAsia"/>
          <w:b/>
          <w:sz w:val="32"/>
          <w:szCs w:val="32"/>
        </w:rPr>
        <w:t>4.风险评估报告</w:t>
      </w:r>
      <w:r w:rsidR="006C4B5A">
        <w:rPr>
          <w:rFonts w:ascii="仿宋_GB2312" w:eastAsia="仿宋_GB2312" w:hint="eastAsia"/>
          <w:b/>
          <w:sz w:val="32"/>
          <w:szCs w:val="32"/>
        </w:rPr>
        <w:t>（第10章）</w:t>
      </w:r>
      <w:r w:rsidRPr="00957860">
        <w:rPr>
          <w:rFonts w:ascii="仿宋_GB2312" w:eastAsia="仿宋_GB2312" w:hint="eastAsia"/>
          <w:b/>
          <w:sz w:val="32"/>
          <w:szCs w:val="32"/>
        </w:rPr>
        <w:t>。</w:t>
      </w:r>
    </w:p>
    <w:p w:rsidR="00CC2992" w:rsidRDefault="00CC2992" w:rsidP="00CC2992">
      <w:pPr>
        <w:ind w:firstLineChars="200" w:firstLine="640"/>
        <w:rPr>
          <w:rFonts w:ascii="仿宋_GB2312" w:eastAsia="仿宋_GB2312"/>
          <w:sz w:val="32"/>
          <w:szCs w:val="32"/>
        </w:rPr>
      </w:pPr>
      <w:r>
        <w:rPr>
          <w:rFonts w:ascii="仿宋_GB2312" w:eastAsia="仿宋_GB2312" w:hint="eastAsia"/>
          <w:sz w:val="32"/>
          <w:szCs w:val="32"/>
        </w:rPr>
        <w:t>本标准考虑风险评估结果对消费品安全监管工作的重要性，可能需要对风险评估</w:t>
      </w:r>
      <w:proofErr w:type="gramStart"/>
      <w:r>
        <w:rPr>
          <w:rFonts w:ascii="仿宋_GB2312" w:eastAsia="仿宋_GB2312" w:hint="eastAsia"/>
          <w:sz w:val="32"/>
          <w:szCs w:val="32"/>
        </w:rPr>
        <w:t>过程过程</w:t>
      </w:r>
      <w:proofErr w:type="gramEnd"/>
      <w:r>
        <w:rPr>
          <w:rFonts w:ascii="仿宋_GB2312" w:eastAsia="仿宋_GB2312" w:hint="eastAsia"/>
          <w:sz w:val="32"/>
          <w:szCs w:val="32"/>
        </w:rPr>
        <w:t>和内容进行审查，提出了应编写风险评估报告的要求，对风险评估过程中的重要环节和关键信息进行备案，确保风险评估过程的复现性。</w:t>
      </w:r>
    </w:p>
    <w:p w:rsidR="00957860" w:rsidRPr="00CC2992" w:rsidRDefault="00CC2992" w:rsidP="00CC2992">
      <w:pPr>
        <w:ind w:firstLineChars="200" w:firstLine="640"/>
        <w:rPr>
          <w:rFonts w:ascii="仿宋_GB2312" w:eastAsia="仿宋_GB2312"/>
          <w:sz w:val="32"/>
          <w:szCs w:val="32"/>
        </w:rPr>
      </w:pPr>
      <w:r>
        <w:rPr>
          <w:rFonts w:ascii="仿宋_GB2312" w:eastAsia="仿宋_GB2312" w:hint="eastAsia"/>
          <w:sz w:val="32"/>
          <w:szCs w:val="32"/>
        </w:rPr>
        <w:t>本标准对风险评估报告的内容进行了规定，应包括</w:t>
      </w:r>
      <w:r w:rsidRPr="00CC2992">
        <w:rPr>
          <w:rFonts w:ascii="仿宋_GB2312" w:eastAsia="仿宋_GB2312" w:hint="eastAsia"/>
          <w:sz w:val="32"/>
          <w:szCs w:val="32"/>
        </w:rPr>
        <w:t>a）被评价产品的特性（如规格、限制、预定使用）；b）已做的任何相关假设（载荷、强度、安全系数等）；c）在风险评价中所识别的危险、危险状态以及所考虑的危险事件；d）风险评价所依据的信息：1) 所使用的数据及原始资料（事故历史、适用于类似机械的风险减小的经验等）；2) 与所使用的数据有关的不确定性及其对风险评价的影响。e）通过改进方法措施所达到的可容许风险；f）用于消除已识别的危险或降低风险的方法措施；g）与该产品有关的遗留风险；h）风险评价的结果；</w:t>
      </w:r>
      <w:proofErr w:type="spellStart"/>
      <w:r w:rsidRPr="00CC2992">
        <w:rPr>
          <w:rFonts w:ascii="仿宋_GB2312" w:eastAsia="仿宋_GB2312" w:hint="eastAsia"/>
          <w:sz w:val="32"/>
          <w:szCs w:val="32"/>
        </w:rPr>
        <w:t>i</w:t>
      </w:r>
      <w:proofErr w:type="spellEnd"/>
      <w:r w:rsidRPr="00CC2992">
        <w:rPr>
          <w:rFonts w:ascii="仿宋_GB2312" w:eastAsia="仿宋_GB2312" w:hint="eastAsia"/>
          <w:sz w:val="32"/>
          <w:szCs w:val="32"/>
        </w:rPr>
        <w:t>）该评价过程中完成的所有表格。</w:t>
      </w:r>
    </w:p>
    <w:p w:rsidR="00957860" w:rsidRPr="00957860" w:rsidRDefault="00957860" w:rsidP="00957860">
      <w:pPr>
        <w:ind w:firstLineChars="200" w:firstLine="643"/>
        <w:rPr>
          <w:rFonts w:ascii="仿宋_GB2312" w:eastAsia="仿宋_GB2312"/>
          <w:b/>
          <w:sz w:val="32"/>
          <w:szCs w:val="32"/>
        </w:rPr>
      </w:pPr>
      <w:r w:rsidRPr="00957860">
        <w:rPr>
          <w:rFonts w:ascii="仿宋_GB2312" w:eastAsia="仿宋_GB2312" w:hint="eastAsia"/>
          <w:b/>
          <w:sz w:val="32"/>
          <w:szCs w:val="32"/>
        </w:rPr>
        <w:t>5.附录。</w:t>
      </w:r>
    </w:p>
    <w:p w:rsidR="00957860" w:rsidRDefault="00957860" w:rsidP="00957860">
      <w:pPr>
        <w:ind w:firstLineChars="200" w:firstLine="640"/>
        <w:rPr>
          <w:rFonts w:ascii="仿宋_GB2312" w:eastAsia="仿宋_GB2312"/>
          <w:sz w:val="32"/>
          <w:szCs w:val="32"/>
        </w:rPr>
      </w:pPr>
      <w:r w:rsidRPr="00957860">
        <w:rPr>
          <w:rFonts w:ascii="仿宋_GB2312" w:eastAsia="仿宋_GB2312" w:hint="eastAsia"/>
          <w:sz w:val="32"/>
          <w:szCs w:val="32"/>
        </w:rPr>
        <w:t>标准后面有</w:t>
      </w:r>
      <w:r>
        <w:rPr>
          <w:rFonts w:ascii="仿宋_GB2312" w:eastAsia="仿宋_GB2312" w:hint="eastAsia"/>
          <w:sz w:val="32"/>
          <w:szCs w:val="32"/>
        </w:rPr>
        <w:t>2</w:t>
      </w:r>
      <w:r w:rsidRPr="00957860">
        <w:rPr>
          <w:rFonts w:ascii="仿宋_GB2312" w:eastAsia="仿宋_GB2312" w:hint="eastAsia"/>
          <w:sz w:val="32"/>
          <w:szCs w:val="32"/>
        </w:rPr>
        <w:t>个资料性附录，其中，资料性附录A为机械危害风险评估</w:t>
      </w:r>
      <w:r>
        <w:rPr>
          <w:rFonts w:ascii="仿宋_GB2312" w:eastAsia="仿宋_GB2312" w:hint="eastAsia"/>
          <w:sz w:val="32"/>
          <w:szCs w:val="32"/>
        </w:rPr>
        <w:t>的流程示例，其中危害识别部分，</w:t>
      </w:r>
      <w:r w:rsidRPr="00957860">
        <w:rPr>
          <w:rFonts w:ascii="仿宋_GB2312" w:eastAsia="仿宋_GB2312" w:hint="eastAsia"/>
          <w:sz w:val="32"/>
          <w:szCs w:val="32"/>
        </w:rPr>
        <w:t>以儿童玩具为例，给出了儿童玩具的机械危害类型、使用场景、伤害类型示例</w:t>
      </w:r>
      <w:r>
        <w:rPr>
          <w:rFonts w:ascii="仿宋_GB2312" w:eastAsia="仿宋_GB2312" w:hint="eastAsia"/>
          <w:sz w:val="32"/>
          <w:szCs w:val="32"/>
        </w:rPr>
        <w:t>；</w:t>
      </w:r>
      <w:r w:rsidRPr="00957860">
        <w:rPr>
          <w:rFonts w:ascii="仿宋_GB2312" w:eastAsia="仿宋_GB2312" w:hint="eastAsia"/>
          <w:sz w:val="32"/>
          <w:szCs w:val="32"/>
        </w:rPr>
        <w:t>资</w:t>
      </w:r>
      <w:r w:rsidRPr="00957860">
        <w:rPr>
          <w:rFonts w:ascii="仿宋_GB2312" w:eastAsia="仿宋_GB2312" w:hint="eastAsia"/>
          <w:sz w:val="32"/>
          <w:szCs w:val="32"/>
        </w:rPr>
        <w:lastRenderedPageBreak/>
        <w:t>料性附录B为电磁辐射危害风险评估</w:t>
      </w:r>
      <w:r>
        <w:rPr>
          <w:rFonts w:ascii="仿宋_GB2312" w:eastAsia="仿宋_GB2312" w:hint="eastAsia"/>
          <w:sz w:val="32"/>
          <w:szCs w:val="32"/>
        </w:rPr>
        <w:t>示例</w:t>
      </w:r>
      <w:r w:rsidRPr="00957860">
        <w:rPr>
          <w:rFonts w:ascii="仿宋_GB2312" w:eastAsia="仿宋_GB2312" w:hint="eastAsia"/>
          <w:sz w:val="32"/>
          <w:szCs w:val="32"/>
        </w:rPr>
        <w:t>。</w:t>
      </w:r>
    </w:p>
    <w:p w:rsidR="00957860" w:rsidRPr="00CC2992" w:rsidRDefault="00957860" w:rsidP="00CC2992">
      <w:pPr>
        <w:ind w:firstLineChars="200" w:firstLine="643"/>
        <w:rPr>
          <w:rFonts w:ascii="仿宋_GB2312" w:eastAsia="仿宋_GB2312"/>
          <w:b/>
          <w:sz w:val="32"/>
          <w:szCs w:val="32"/>
        </w:rPr>
      </w:pPr>
      <w:r w:rsidRPr="00CC2992">
        <w:rPr>
          <w:rFonts w:ascii="仿宋_GB2312" w:eastAsia="仿宋_GB2312" w:hint="eastAsia"/>
          <w:b/>
          <w:sz w:val="32"/>
          <w:szCs w:val="32"/>
        </w:rPr>
        <w:t>6.参考文献</w:t>
      </w:r>
    </w:p>
    <w:p w:rsidR="00957860" w:rsidRPr="00957860" w:rsidRDefault="00957860" w:rsidP="00957860">
      <w:pPr>
        <w:ind w:firstLineChars="200" w:firstLine="640"/>
        <w:rPr>
          <w:rFonts w:ascii="仿宋_GB2312" w:eastAsia="仿宋_GB2312"/>
          <w:sz w:val="32"/>
          <w:szCs w:val="32"/>
        </w:rPr>
      </w:pPr>
      <w:r>
        <w:rPr>
          <w:rFonts w:ascii="仿宋_GB2312" w:eastAsia="仿宋_GB2312" w:hint="eastAsia"/>
          <w:sz w:val="32"/>
          <w:szCs w:val="32"/>
        </w:rPr>
        <w:t>本标准的内容参考了</w:t>
      </w:r>
      <w:r w:rsidRPr="00957860">
        <w:rPr>
          <w:rFonts w:ascii="仿宋_GB2312" w:eastAsia="仿宋_GB2312" w:hint="eastAsia"/>
          <w:sz w:val="32"/>
          <w:szCs w:val="32"/>
        </w:rPr>
        <w:t>GB/T 20000.4-2015</w:t>
      </w:r>
      <w:r>
        <w:rPr>
          <w:rFonts w:ascii="仿宋_GB2312" w:eastAsia="仿宋_GB2312" w:hint="eastAsia"/>
          <w:sz w:val="32"/>
          <w:szCs w:val="32"/>
        </w:rPr>
        <w:t>《</w:t>
      </w:r>
      <w:r w:rsidRPr="00957860">
        <w:rPr>
          <w:rFonts w:ascii="仿宋_GB2312" w:eastAsia="仿宋_GB2312" w:hint="eastAsia"/>
          <w:sz w:val="32"/>
          <w:szCs w:val="32"/>
        </w:rPr>
        <w:t>标准中特定内容的起草 第4部分：标准中涉及安全的内容</w:t>
      </w:r>
      <w:r w:rsidR="00CC2992">
        <w:rPr>
          <w:rFonts w:ascii="仿宋_GB2312" w:eastAsia="仿宋_GB2312" w:hint="eastAsia"/>
          <w:sz w:val="32"/>
          <w:szCs w:val="32"/>
        </w:rPr>
        <w:t>》、</w:t>
      </w:r>
      <w:r w:rsidRPr="00957860">
        <w:rPr>
          <w:rFonts w:ascii="仿宋_GB2312" w:eastAsia="仿宋_GB2312" w:hint="eastAsia"/>
          <w:sz w:val="32"/>
          <w:szCs w:val="32"/>
        </w:rPr>
        <w:t>GB/T 35248-2017</w:t>
      </w:r>
      <w:r w:rsidR="00CC2992">
        <w:rPr>
          <w:rFonts w:ascii="仿宋_GB2312" w:eastAsia="仿宋_GB2312" w:hint="eastAsia"/>
          <w:sz w:val="32"/>
          <w:szCs w:val="32"/>
        </w:rPr>
        <w:t>《</w:t>
      </w:r>
      <w:r w:rsidRPr="00957860">
        <w:rPr>
          <w:rFonts w:ascii="仿宋_GB2312" w:eastAsia="仿宋_GB2312" w:hint="eastAsia"/>
          <w:sz w:val="32"/>
          <w:szCs w:val="32"/>
        </w:rPr>
        <w:t>消费品安全 供应商指南</w:t>
      </w:r>
      <w:r w:rsidR="00CC2992">
        <w:rPr>
          <w:rFonts w:ascii="仿宋_GB2312" w:eastAsia="仿宋_GB2312" w:hint="eastAsia"/>
          <w:sz w:val="32"/>
          <w:szCs w:val="32"/>
        </w:rPr>
        <w:t>》</w:t>
      </w:r>
      <w:r>
        <w:rPr>
          <w:rFonts w:ascii="仿宋_GB2312" w:eastAsia="仿宋_GB2312" w:hint="eastAsia"/>
          <w:sz w:val="32"/>
          <w:szCs w:val="32"/>
        </w:rPr>
        <w:t>、</w:t>
      </w:r>
      <w:r w:rsidRPr="00957860">
        <w:rPr>
          <w:rFonts w:ascii="仿宋_GB2312" w:eastAsia="仿宋_GB2312" w:hint="eastAsia"/>
          <w:sz w:val="32"/>
          <w:szCs w:val="32"/>
        </w:rPr>
        <w:t>GB/T 15706-2012</w:t>
      </w:r>
      <w:r w:rsidR="00CC2992">
        <w:rPr>
          <w:rFonts w:ascii="仿宋_GB2312" w:eastAsia="仿宋_GB2312" w:hint="eastAsia"/>
          <w:sz w:val="32"/>
          <w:szCs w:val="32"/>
        </w:rPr>
        <w:t>《</w:t>
      </w:r>
      <w:r w:rsidRPr="00957860">
        <w:rPr>
          <w:rFonts w:ascii="仿宋_GB2312" w:eastAsia="仿宋_GB2312" w:hint="eastAsia"/>
          <w:sz w:val="32"/>
          <w:szCs w:val="32"/>
        </w:rPr>
        <w:t>机械安全 设计通则 风险评价和风险减小</w:t>
      </w:r>
      <w:r w:rsidR="00CC2992">
        <w:rPr>
          <w:rFonts w:ascii="仿宋_GB2312" w:eastAsia="仿宋_GB2312" w:hint="eastAsia"/>
          <w:sz w:val="32"/>
          <w:szCs w:val="32"/>
        </w:rPr>
        <w:t>》</w:t>
      </w:r>
      <w:r>
        <w:rPr>
          <w:rFonts w:ascii="仿宋_GB2312" w:eastAsia="仿宋_GB2312" w:hint="eastAsia"/>
          <w:sz w:val="32"/>
          <w:szCs w:val="32"/>
        </w:rPr>
        <w:t>、</w:t>
      </w:r>
      <w:r w:rsidRPr="00957860">
        <w:rPr>
          <w:rFonts w:ascii="仿宋_GB2312" w:eastAsia="仿宋_GB2312" w:hint="eastAsia"/>
          <w:sz w:val="32"/>
          <w:szCs w:val="32"/>
        </w:rPr>
        <w:t>GB/T 16856-2015</w:t>
      </w:r>
      <w:r w:rsidR="00CC2992">
        <w:rPr>
          <w:rFonts w:ascii="仿宋_GB2312" w:eastAsia="仿宋_GB2312" w:hint="eastAsia"/>
          <w:sz w:val="32"/>
          <w:szCs w:val="32"/>
        </w:rPr>
        <w:t>《</w:t>
      </w:r>
      <w:r w:rsidRPr="00957860">
        <w:rPr>
          <w:rFonts w:ascii="仿宋_GB2312" w:eastAsia="仿宋_GB2312" w:hint="eastAsia"/>
          <w:sz w:val="32"/>
          <w:szCs w:val="32"/>
        </w:rPr>
        <w:t>机械安全 风险评估 实施指南和方法举例</w:t>
      </w:r>
      <w:r w:rsidR="00CC2992">
        <w:rPr>
          <w:rFonts w:ascii="仿宋_GB2312" w:eastAsia="仿宋_GB2312" w:hint="eastAsia"/>
          <w:sz w:val="32"/>
          <w:szCs w:val="32"/>
        </w:rPr>
        <w:t>》</w:t>
      </w:r>
      <w:r>
        <w:rPr>
          <w:rFonts w:ascii="仿宋_GB2312" w:eastAsia="仿宋_GB2312" w:hint="eastAsia"/>
          <w:sz w:val="32"/>
          <w:szCs w:val="32"/>
        </w:rPr>
        <w:t>等</w:t>
      </w:r>
      <w:r w:rsidR="00CC2992">
        <w:rPr>
          <w:rFonts w:ascii="仿宋_GB2312" w:eastAsia="仿宋_GB2312" w:hint="eastAsia"/>
          <w:sz w:val="32"/>
          <w:szCs w:val="32"/>
        </w:rPr>
        <w:t>标准</w:t>
      </w:r>
      <w:r>
        <w:rPr>
          <w:rFonts w:ascii="仿宋_GB2312" w:eastAsia="仿宋_GB2312" w:hint="eastAsia"/>
          <w:sz w:val="32"/>
          <w:szCs w:val="32"/>
        </w:rPr>
        <w:t>内容。</w:t>
      </w:r>
    </w:p>
    <w:p w:rsidR="00B26459" w:rsidRPr="00072C4A" w:rsidRDefault="00B26459" w:rsidP="00E37CC3">
      <w:pPr>
        <w:pStyle w:val="1"/>
        <w:ind w:firstLineChars="200" w:firstLine="640"/>
      </w:pPr>
      <w:r w:rsidRPr="00072C4A">
        <w:rPr>
          <w:rFonts w:hint="eastAsia"/>
        </w:rPr>
        <w:t xml:space="preserve">六、其他 </w:t>
      </w:r>
    </w:p>
    <w:p w:rsidR="00B26459" w:rsidRPr="00072C4A" w:rsidRDefault="00B26459" w:rsidP="00E37CC3">
      <w:pPr>
        <w:ind w:firstLineChars="200" w:firstLine="640"/>
        <w:rPr>
          <w:rFonts w:ascii="仿宋_GB2312" w:eastAsia="仿宋_GB2312"/>
          <w:sz w:val="32"/>
          <w:szCs w:val="32"/>
        </w:rPr>
      </w:pPr>
      <w:r w:rsidRPr="00072C4A">
        <w:rPr>
          <w:rFonts w:ascii="仿宋_GB2312" w:eastAsia="仿宋_GB2312" w:hint="eastAsia"/>
          <w:sz w:val="32"/>
          <w:szCs w:val="32"/>
        </w:rPr>
        <w:t>1、本标准属性为推荐性标准。</w:t>
      </w:r>
    </w:p>
    <w:p w:rsidR="00B26459" w:rsidRPr="00072C4A" w:rsidRDefault="00B26459" w:rsidP="00072C4A">
      <w:pPr>
        <w:ind w:firstLineChars="200" w:firstLine="640"/>
        <w:rPr>
          <w:rFonts w:ascii="仿宋_GB2312" w:eastAsia="仿宋_GB2312"/>
          <w:sz w:val="32"/>
          <w:szCs w:val="32"/>
        </w:rPr>
      </w:pPr>
      <w:r w:rsidRPr="00072C4A">
        <w:rPr>
          <w:rFonts w:ascii="仿宋_GB2312" w:eastAsia="仿宋_GB2312" w:hint="eastAsia"/>
          <w:sz w:val="32"/>
          <w:szCs w:val="32"/>
        </w:rPr>
        <w:t>2、本标准不涉及专利技术内容。</w:t>
      </w:r>
    </w:p>
    <w:p w:rsidR="00B26459" w:rsidRPr="00072C4A" w:rsidRDefault="00B26459" w:rsidP="00072C4A">
      <w:pPr>
        <w:ind w:firstLineChars="200" w:firstLine="640"/>
        <w:rPr>
          <w:rFonts w:ascii="仿宋_GB2312" w:eastAsia="仿宋_GB2312"/>
          <w:sz w:val="32"/>
          <w:szCs w:val="32"/>
        </w:rPr>
      </w:pPr>
      <w:r w:rsidRPr="00072C4A">
        <w:rPr>
          <w:rFonts w:ascii="仿宋_GB2312" w:eastAsia="仿宋_GB2312" w:hint="eastAsia"/>
          <w:sz w:val="32"/>
          <w:szCs w:val="32"/>
        </w:rPr>
        <w:t>3、本标准符合国家现行法律、法规、规章和强制性国家标准的要求，本标准有助于《中华人民共和国产品质量法》、《中华人民共和国消费者权益保护法》等相关法律、法规、规章和强制性国家标准的实施。本标准的实施不涉及对现行标准的废止情况。</w:t>
      </w:r>
    </w:p>
    <w:sectPr w:rsidR="00B26459" w:rsidRPr="00072C4A" w:rsidSect="00072C4A">
      <w:pgSz w:w="11906" w:h="16838"/>
      <w:pgMar w:top="1985" w:right="1474" w:bottom="164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A6C" w:rsidRDefault="00BC1A6C" w:rsidP="00B26459">
      <w:r>
        <w:separator/>
      </w:r>
    </w:p>
  </w:endnote>
  <w:endnote w:type="continuationSeparator" w:id="0">
    <w:p w:rsidR="00BC1A6C" w:rsidRDefault="00BC1A6C" w:rsidP="00B26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ヒラギノ角ゴ Pro W3">
    <w:altName w:val="Times New Roman"/>
    <w:charset w:val="00"/>
    <w:family w:val="auto"/>
    <w:pitch w:val="default"/>
    <w:sig w:usb0="00000000" w:usb1="00000000" w:usb2="00000000" w:usb3="00000000" w:csb0="00000000" w:csb1="00000000"/>
  </w:font>
  <w:font w:name="KTJ+ZJRLOU-4">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A6C" w:rsidRDefault="00BC1A6C" w:rsidP="00B26459">
      <w:r>
        <w:separator/>
      </w:r>
    </w:p>
  </w:footnote>
  <w:footnote w:type="continuationSeparator" w:id="0">
    <w:p w:rsidR="00BC1A6C" w:rsidRDefault="00BC1A6C" w:rsidP="00B264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459"/>
    <w:rsid w:val="000030E2"/>
    <w:rsid w:val="00072C4A"/>
    <w:rsid w:val="000C39A0"/>
    <w:rsid w:val="001A0F24"/>
    <w:rsid w:val="001A3C61"/>
    <w:rsid w:val="001E4852"/>
    <w:rsid w:val="00271303"/>
    <w:rsid w:val="00284379"/>
    <w:rsid w:val="003851C0"/>
    <w:rsid w:val="0043016C"/>
    <w:rsid w:val="004A1905"/>
    <w:rsid w:val="005166D7"/>
    <w:rsid w:val="00593C77"/>
    <w:rsid w:val="0060496C"/>
    <w:rsid w:val="006658F0"/>
    <w:rsid w:val="00676ACC"/>
    <w:rsid w:val="006C4B5A"/>
    <w:rsid w:val="00733810"/>
    <w:rsid w:val="007602C5"/>
    <w:rsid w:val="007C3860"/>
    <w:rsid w:val="00881BEB"/>
    <w:rsid w:val="008F0A16"/>
    <w:rsid w:val="009363E9"/>
    <w:rsid w:val="00957860"/>
    <w:rsid w:val="009C648A"/>
    <w:rsid w:val="00A507C2"/>
    <w:rsid w:val="00B26459"/>
    <w:rsid w:val="00B608DD"/>
    <w:rsid w:val="00BA6D11"/>
    <w:rsid w:val="00BC1A6C"/>
    <w:rsid w:val="00C80FE3"/>
    <w:rsid w:val="00C96996"/>
    <w:rsid w:val="00CC2992"/>
    <w:rsid w:val="00E05969"/>
    <w:rsid w:val="00E32405"/>
    <w:rsid w:val="00E37CC3"/>
    <w:rsid w:val="00E472AD"/>
    <w:rsid w:val="00E564F9"/>
    <w:rsid w:val="00E66C08"/>
    <w:rsid w:val="00EA15F9"/>
    <w:rsid w:val="00ED1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iPriority="35" w:unhideWhenUsed="1" w:qFormat="1"/>
    <w:lsdException w:name="Title" w:qFormat="1"/>
    <w:lsdException w:name="Default Paragraph Font" w:semiHidden="1" w:unhideWhenUsed="1"/>
    <w:lsdException w:name="Subtitle" w:qFormat="1"/>
    <w:lsdException w:name="Strong" w:qFormat="1"/>
    <w:lsdException w:name="Emphasis" w:qFormat="1"/>
    <w:lsdException w:name="Document Map" w:semiHidden="1" w:unhideWhenUsed="1"/>
    <w:lsdException w:name="Plain Text" w:semiHidden="1" w:unhideWhenUsed="1"/>
    <w:lsdException w:name="HTML Top of Form" w:semiHidden="1" w:uiPriority="99" w:unhideWhenUsed="1"/>
    <w:lsdException w:name="HTML Bottom of Form"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16"/>
    <w:pPr>
      <w:widowControl w:val="0"/>
      <w:jc w:val="both"/>
    </w:pPr>
    <w:rPr>
      <w:kern w:val="2"/>
      <w:sz w:val="21"/>
      <w:szCs w:val="24"/>
    </w:rPr>
  </w:style>
  <w:style w:type="paragraph" w:styleId="1">
    <w:name w:val="heading 1"/>
    <w:basedOn w:val="a"/>
    <w:next w:val="a"/>
    <w:link w:val="1Char"/>
    <w:qFormat/>
    <w:rsid w:val="00072C4A"/>
    <w:pPr>
      <w:ind w:firstLine="480"/>
      <w:outlineLvl w:val="0"/>
    </w:pPr>
    <w:rPr>
      <w:rFonts w:ascii="黑体" w:eastAsia="黑体" w:hAnsi="黑体"/>
      <w:sz w:val="32"/>
      <w:szCs w:val="32"/>
    </w:rPr>
  </w:style>
  <w:style w:type="paragraph" w:styleId="2">
    <w:name w:val="heading 2"/>
    <w:basedOn w:val="a"/>
    <w:next w:val="a"/>
    <w:link w:val="2Char"/>
    <w:qFormat/>
    <w:rsid w:val="008F0A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F0A16"/>
    <w:pPr>
      <w:keepNext/>
      <w:keepLines/>
      <w:spacing w:before="260" w:after="260" w:line="416" w:lineRule="auto"/>
      <w:outlineLvl w:val="2"/>
    </w:pPr>
    <w:rPr>
      <w:rFonts w:cstheme="majorBidi"/>
      <w:b/>
      <w:bCs/>
      <w:sz w:val="32"/>
      <w:szCs w:val="32"/>
    </w:rPr>
  </w:style>
  <w:style w:type="paragraph" w:styleId="4">
    <w:name w:val="heading 4"/>
    <w:basedOn w:val="a"/>
    <w:next w:val="a"/>
    <w:link w:val="4Char"/>
    <w:qFormat/>
    <w:rsid w:val="008F0A1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8F0A16"/>
    <w:pPr>
      <w:keepNext/>
      <w:keepLines/>
      <w:spacing w:before="280" w:after="290" w:line="376" w:lineRule="auto"/>
      <w:outlineLvl w:val="4"/>
    </w:pPr>
    <w:rPr>
      <w:rFonts w:cstheme="majorBidi"/>
      <w:b/>
      <w:bCs/>
      <w:sz w:val="28"/>
      <w:szCs w:val="28"/>
    </w:rPr>
  </w:style>
  <w:style w:type="paragraph" w:styleId="6">
    <w:name w:val="heading 6"/>
    <w:basedOn w:val="a"/>
    <w:next w:val="a"/>
    <w:link w:val="6Char"/>
    <w:semiHidden/>
    <w:unhideWhenUsed/>
    <w:qFormat/>
    <w:rsid w:val="008F0A16"/>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8F0A16"/>
    <w:pPr>
      <w:keepNext/>
      <w:keepLines/>
      <w:spacing w:before="240" w:after="64" w:line="320" w:lineRule="auto"/>
      <w:outlineLvl w:val="6"/>
    </w:pPr>
    <w:rPr>
      <w:rFonts w:cstheme="majorBidi"/>
      <w:b/>
      <w:bCs/>
      <w:sz w:val="24"/>
    </w:rPr>
  </w:style>
  <w:style w:type="paragraph" w:styleId="8">
    <w:name w:val="heading 8"/>
    <w:basedOn w:val="a"/>
    <w:next w:val="a"/>
    <w:link w:val="8Char"/>
    <w:semiHidden/>
    <w:unhideWhenUsed/>
    <w:qFormat/>
    <w:rsid w:val="008F0A16"/>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8F0A16"/>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2C4A"/>
    <w:rPr>
      <w:rFonts w:ascii="黑体" w:eastAsia="黑体" w:hAnsi="黑体"/>
      <w:kern w:val="2"/>
      <w:sz w:val="32"/>
      <w:szCs w:val="32"/>
    </w:rPr>
  </w:style>
  <w:style w:type="character" w:customStyle="1" w:styleId="2Char">
    <w:name w:val="标题 2 Char"/>
    <w:basedOn w:val="a0"/>
    <w:link w:val="2"/>
    <w:rsid w:val="008F0A16"/>
    <w:rPr>
      <w:rFonts w:asciiTheme="majorHAnsi" w:eastAsiaTheme="majorEastAsia" w:hAnsiTheme="majorHAnsi" w:cstheme="majorBidi"/>
      <w:b/>
      <w:bCs/>
      <w:kern w:val="2"/>
      <w:sz w:val="32"/>
      <w:szCs w:val="32"/>
    </w:rPr>
  </w:style>
  <w:style w:type="character" w:customStyle="1" w:styleId="3Char">
    <w:name w:val="标题 3 Char"/>
    <w:basedOn w:val="a0"/>
    <w:link w:val="3"/>
    <w:rsid w:val="008F0A16"/>
    <w:rPr>
      <w:rFonts w:ascii="Times New Roman" w:hAnsi="Times New Roman" w:cstheme="majorBidi"/>
      <w:b/>
      <w:bCs/>
      <w:kern w:val="2"/>
      <w:sz w:val="32"/>
      <w:szCs w:val="32"/>
    </w:rPr>
  </w:style>
  <w:style w:type="character" w:customStyle="1" w:styleId="4Char">
    <w:name w:val="标题 4 Char"/>
    <w:basedOn w:val="a0"/>
    <w:link w:val="4"/>
    <w:rsid w:val="008F0A16"/>
    <w:rPr>
      <w:rFonts w:asciiTheme="majorHAnsi" w:eastAsiaTheme="majorEastAsia" w:hAnsiTheme="majorHAnsi" w:cstheme="majorBidi"/>
      <w:b/>
      <w:bCs/>
      <w:kern w:val="2"/>
      <w:sz w:val="28"/>
      <w:szCs w:val="28"/>
    </w:rPr>
  </w:style>
  <w:style w:type="character" w:customStyle="1" w:styleId="5Char">
    <w:name w:val="标题 5 Char"/>
    <w:basedOn w:val="a0"/>
    <w:link w:val="5"/>
    <w:rsid w:val="008F0A16"/>
    <w:rPr>
      <w:rFonts w:ascii="Times New Roman" w:hAnsi="Times New Roman" w:cstheme="majorBidi"/>
      <w:b/>
      <w:bCs/>
      <w:kern w:val="2"/>
      <w:sz w:val="28"/>
      <w:szCs w:val="28"/>
    </w:rPr>
  </w:style>
  <w:style w:type="character" w:customStyle="1" w:styleId="6Char">
    <w:name w:val="标题 6 Char"/>
    <w:basedOn w:val="a0"/>
    <w:link w:val="6"/>
    <w:semiHidden/>
    <w:rsid w:val="008F0A16"/>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8F0A16"/>
    <w:rPr>
      <w:rFonts w:ascii="Times New Roman" w:hAnsi="Times New Roman" w:cstheme="majorBidi"/>
      <w:b/>
      <w:bCs/>
      <w:kern w:val="2"/>
      <w:sz w:val="24"/>
      <w:szCs w:val="24"/>
    </w:rPr>
  </w:style>
  <w:style w:type="character" w:customStyle="1" w:styleId="8Char">
    <w:name w:val="标题 8 Char"/>
    <w:basedOn w:val="a0"/>
    <w:link w:val="8"/>
    <w:semiHidden/>
    <w:rsid w:val="008F0A16"/>
    <w:rPr>
      <w:rFonts w:asciiTheme="majorHAnsi" w:eastAsiaTheme="majorEastAsia" w:hAnsiTheme="majorHAnsi" w:cstheme="majorBidi"/>
      <w:kern w:val="2"/>
      <w:sz w:val="24"/>
      <w:szCs w:val="24"/>
    </w:rPr>
  </w:style>
  <w:style w:type="character" w:customStyle="1" w:styleId="9Char">
    <w:name w:val="标题 9 Char"/>
    <w:basedOn w:val="a0"/>
    <w:link w:val="9"/>
    <w:semiHidden/>
    <w:rsid w:val="008F0A16"/>
    <w:rPr>
      <w:rFonts w:asciiTheme="majorHAnsi" w:eastAsiaTheme="majorEastAsia" w:hAnsiTheme="majorHAnsi" w:cstheme="majorBidi"/>
      <w:kern w:val="2"/>
      <w:sz w:val="21"/>
      <w:szCs w:val="21"/>
    </w:rPr>
  </w:style>
  <w:style w:type="paragraph" w:styleId="a3">
    <w:name w:val="caption"/>
    <w:basedOn w:val="a"/>
    <w:next w:val="a"/>
    <w:link w:val="Char"/>
    <w:uiPriority w:val="35"/>
    <w:unhideWhenUsed/>
    <w:qFormat/>
    <w:rsid w:val="008F0A16"/>
    <w:rPr>
      <w:rFonts w:ascii="微软雅黑" w:eastAsia="ヒラギノ角ゴ Pro W3" w:hAnsi="微软雅黑" w:cs="KTJ+ZJRLOU-4"/>
      <w:sz w:val="20"/>
      <w:szCs w:val="20"/>
    </w:rPr>
  </w:style>
  <w:style w:type="paragraph" w:styleId="a4">
    <w:name w:val="Title"/>
    <w:aliases w:val="表题图题"/>
    <w:basedOn w:val="a"/>
    <w:next w:val="a"/>
    <w:link w:val="Char0"/>
    <w:qFormat/>
    <w:rsid w:val="008F0A16"/>
    <w:pPr>
      <w:spacing w:before="240" w:after="60"/>
      <w:jc w:val="center"/>
      <w:outlineLvl w:val="0"/>
    </w:pPr>
    <w:rPr>
      <w:rFonts w:asciiTheme="majorHAnsi" w:hAnsiTheme="majorHAnsi" w:cstheme="majorBidi"/>
      <w:b/>
      <w:bCs/>
      <w:sz w:val="32"/>
      <w:szCs w:val="32"/>
    </w:rPr>
  </w:style>
  <w:style w:type="character" w:customStyle="1" w:styleId="Char0">
    <w:name w:val="标题 Char"/>
    <w:aliases w:val="表题图题 Char"/>
    <w:basedOn w:val="a0"/>
    <w:link w:val="a4"/>
    <w:rsid w:val="008F0A16"/>
    <w:rPr>
      <w:rFonts w:asciiTheme="majorHAnsi" w:hAnsiTheme="majorHAnsi" w:cstheme="majorBidi"/>
      <w:b/>
      <w:bCs/>
      <w:kern w:val="2"/>
      <w:sz w:val="32"/>
      <w:szCs w:val="32"/>
    </w:rPr>
  </w:style>
  <w:style w:type="paragraph" w:styleId="a5">
    <w:name w:val="Subtitle"/>
    <w:aliases w:val="表内容"/>
    <w:basedOn w:val="a"/>
    <w:next w:val="a"/>
    <w:link w:val="Char1"/>
    <w:qFormat/>
    <w:rsid w:val="008F0A16"/>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aliases w:val="表内容 Char"/>
    <w:basedOn w:val="a0"/>
    <w:link w:val="a5"/>
    <w:rsid w:val="008F0A16"/>
    <w:rPr>
      <w:rFonts w:asciiTheme="majorHAnsi" w:hAnsiTheme="majorHAnsi" w:cstheme="majorBidi"/>
      <w:b/>
      <w:bCs/>
      <w:kern w:val="28"/>
      <w:sz w:val="32"/>
      <w:szCs w:val="32"/>
    </w:rPr>
  </w:style>
  <w:style w:type="character" w:styleId="a6">
    <w:name w:val="Strong"/>
    <w:basedOn w:val="a0"/>
    <w:qFormat/>
    <w:rsid w:val="008F0A16"/>
    <w:rPr>
      <w:b/>
      <w:bCs/>
    </w:rPr>
  </w:style>
  <w:style w:type="character" w:styleId="a7">
    <w:name w:val="Emphasis"/>
    <w:basedOn w:val="a0"/>
    <w:qFormat/>
    <w:rsid w:val="008F0A16"/>
    <w:rPr>
      <w:i/>
      <w:iCs/>
    </w:rPr>
  </w:style>
  <w:style w:type="paragraph" w:styleId="a8">
    <w:name w:val="No Spacing"/>
    <w:aliases w:val="图标"/>
    <w:link w:val="Char2"/>
    <w:uiPriority w:val="1"/>
    <w:qFormat/>
    <w:rsid w:val="008F0A16"/>
    <w:pPr>
      <w:widowControl w:val="0"/>
      <w:jc w:val="both"/>
    </w:pPr>
    <w:rPr>
      <w:kern w:val="2"/>
      <w:sz w:val="21"/>
      <w:szCs w:val="24"/>
    </w:rPr>
  </w:style>
  <w:style w:type="character" w:customStyle="1" w:styleId="Char2">
    <w:name w:val="无间隔 Char"/>
    <w:aliases w:val="图标 Char"/>
    <w:basedOn w:val="a0"/>
    <w:link w:val="a8"/>
    <w:uiPriority w:val="1"/>
    <w:rsid w:val="008F0A16"/>
    <w:rPr>
      <w:rFonts w:ascii="Times New Roman" w:hAnsi="Times New Roman"/>
      <w:kern w:val="2"/>
      <w:sz w:val="21"/>
      <w:szCs w:val="24"/>
    </w:rPr>
  </w:style>
  <w:style w:type="paragraph" w:styleId="a9">
    <w:name w:val="List Paragraph"/>
    <w:basedOn w:val="a"/>
    <w:uiPriority w:val="34"/>
    <w:qFormat/>
    <w:rsid w:val="008F0A16"/>
    <w:pPr>
      <w:widowControl/>
      <w:spacing w:after="160" w:line="259" w:lineRule="auto"/>
      <w:ind w:left="720"/>
      <w:contextualSpacing/>
      <w:jc w:val="left"/>
    </w:pPr>
    <w:rPr>
      <w:rFonts w:ascii="Calibri" w:hAnsi="Calibri"/>
      <w:kern w:val="0"/>
      <w:sz w:val="22"/>
      <w:szCs w:val="22"/>
    </w:rPr>
  </w:style>
  <w:style w:type="paragraph" w:styleId="aa">
    <w:name w:val="Quote"/>
    <w:basedOn w:val="a"/>
    <w:next w:val="a"/>
    <w:link w:val="Char3"/>
    <w:uiPriority w:val="29"/>
    <w:qFormat/>
    <w:rsid w:val="008F0A16"/>
    <w:rPr>
      <w:rFonts w:cstheme="majorBidi"/>
      <w:i/>
      <w:iCs/>
      <w:color w:val="000000" w:themeColor="text1"/>
    </w:rPr>
  </w:style>
  <w:style w:type="character" w:customStyle="1" w:styleId="Char3">
    <w:name w:val="引用 Char"/>
    <w:basedOn w:val="a0"/>
    <w:link w:val="aa"/>
    <w:uiPriority w:val="29"/>
    <w:rsid w:val="008F0A16"/>
    <w:rPr>
      <w:rFonts w:ascii="Times New Roman" w:hAnsi="Times New Roman" w:cstheme="majorBidi"/>
      <w:i/>
      <w:iCs/>
      <w:color w:val="000000" w:themeColor="text1"/>
      <w:kern w:val="2"/>
      <w:sz w:val="21"/>
      <w:szCs w:val="24"/>
    </w:rPr>
  </w:style>
  <w:style w:type="paragraph" w:styleId="ab">
    <w:name w:val="Intense Quote"/>
    <w:basedOn w:val="a"/>
    <w:next w:val="a"/>
    <w:link w:val="Char4"/>
    <w:uiPriority w:val="30"/>
    <w:qFormat/>
    <w:rsid w:val="008F0A16"/>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Char4">
    <w:name w:val="明显引用 Char"/>
    <w:basedOn w:val="a0"/>
    <w:link w:val="ab"/>
    <w:uiPriority w:val="30"/>
    <w:rsid w:val="008F0A16"/>
    <w:rPr>
      <w:rFonts w:ascii="Times New Roman" w:hAnsi="Times New Roman" w:cstheme="majorBidi"/>
      <w:b/>
      <w:bCs/>
      <w:i/>
      <w:iCs/>
      <w:color w:val="4F81BD" w:themeColor="accent1"/>
      <w:kern w:val="2"/>
      <w:sz w:val="21"/>
      <w:szCs w:val="24"/>
    </w:rPr>
  </w:style>
  <w:style w:type="character" w:styleId="ac">
    <w:name w:val="Subtle Emphasis"/>
    <w:uiPriority w:val="19"/>
    <w:qFormat/>
    <w:rsid w:val="008F0A16"/>
    <w:rPr>
      <w:i/>
      <w:iCs/>
      <w:color w:val="808080" w:themeColor="text1" w:themeTint="7F"/>
    </w:rPr>
  </w:style>
  <w:style w:type="character" w:styleId="ad">
    <w:name w:val="Intense Emphasis"/>
    <w:uiPriority w:val="21"/>
    <w:qFormat/>
    <w:rsid w:val="008F0A16"/>
    <w:rPr>
      <w:b/>
      <w:bCs/>
      <w:i/>
      <w:iCs/>
      <w:color w:val="4F81BD" w:themeColor="accent1"/>
    </w:rPr>
  </w:style>
  <w:style w:type="character" w:styleId="ae">
    <w:name w:val="Subtle Reference"/>
    <w:uiPriority w:val="31"/>
    <w:qFormat/>
    <w:rsid w:val="008F0A16"/>
    <w:rPr>
      <w:smallCaps/>
      <w:color w:val="C0504D" w:themeColor="accent2"/>
      <w:u w:val="single"/>
    </w:rPr>
  </w:style>
  <w:style w:type="character" w:styleId="af">
    <w:name w:val="Intense Reference"/>
    <w:basedOn w:val="a0"/>
    <w:uiPriority w:val="32"/>
    <w:qFormat/>
    <w:rsid w:val="008F0A16"/>
    <w:rPr>
      <w:b/>
      <w:bCs/>
      <w:smallCaps/>
      <w:color w:val="C0504D" w:themeColor="accent2"/>
      <w:spacing w:val="5"/>
      <w:u w:val="single"/>
    </w:rPr>
  </w:style>
  <w:style w:type="character" w:styleId="af0">
    <w:name w:val="Book Title"/>
    <w:basedOn w:val="a0"/>
    <w:uiPriority w:val="33"/>
    <w:qFormat/>
    <w:rsid w:val="008F0A16"/>
    <w:rPr>
      <w:b/>
      <w:bCs/>
      <w:smallCaps/>
      <w:spacing w:val="5"/>
    </w:rPr>
  </w:style>
  <w:style w:type="paragraph" w:styleId="TOC">
    <w:name w:val="TOC Heading"/>
    <w:basedOn w:val="1"/>
    <w:next w:val="a"/>
    <w:uiPriority w:val="39"/>
    <w:semiHidden/>
    <w:unhideWhenUsed/>
    <w:qFormat/>
    <w:rsid w:val="008F0A16"/>
    <w:pPr>
      <w:keepNext/>
      <w:keepLines/>
      <w:spacing w:before="340" w:after="330" w:line="578" w:lineRule="auto"/>
      <w:outlineLvl w:val="9"/>
    </w:pPr>
    <w:rPr>
      <w:rFonts w:ascii="Times New Roman" w:eastAsia="宋体" w:hAnsi="Times New Roman"/>
      <w:bCs/>
      <w:kern w:val="44"/>
      <w:sz w:val="44"/>
      <w:szCs w:val="44"/>
    </w:rPr>
  </w:style>
  <w:style w:type="paragraph" w:styleId="10">
    <w:name w:val="toc 1"/>
    <w:basedOn w:val="a"/>
    <w:next w:val="a"/>
    <w:autoRedefine/>
    <w:rsid w:val="008F0A16"/>
  </w:style>
  <w:style w:type="paragraph" w:styleId="20">
    <w:name w:val="toc 2"/>
    <w:basedOn w:val="a"/>
    <w:next w:val="a"/>
    <w:autoRedefine/>
    <w:rsid w:val="008F0A16"/>
    <w:pPr>
      <w:ind w:leftChars="200" w:left="420"/>
    </w:pPr>
  </w:style>
  <w:style w:type="paragraph" w:styleId="30">
    <w:name w:val="toc 3"/>
    <w:basedOn w:val="a"/>
    <w:next w:val="a"/>
    <w:autoRedefine/>
    <w:rsid w:val="008F0A16"/>
    <w:pPr>
      <w:ind w:leftChars="400" w:left="840"/>
    </w:pPr>
  </w:style>
  <w:style w:type="character" w:customStyle="1" w:styleId="Char">
    <w:name w:val="题注 Char"/>
    <w:link w:val="a3"/>
    <w:uiPriority w:val="35"/>
    <w:rsid w:val="008F0A16"/>
    <w:rPr>
      <w:rFonts w:ascii="微软雅黑" w:eastAsia="ヒラギノ角ゴ Pro W3" w:hAnsi="微软雅黑" w:cs="KTJ+ZJRLOU-4"/>
      <w:kern w:val="2"/>
    </w:rPr>
  </w:style>
  <w:style w:type="paragraph" w:styleId="af1">
    <w:name w:val="Body Text"/>
    <w:basedOn w:val="a"/>
    <w:link w:val="Char5"/>
    <w:rsid w:val="008F0A16"/>
    <w:pPr>
      <w:spacing w:after="120"/>
    </w:pPr>
  </w:style>
  <w:style w:type="character" w:customStyle="1" w:styleId="Char5">
    <w:name w:val="正文文本 Char"/>
    <w:basedOn w:val="a0"/>
    <w:link w:val="af1"/>
    <w:rsid w:val="008F0A16"/>
    <w:rPr>
      <w:rFonts w:ascii="Times New Roman" w:hAnsi="Times New Roman"/>
      <w:kern w:val="2"/>
      <w:sz w:val="21"/>
      <w:szCs w:val="24"/>
    </w:rPr>
  </w:style>
  <w:style w:type="paragraph" w:styleId="af2">
    <w:name w:val="Normal (Web)"/>
    <w:basedOn w:val="a"/>
    <w:rsid w:val="008F0A16"/>
    <w:rPr>
      <w:rFonts w:cs="宋体"/>
      <w:sz w:val="24"/>
    </w:rPr>
  </w:style>
  <w:style w:type="paragraph" w:customStyle="1" w:styleId="Default">
    <w:name w:val="Default"/>
    <w:uiPriority w:val="99"/>
    <w:qFormat/>
    <w:rsid w:val="005166D7"/>
    <w:pPr>
      <w:widowControl w:val="0"/>
      <w:autoSpaceDE w:val="0"/>
      <w:autoSpaceDN w:val="0"/>
      <w:adjustRightInd w:val="0"/>
    </w:pPr>
    <w:rPr>
      <w:rFonts w:ascii="宋体" w:cs="宋体"/>
      <w:color w:val="000000"/>
      <w:sz w:val="24"/>
      <w:szCs w:val="24"/>
    </w:rPr>
  </w:style>
  <w:style w:type="paragraph" w:customStyle="1" w:styleId="af3">
    <w:name w:val="段"/>
    <w:link w:val="Char6"/>
    <w:qFormat/>
    <w:rsid w:val="005166D7"/>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6">
    <w:name w:val="段 Char"/>
    <w:link w:val="af3"/>
    <w:rsid w:val="005166D7"/>
    <w:rPr>
      <w:rFonts w:ascii="宋体" w:hAnsi="Times New Roman"/>
      <w:kern w:val="2"/>
      <w:sz w:val="21"/>
      <w:szCs w:val="22"/>
    </w:rPr>
  </w:style>
  <w:style w:type="paragraph" w:customStyle="1" w:styleId="af4">
    <w:name w:val="一级条标题"/>
    <w:next w:val="af3"/>
    <w:qFormat/>
    <w:rsid w:val="005166D7"/>
    <w:pPr>
      <w:spacing w:beforeLines="50" w:afterLines="50"/>
      <w:outlineLvl w:val="2"/>
    </w:pPr>
    <w:rPr>
      <w:rFonts w:ascii="黑体" w:eastAsia="黑体"/>
      <w:sz w:val="21"/>
      <w:szCs w:val="21"/>
    </w:rPr>
  </w:style>
  <w:style w:type="paragraph" w:customStyle="1" w:styleId="af5">
    <w:name w:val="章标题"/>
    <w:next w:val="af3"/>
    <w:qFormat/>
    <w:rsid w:val="005166D7"/>
    <w:pPr>
      <w:spacing w:beforeLines="100" w:afterLines="100"/>
      <w:jc w:val="both"/>
      <w:outlineLvl w:val="1"/>
    </w:pPr>
    <w:rPr>
      <w:rFonts w:ascii="黑体" w:eastAsia="黑体"/>
      <w:sz w:val="21"/>
    </w:rPr>
  </w:style>
  <w:style w:type="paragraph" w:customStyle="1" w:styleId="TableParagraph">
    <w:name w:val="Table Paragraph"/>
    <w:basedOn w:val="a"/>
    <w:uiPriority w:val="1"/>
    <w:qFormat/>
    <w:rsid w:val="005166D7"/>
    <w:pPr>
      <w:widowControl/>
      <w:jc w:val="left"/>
    </w:pPr>
    <w:rPr>
      <w:kern w:val="0"/>
      <w:sz w:val="22"/>
      <w:lang w:eastAsia="en-US"/>
    </w:rPr>
  </w:style>
  <w:style w:type="paragraph" w:customStyle="1" w:styleId="21">
    <w:name w:val="标题 21"/>
    <w:basedOn w:val="a"/>
    <w:uiPriority w:val="1"/>
    <w:qFormat/>
    <w:rsid w:val="005166D7"/>
    <w:pPr>
      <w:widowControl/>
      <w:ind w:left="110"/>
      <w:jc w:val="left"/>
      <w:outlineLvl w:val="2"/>
    </w:pPr>
    <w:rPr>
      <w:rFonts w:eastAsia="Times New Roman"/>
      <w:b/>
      <w:bCs/>
      <w:i/>
      <w:kern w:val="0"/>
      <w:sz w:val="22"/>
      <w:lang w:eastAsia="en-US"/>
    </w:rPr>
  </w:style>
  <w:style w:type="paragraph" w:customStyle="1" w:styleId="11">
    <w:name w:val="标题 11"/>
    <w:basedOn w:val="a"/>
    <w:uiPriority w:val="1"/>
    <w:qFormat/>
    <w:rsid w:val="005166D7"/>
    <w:pPr>
      <w:widowControl/>
      <w:ind w:left="552"/>
      <w:jc w:val="left"/>
      <w:outlineLvl w:val="1"/>
    </w:pPr>
    <w:rPr>
      <w:rFonts w:eastAsia="Times New Roman"/>
      <w:b/>
      <w:bCs/>
      <w:kern w:val="0"/>
      <w:sz w:val="22"/>
      <w:lang w:eastAsia="en-US"/>
    </w:rPr>
  </w:style>
  <w:style w:type="paragraph" w:customStyle="1" w:styleId="af6">
    <w:name w:val="正文小四"/>
    <w:qFormat/>
    <w:rsid w:val="005166D7"/>
    <w:pPr>
      <w:spacing w:line="400" w:lineRule="exact"/>
      <w:ind w:firstLineChars="200" w:firstLine="200"/>
    </w:pPr>
    <w:rPr>
      <w:rFonts w:ascii="微软雅黑" w:hAnsi="微软雅黑" w:cs="KTJ+ZJRLOU-4"/>
      <w:kern w:val="2"/>
      <w:sz w:val="24"/>
    </w:rPr>
  </w:style>
  <w:style w:type="paragraph" w:styleId="af7">
    <w:name w:val="header"/>
    <w:basedOn w:val="a"/>
    <w:link w:val="Char7"/>
    <w:rsid w:val="008F0A16"/>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f7"/>
    <w:rsid w:val="008F0A16"/>
    <w:rPr>
      <w:rFonts w:ascii="Times New Roman" w:hAnsi="Times New Roman"/>
      <w:kern w:val="2"/>
      <w:sz w:val="18"/>
      <w:szCs w:val="18"/>
    </w:rPr>
  </w:style>
  <w:style w:type="paragraph" w:styleId="af8">
    <w:name w:val="footer"/>
    <w:basedOn w:val="a"/>
    <w:link w:val="Char8"/>
    <w:rsid w:val="008F0A16"/>
    <w:pPr>
      <w:tabs>
        <w:tab w:val="center" w:pos="4153"/>
        <w:tab w:val="right" w:pos="8306"/>
      </w:tabs>
      <w:snapToGrid w:val="0"/>
      <w:jc w:val="left"/>
    </w:pPr>
    <w:rPr>
      <w:sz w:val="18"/>
      <w:szCs w:val="18"/>
    </w:rPr>
  </w:style>
  <w:style w:type="character" w:customStyle="1" w:styleId="Char8">
    <w:name w:val="页脚 Char"/>
    <w:basedOn w:val="a0"/>
    <w:link w:val="af8"/>
    <w:rsid w:val="008F0A16"/>
    <w:rPr>
      <w:rFonts w:ascii="Times New Roman" w:hAnsi="Times New Roman"/>
      <w:kern w:val="2"/>
      <w:sz w:val="18"/>
      <w:szCs w:val="18"/>
    </w:rPr>
  </w:style>
  <w:style w:type="paragraph" w:styleId="af9">
    <w:name w:val="Document Map"/>
    <w:basedOn w:val="a"/>
    <w:link w:val="Char9"/>
    <w:rsid w:val="008F0A16"/>
    <w:rPr>
      <w:rFonts w:ascii="宋体"/>
      <w:sz w:val="18"/>
      <w:szCs w:val="18"/>
    </w:rPr>
  </w:style>
  <w:style w:type="character" w:customStyle="1" w:styleId="Char9">
    <w:name w:val="文档结构图 Char"/>
    <w:basedOn w:val="a0"/>
    <w:link w:val="af9"/>
    <w:rsid w:val="008F0A16"/>
    <w:rPr>
      <w:rFonts w:ascii="宋体" w:hAnsi="Times New Roman"/>
      <w:kern w:val="2"/>
      <w:sz w:val="18"/>
      <w:szCs w:val="18"/>
    </w:rPr>
  </w:style>
  <w:style w:type="paragraph" w:styleId="afa">
    <w:name w:val="Plain Text"/>
    <w:basedOn w:val="a"/>
    <w:link w:val="Chara"/>
    <w:rsid w:val="008F0A16"/>
    <w:pPr>
      <w:spacing w:line="360" w:lineRule="auto"/>
      <w:ind w:firstLineChars="200" w:firstLine="480"/>
    </w:pPr>
    <w:rPr>
      <w:rFonts w:ascii="仿宋_GB2312"/>
      <w:sz w:val="24"/>
      <w:szCs w:val="20"/>
    </w:rPr>
  </w:style>
  <w:style w:type="character" w:customStyle="1" w:styleId="Chara">
    <w:name w:val="纯文本 Char"/>
    <w:basedOn w:val="a0"/>
    <w:link w:val="afa"/>
    <w:rsid w:val="008F0A16"/>
    <w:rPr>
      <w:rFonts w:ascii="仿宋_GB2312" w:hAnsi="Times New Roman"/>
      <w:kern w:val="2"/>
      <w:sz w:val="24"/>
    </w:rPr>
  </w:style>
  <w:style w:type="paragraph" w:styleId="afb">
    <w:name w:val="Balloon Text"/>
    <w:basedOn w:val="a"/>
    <w:link w:val="Charb"/>
    <w:rsid w:val="008F0A16"/>
    <w:rPr>
      <w:sz w:val="18"/>
      <w:szCs w:val="18"/>
    </w:rPr>
  </w:style>
  <w:style w:type="character" w:customStyle="1" w:styleId="Charb">
    <w:name w:val="批注框文本 Char"/>
    <w:basedOn w:val="a0"/>
    <w:link w:val="afb"/>
    <w:rsid w:val="008F0A16"/>
    <w:rPr>
      <w:rFonts w:ascii="Times New Roman" w:hAnsi="Times New Roman"/>
      <w:kern w:val="2"/>
      <w:sz w:val="18"/>
      <w:szCs w:val="18"/>
    </w:rPr>
  </w:style>
  <w:style w:type="table" w:styleId="afc">
    <w:name w:val="Table Grid"/>
    <w:basedOn w:val="a1"/>
    <w:rsid w:val="008F0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autoRedefine/>
    <w:semiHidden/>
    <w:rsid w:val="008F0A16"/>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0">
    <w:name w:val="Char Char Char Char"/>
    <w:basedOn w:val="a"/>
    <w:autoRedefine/>
    <w:semiHidden/>
    <w:rsid w:val="008F0A1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360058801">
      <w:bodyDiv w:val="1"/>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843470423">
              <w:marLeft w:val="0"/>
              <w:marRight w:val="0"/>
              <w:marTop w:val="0"/>
              <w:marBottom w:val="0"/>
              <w:divBdr>
                <w:top w:val="none" w:sz="0" w:space="0" w:color="auto"/>
                <w:left w:val="none" w:sz="0" w:space="0" w:color="auto"/>
                <w:bottom w:val="none" w:sz="0" w:space="0" w:color="auto"/>
                <w:right w:val="none" w:sz="0" w:space="0" w:color="auto"/>
              </w:divBdr>
              <w:divsChild>
                <w:div w:id="1822690496">
                  <w:marLeft w:val="0"/>
                  <w:marRight w:val="0"/>
                  <w:marTop w:val="0"/>
                  <w:marBottom w:val="0"/>
                  <w:divBdr>
                    <w:top w:val="none" w:sz="0" w:space="0" w:color="auto"/>
                    <w:left w:val="none" w:sz="0" w:space="0" w:color="auto"/>
                    <w:bottom w:val="none" w:sz="0" w:space="0" w:color="auto"/>
                    <w:right w:val="none" w:sz="0" w:space="0" w:color="auto"/>
                  </w:divBdr>
                  <w:divsChild>
                    <w:div w:id="210849343">
                      <w:marLeft w:val="0"/>
                      <w:marRight w:val="0"/>
                      <w:marTop w:val="0"/>
                      <w:marBottom w:val="0"/>
                      <w:divBdr>
                        <w:top w:val="none" w:sz="0" w:space="0" w:color="auto"/>
                        <w:left w:val="none" w:sz="0" w:space="0" w:color="auto"/>
                        <w:bottom w:val="none" w:sz="0" w:space="0" w:color="auto"/>
                        <w:right w:val="none" w:sz="0" w:space="0" w:color="auto"/>
                      </w:divBdr>
                      <w:divsChild>
                        <w:div w:id="4635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898610">
      <w:bodyDiv w:val="1"/>
      <w:marLeft w:val="0"/>
      <w:marRight w:val="0"/>
      <w:marTop w:val="0"/>
      <w:marBottom w:val="0"/>
      <w:divBdr>
        <w:top w:val="none" w:sz="0" w:space="0" w:color="auto"/>
        <w:left w:val="none" w:sz="0" w:space="0" w:color="auto"/>
        <w:bottom w:val="none" w:sz="0" w:space="0" w:color="auto"/>
        <w:right w:val="none" w:sz="0" w:space="0" w:color="auto"/>
      </w:divBdr>
      <w:divsChild>
        <w:div w:id="1863589648">
          <w:marLeft w:val="0"/>
          <w:marRight w:val="0"/>
          <w:marTop w:val="0"/>
          <w:marBottom w:val="0"/>
          <w:divBdr>
            <w:top w:val="none" w:sz="0" w:space="0" w:color="auto"/>
            <w:left w:val="none" w:sz="0" w:space="0" w:color="auto"/>
            <w:bottom w:val="none" w:sz="0" w:space="0" w:color="auto"/>
            <w:right w:val="none" w:sz="0" w:space="0" w:color="auto"/>
          </w:divBdr>
          <w:divsChild>
            <w:div w:id="1228415541">
              <w:marLeft w:val="0"/>
              <w:marRight w:val="0"/>
              <w:marTop w:val="0"/>
              <w:marBottom w:val="0"/>
              <w:divBdr>
                <w:top w:val="none" w:sz="0" w:space="0" w:color="auto"/>
                <w:left w:val="none" w:sz="0" w:space="0" w:color="auto"/>
                <w:bottom w:val="none" w:sz="0" w:space="0" w:color="auto"/>
                <w:right w:val="none" w:sz="0" w:space="0" w:color="auto"/>
              </w:divBdr>
              <w:divsChild>
                <w:div w:id="588125110">
                  <w:marLeft w:val="0"/>
                  <w:marRight w:val="0"/>
                  <w:marTop w:val="0"/>
                  <w:marBottom w:val="0"/>
                  <w:divBdr>
                    <w:top w:val="none" w:sz="0" w:space="0" w:color="auto"/>
                    <w:left w:val="none" w:sz="0" w:space="0" w:color="auto"/>
                    <w:bottom w:val="none" w:sz="0" w:space="0" w:color="auto"/>
                    <w:right w:val="none" w:sz="0" w:space="0" w:color="auto"/>
                  </w:divBdr>
                  <w:divsChild>
                    <w:div w:id="1894999428">
                      <w:marLeft w:val="0"/>
                      <w:marRight w:val="0"/>
                      <w:marTop w:val="0"/>
                      <w:marBottom w:val="0"/>
                      <w:divBdr>
                        <w:top w:val="none" w:sz="0" w:space="0" w:color="auto"/>
                        <w:left w:val="none" w:sz="0" w:space="0" w:color="auto"/>
                        <w:bottom w:val="none" w:sz="0" w:space="0" w:color="auto"/>
                        <w:right w:val="none" w:sz="0" w:space="0" w:color="auto"/>
                      </w:divBdr>
                      <w:divsChild>
                        <w:div w:id="1719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158745">
      <w:bodyDiv w:val="1"/>
      <w:marLeft w:val="0"/>
      <w:marRight w:val="0"/>
      <w:marTop w:val="0"/>
      <w:marBottom w:val="0"/>
      <w:divBdr>
        <w:top w:val="none" w:sz="0" w:space="0" w:color="auto"/>
        <w:left w:val="none" w:sz="0" w:space="0" w:color="auto"/>
        <w:bottom w:val="none" w:sz="0" w:space="0" w:color="auto"/>
        <w:right w:val="none" w:sz="0" w:space="0" w:color="auto"/>
      </w:divBdr>
      <w:divsChild>
        <w:div w:id="1767771222">
          <w:marLeft w:val="0"/>
          <w:marRight w:val="0"/>
          <w:marTop w:val="0"/>
          <w:marBottom w:val="0"/>
          <w:divBdr>
            <w:top w:val="none" w:sz="0" w:space="0" w:color="auto"/>
            <w:left w:val="none" w:sz="0" w:space="0" w:color="auto"/>
            <w:bottom w:val="none" w:sz="0" w:space="0" w:color="auto"/>
            <w:right w:val="none" w:sz="0" w:space="0" w:color="auto"/>
          </w:divBdr>
          <w:divsChild>
            <w:div w:id="1531065921">
              <w:marLeft w:val="0"/>
              <w:marRight w:val="0"/>
              <w:marTop w:val="0"/>
              <w:marBottom w:val="0"/>
              <w:divBdr>
                <w:top w:val="none" w:sz="0" w:space="0" w:color="auto"/>
                <w:left w:val="none" w:sz="0" w:space="0" w:color="auto"/>
                <w:bottom w:val="none" w:sz="0" w:space="0" w:color="auto"/>
                <w:right w:val="none" w:sz="0" w:space="0" w:color="auto"/>
              </w:divBdr>
              <w:divsChild>
                <w:div w:id="856844077">
                  <w:marLeft w:val="0"/>
                  <w:marRight w:val="0"/>
                  <w:marTop w:val="0"/>
                  <w:marBottom w:val="0"/>
                  <w:divBdr>
                    <w:top w:val="none" w:sz="0" w:space="0" w:color="auto"/>
                    <w:left w:val="none" w:sz="0" w:space="0" w:color="auto"/>
                    <w:bottom w:val="none" w:sz="0" w:space="0" w:color="auto"/>
                    <w:right w:val="none" w:sz="0" w:space="0" w:color="auto"/>
                  </w:divBdr>
                  <w:divsChild>
                    <w:div w:id="1484855509">
                      <w:marLeft w:val="0"/>
                      <w:marRight w:val="0"/>
                      <w:marTop w:val="0"/>
                      <w:marBottom w:val="0"/>
                      <w:divBdr>
                        <w:top w:val="none" w:sz="0" w:space="0" w:color="auto"/>
                        <w:left w:val="none" w:sz="0" w:space="0" w:color="auto"/>
                        <w:bottom w:val="none" w:sz="0" w:space="0" w:color="auto"/>
                        <w:right w:val="none" w:sz="0" w:space="0" w:color="auto"/>
                      </w:divBdr>
                      <w:divsChild>
                        <w:div w:id="4191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D81F-0F9D-4EAF-925F-5B987888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673</Words>
  <Characters>3839</Characters>
  <Application>Microsoft Office Word</Application>
  <DocSecurity>0</DocSecurity>
  <Lines>31</Lines>
  <Paragraphs>9</Paragraphs>
  <ScaleCrop>false</ScaleCrop>
  <Company>Microsoft</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刘霞</dc:creator>
  <cp:keywords/>
  <dc:description/>
  <cp:lastModifiedBy>刘霞</cp:lastModifiedBy>
  <cp:revision>8</cp:revision>
  <dcterms:created xsi:type="dcterms:W3CDTF">2019-11-25T07:03:00Z</dcterms:created>
  <dcterms:modified xsi:type="dcterms:W3CDTF">2019-11-25T11:58:00Z</dcterms:modified>
</cp:coreProperties>
</file>