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7209" w:rsidRDefault="007D1019">
      <w:pPr>
        <w:spacing w:line="360" w:lineRule="auto"/>
        <w:jc w:val="center"/>
        <w:rPr>
          <w:rFonts w:ascii="黑体" w:eastAsia="黑体" w:hAnsi="金山简标宋"/>
          <w:b/>
          <w:sz w:val="30"/>
        </w:rPr>
      </w:pPr>
      <w:r>
        <w:rPr>
          <w:rFonts w:ascii="黑体" w:eastAsia="黑体" w:hAnsi="金山简标宋" w:hint="eastAsia"/>
          <w:b/>
          <w:sz w:val="30"/>
        </w:rPr>
        <w:t>《</w:t>
      </w:r>
      <w:r w:rsidR="000A5AD3" w:rsidRPr="000A5AD3">
        <w:rPr>
          <w:rFonts w:ascii="黑体" w:eastAsia="黑体" w:hAnsi="金山简标宋" w:hint="eastAsia"/>
          <w:b/>
          <w:sz w:val="30"/>
        </w:rPr>
        <w:t>植物转基因产品检测  目标区域测序法</w:t>
      </w:r>
      <w:r>
        <w:rPr>
          <w:rFonts w:ascii="黑体" w:eastAsia="黑体" w:hAnsi="金山简标宋" w:hint="eastAsia"/>
          <w:b/>
          <w:sz w:val="30"/>
        </w:rPr>
        <w:t>》国家标准</w:t>
      </w:r>
    </w:p>
    <w:p w:rsidR="00E07209" w:rsidRDefault="007D1019">
      <w:pPr>
        <w:spacing w:line="360" w:lineRule="auto"/>
        <w:jc w:val="center"/>
        <w:rPr>
          <w:rFonts w:ascii="宋体" w:hAnsi="金山简标宋"/>
          <w:b/>
          <w:sz w:val="36"/>
        </w:rPr>
      </w:pPr>
      <w:r>
        <w:rPr>
          <w:rFonts w:ascii="宋体" w:hAnsi="金山简标宋" w:hint="eastAsia"/>
          <w:b/>
          <w:sz w:val="36"/>
        </w:rPr>
        <w:t>编 制 说 明</w:t>
      </w:r>
    </w:p>
    <w:p w:rsidR="00E07209" w:rsidRDefault="007D1019">
      <w:pPr>
        <w:spacing w:line="360" w:lineRule="auto"/>
        <w:jc w:val="center"/>
        <w:rPr>
          <w:rFonts w:ascii="宋体" w:hAnsi="金山简标宋"/>
          <w:b/>
          <w:sz w:val="24"/>
        </w:rPr>
      </w:pPr>
      <w:r>
        <w:rPr>
          <w:rFonts w:ascii="宋体" w:hAnsi="金山简标宋" w:hint="eastAsia"/>
          <w:bCs/>
          <w:sz w:val="24"/>
        </w:rPr>
        <w:t>（征求意见稿）</w:t>
      </w:r>
    </w:p>
    <w:p w:rsidR="00E07209" w:rsidRDefault="00E07209">
      <w:pPr>
        <w:spacing w:line="360" w:lineRule="auto"/>
        <w:rPr>
          <w:rFonts w:ascii="宋体" w:hAnsi="金山简标宋"/>
          <w:b/>
          <w:sz w:val="24"/>
        </w:rPr>
      </w:pPr>
    </w:p>
    <w:p w:rsidR="00E07209" w:rsidRDefault="007D1019">
      <w:pPr>
        <w:spacing w:line="360" w:lineRule="auto"/>
        <w:rPr>
          <w:rFonts w:ascii="宋体" w:hAnsi="宋体"/>
          <w:sz w:val="24"/>
        </w:rPr>
      </w:pPr>
      <w:r>
        <w:rPr>
          <w:rFonts w:ascii="黑体" w:eastAsia="黑体" w:hAnsi="金山简标宋" w:hint="eastAsia"/>
          <w:sz w:val="24"/>
        </w:rPr>
        <w:t>一、任务来源</w:t>
      </w:r>
    </w:p>
    <w:p w:rsidR="00E07209" w:rsidRDefault="007D1019" w:rsidP="00025526">
      <w:pPr>
        <w:spacing w:beforeLines="50" w:line="360" w:lineRule="auto"/>
        <w:ind w:firstLineChars="200" w:firstLine="480"/>
        <w:rPr>
          <w:rFonts w:ascii="宋体" w:hAnsi="宋体"/>
          <w:sz w:val="24"/>
        </w:rPr>
      </w:pPr>
      <w:r>
        <w:rPr>
          <w:rFonts w:ascii="宋体" w:hAnsi="宋体" w:hint="eastAsia"/>
          <w:sz w:val="24"/>
        </w:rPr>
        <w:t>本国家标准的制定任务列入国家标准化管理委员会</w:t>
      </w:r>
      <w:r w:rsidR="002C5CC7" w:rsidRPr="00AB5EA8">
        <w:rPr>
          <w:rFonts w:hint="eastAsia"/>
          <w:color w:val="000000"/>
          <w:sz w:val="24"/>
        </w:rPr>
        <w:t>2018</w:t>
      </w:r>
      <w:r w:rsidR="002C5CC7" w:rsidRPr="00AB5EA8">
        <w:rPr>
          <w:rFonts w:hint="eastAsia"/>
          <w:color w:val="000000"/>
          <w:sz w:val="24"/>
        </w:rPr>
        <w:t>年第二批国家标准制修订计划</w:t>
      </w:r>
      <w:r>
        <w:rPr>
          <w:rFonts w:ascii="宋体" w:hAnsi="宋体" w:hint="eastAsia"/>
          <w:sz w:val="24"/>
        </w:rPr>
        <w:t>，项目编号“</w:t>
      </w:r>
      <w:r w:rsidR="002C5CC7" w:rsidRPr="002C5CC7">
        <w:rPr>
          <w:rFonts w:ascii="仿宋_GB2312" w:eastAsia="仿宋_GB2312"/>
          <w:sz w:val="28"/>
          <w:szCs w:val="28"/>
        </w:rPr>
        <w:t>20180930-T-424</w:t>
      </w:r>
      <w:r>
        <w:rPr>
          <w:rFonts w:ascii="宋体" w:hAnsi="宋体" w:hint="eastAsia"/>
          <w:sz w:val="24"/>
        </w:rPr>
        <w:t>”。本项任务由中国标准化研究院提出并归口，定于2019年完成。本标准起草工作组由江汉大学等单位共同组成。</w:t>
      </w:r>
    </w:p>
    <w:p w:rsidR="00E07209" w:rsidRDefault="007D1019" w:rsidP="00025526">
      <w:pPr>
        <w:spacing w:beforeLines="50" w:line="360" w:lineRule="auto"/>
        <w:rPr>
          <w:rFonts w:ascii="黑体" w:eastAsia="黑体" w:hAnsi="金山简标宋"/>
          <w:sz w:val="24"/>
        </w:rPr>
      </w:pPr>
      <w:r>
        <w:rPr>
          <w:rFonts w:ascii="黑体" w:eastAsia="黑体" w:hAnsi="金山简标宋" w:hint="eastAsia"/>
          <w:sz w:val="24"/>
        </w:rPr>
        <w:t>二、目的和意义</w:t>
      </w:r>
    </w:p>
    <w:p w:rsidR="001F4983" w:rsidRDefault="00207D02" w:rsidP="000A5AD3">
      <w:pPr>
        <w:spacing w:line="360" w:lineRule="auto"/>
        <w:ind w:firstLineChars="200" w:firstLine="480"/>
        <w:jc w:val="left"/>
        <w:rPr>
          <w:rFonts w:ascii="宋体" w:hAnsi="宋体" w:cs="宋体"/>
          <w:sz w:val="24"/>
        </w:rPr>
      </w:pPr>
      <w:r>
        <w:rPr>
          <w:rFonts w:ascii="宋体" w:hAnsi="宋体" w:cs="宋体" w:hint="eastAsia"/>
          <w:sz w:val="24"/>
        </w:rPr>
        <w:t>（一）</w:t>
      </w:r>
      <w:r w:rsidR="001F4983">
        <w:rPr>
          <w:rFonts w:ascii="宋体" w:hAnsi="宋体" w:cs="宋体" w:hint="eastAsia"/>
          <w:sz w:val="24"/>
        </w:rPr>
        <w:t>国内外研究现状</w:t>
      </w:r>
    </w:p>
    <w:p w:rsidR="001F4983" w:rsidRDefault="001F4983" w:rsidP="000A5AD3">
      <w:pPr>
        <w:spacing w:line="360" w:lineRule="auto"/>
        <w:ind w:firstLineChars="200" w:firstLine="480"/>
        <w:jc w:val="left"/>
        <w:rPr>
          <w:rFonts w:ascii="宋体" w:hAnsi="宋体" w:cs="宋体"/>
          <w:sz w:val="24"/>
        </w:rPr>
      </w:pPr>
      <w:r>
        <w:rPr>
          <w:rFonts w:ascii="宋体" w:hAnsi="宋体" w:cs="宋体" w:hint="eastAsia"/>
          <w:sz w:val="24"/>
        </w:rPr>
        <w:t>第一个遗传修饰即转基因作物的商业化开发出现在1996年，随着生物技术的发展，转基因植物产品逐年增加。根据</w:t>
      </w:r>
      <w:r w:rsidRPr="001F4983">
        <w:rPr>
          <w:rFonts w:ascii="宋体" w:hAnsi="宋体" w:cs="宋体" w:hint="eastAsia"/>
          <w:sz w:val="24"/>
        </w:rPr>
        <w:t>国际农业生物技术应用服务组织</w:t>
      </w:r>
      <w:r>
        <w:rPr>
          <w:rFonts w:ascii="宋体" w:hAnsi="宋体" w:cs="宋体" w:hint="eastAsia"/>
          <w:sz w:val="24"/>
        </w:rPr>
        <w:t>（</w:t>
      </w:r>
      <w:r w:rsidRPr="001F4983">
        <w:rPr>
          <w:rFonts w:ascii="宋体" w:hAnsi="宋体" w:cs="宋体" w:hint="eastAsia"/>
          <w:sz w:val="24"/>
        </w:rPr>
        <w:t>ISAAA</w:t>
      </w:r>
      <w:r>
        <w:rPr>
          <w:rFonts w:ascii="宋体" w:hAnsi="宋体" w:cs="宋体" w:hint="eastAsia"/>
          <w:sz w:val="24"/>
        </w:rPr>
        <w:t>）的报告，</w:t>
      </w:r>
      <w:r w:rsidR="00D20E0A">
        <w:rPr>
          <w:rFonts w:ascii="宋体" w:hAnsi="宋体" w:cs="宋体" w:hint="eastAsia"/>
          <w:sz w:val="24"/>
        </w:rPr>
        <w:t>全世界至2013年，已经有27种</w:t>
      </w:r>
      <w:r w:rsidR="00D32EA4">
        <w:rPr>
          <w:rFonts w:ascii="宋体" w:hAnsi="宋体" w:cs="宋体" w:hint="eastAsia"/>
          <w:sz w:val="24"/>
        </w:rPr>
        <w:t>转基因作物</w:t>
      </w:r>
      <w:r w:rsidR="00D20E0A">
        <w:rPr>
          <w:rFonts w:ascii="宋体" w:hAnsi="宋体" w:cs="宋体" w:hint="eastAsia"/>
          <w:sz w:val="24"/>
        </w:rPr>
        <w:t>类型和336种品种被开发出来，在27年国家种植面积达到1.75亿</w:t>
      </w:r>
      <w:r w:rsidR="00D20E0A" w:rsidRPr="00D20E0A">
        <w:rPr>
          <w:rFonts w:ascii="宋体" w:hAnsi="宋体" w:cs="宋体" w:hint="eastAsia"/>
          <w:sz w:val="24"/>
        </w:rPr>
        <w:t>公顷</w:t>
      </w:r>
      <w:r w:rsidR="00D20E0A">
        <w:rPr>
          <w:rFonts w:ascii="宋体" w:hAnsi="宋体" w:cs="宋体" w:hint="eastAsia"/>
          <w:sz w:val="24"/>
        </w:rPr>
        <w:t>。</w:t>
      </w:r>
      <w:r w:rsidR="00207D02">
        <w:rPr>
          <w:rFonts w:ascii="宋体" w:hAnsi="宋体" w:cs="宋体" w:hint="eastAsia"/>
          <w:sz w:val="24"/>
        </w:rPr>
        <w:t>在中国，至2015年，已经有37种转基因作物被批准进口，用作加工原料。</w:t>
      </w:r>
      <w:r w:rsidR="00D20E0A">
        <w:rPr>
          <w:rFonts w:ascii="宋体" w:hAnsi="宋体" w:cs="宋体" w:hint="eastAsia"/>
          <w:sz w:val="24"/>
        </w:rPr>
        <w:t>在许多国家</w:t>
      </w:r>
      <w:r w:rsidR="00207D02">
        <w:rPr>
          <w:rFonts w:ascii="宋体" w:hAnsi="宋体" w:cs="宋体" w:hint="eastAsia"/>
          <w:sz w:val="24"/>
        </w:rPr>
        <w:t>（包括中国）</w:t>
      </w:r>
      <w:r w:rsidR="00D20E0A">
        <w:rPr>
          <w:rFonts w:ascii="宋体" w:hAnsi="宋体" w:cs="宋体" w:hint="eastAsia"/>
          <w:sz w:val="24"/>
        </w:rPr>
        <w:t>，因为政府和公众担心转基因产品的食品安全或环境安全的危害，对转基因产品持有不信任的态度。为了保护公众的知情权，许多国家（也包括中国）通过立法对转基因食品与</w:t>
      </w:r>
      <w:r w:rsidR="00D32EA4">
        <w:rPr>
          <w:rFonts w:ascii="宋体" w:hAnsi="宋体" w:cs="宋体" w:hint="eastAsia"/>
          <w:sz w:val="24"/>
        </w:rPr>
        <w:t>饲料</w:t>
      </w:r>
      <w:r w:rsidR="00D20E0A">
        <w:rPr>
          <w:rFonts w:ascii="宋体" w:hAnsi="宋体" w:cs="宋体" w:hint="eastAsia"/>
          <w:sz w:val="24"/>
        </w:rPr>
        <w:t>进行管制和跟踪。</w:t>
      </w:r>
    </w:p>
    <w:p w:rsidR="00D20E0A" w:rsidRPr="008F5904" w:rsidRDefault="00D20E0A" w:rsidP="000A5AD3">
      <w:pPr>
        <w:spacing w:line="360" w:lineRule="auto"/>
        <w:ind w:firstLineChars="200" w:firstLine="480"/>
        <w:jc w:val="left"/>
        <w:rPr>
          <w:rFonts w:ascii="宋体" w:hAnsi="宋体" w:cs="宋体"/>
          <w:sz w:val="24"/>
        </w:rPr>
      </w:pPr>
      <w:r>
        <w:rPr>
          <w:rFonts w:ascii="宋体" w:hAnsi="宋体" w:cs="宋体" w:hint="eastAsia"/>
          <w:sz w:val="24"/>
        </w:rPr>
        <w:t>为了适应转基因立法要求和确保产品的合法与可追踪，有效且精准的转基因筛选、鉴定和定量方法是十分必要的。除少部分以蛋白免疫反应显色为</w:t>
      </w:r>
      <w:r w:rsidR="00195444">
        <w:rPr>
          <w:rFonts w:ascii="宋体" w:hAnsi="宋体" w:cs="宋体" w:hint="eastAsia"/>
          <w:sz w:val="24"/>
        </w:rPr>
        <w:t>基础</w:t>
      </w:r>
      <w:r>
        <w:rPr>
          <w:rFonts w:ascii="宋体" w:hAnsi="宋体" w:cs="宋体" w:hint="eastAsia"/>
          <w:sz w:val="24"/>
        </w:rPr>
        <w:t>的检测方法外，DNA聚合酶链式反应（PCR）为基础的转基因检测方法是应用</w:t>
      </w:r>
      <w:r w:rsidR="00D32EA4">
        <w:rPr>
          <w:rFonts w:ascii="宋体" w:hAnsi="宋体" w:cs="宋体" w:hint="eastAsia"/>
          <w:sz w:val="24"/>
        </w:rPr>
        <w:t>最</w:t>
      </w:r>
      <w:r>
        <w:rPr>
          <w:rFonts w:ascii="宋体" w:hAnsi="宋体" w:cs="宋体" w:hint="eastAsia"/>
          <w:sz w:val="24"/>
        </w:rPr>
        <w:t>广泛的方法</w:t>
      </w:r>
      <w:r w:rsidR="00D70B4C">
        <w:rPr>
          <w:rFonts w:ascii="宋体" w:hAnsi="宋体" w:cs="宋体" w:hint="eastAsia"/>
          <w:sz w:val="24"/>
        </w:rPr>
        <w:t>，也是目前转基因检测国家标准与行业标准的主要方法</w:t>
      </w:r>
      <w:r w:rsidR="00D32EA4">
        <w:rPr>
          <w:rFonts w:ascii="宋体" w:hAnsi="宋体" w:cs="宋体" w:hint="eastAsia"/>
          <w:sz w:val="24"/>
        </w:rPr>
        <w:t>。</w:t>
      </w:r>
      <w:r>
        <w:rPr>
          <w:rFonts w:ascii="宋体" w:hAnsi="宋体" w:cs="宋体" w:hint="eastAsia"/>
          <w:sz w:val="24"/>
        </w:rPr>
        <w:t>根据检测的特异性水平分为筛选方法、基因特异性方法、</w:t>
      </w:r>
      <w:r w:rsidR="00A843A6">
        <w:rPr>
          <w:rFonts w:ascii="宋体" w:hAnsi="宋体" w:cs="宋体" w:hint="eastAsia"/>
          <w:sz w:val="24"/>
        </w:rPr>
        <w:t>载体特异性方法和转基因事件特异性方法。大部分情况下，需要逐个做一</w:t>
      </w:r>
      <w:r w:rsidR="00D32EA4">
        <w:rPr>
          <w:rFonts w:ascii="宋体" w:hAnsi="宋体" w:cs="宋体" w:hint="eastAsia"/>
          <w:sz w:val="24"/>
        </w:rPr>
        <w:t>系</w:t>
      </w:r>
      <w:r w:rsidR="00A843A6">
        <w:rPr>
          <w:rFonts w:ascii="宋体" w:hAnsi="宋体" w:cs="宋体" w:hint="eastAsia"/>
          <w:sz w:val="24"/>
        </w:rPr>
        <w:t>列的PCR反应来鉴定待测样品中的转基因成分。首先，需要筛选在转基因中常用的元件</w:t>
      </w:r>
      <w:r w:rsidR="00D32EA4">
        <w:rPr>
          <w:rFonts w:ascii="宋体" w:hAnsi="宋体" w:cs="宋体" w:hint="eastAsia"/>
          <w:sz w:val="24"/>
        </w:rPr>
        <w:t>，</w:t>
      </w:r>
      <w:r w:rsidR="00A843A6">
        <w:rPr>
          <w:rFonts w:ascii="宋体" w:hAnsi="宋体" w:cs="宋体" w:hint="eastAsia"/>
          <w:sz w:val="24"/>
        </w:rPr>
        <w:t>然后，</w:t>
      </w:r>
      <w:r w:rsidR="00D32EA4">
        <w:rPr>
          <w:rFonts w:ascii="宋体" w:hAnsi="宋体" w:cs="宋体" w:hint="eastAsia"/>
          <w:sz w:val="24"/>
        </w:rPr>
        <w:t>对筛选获得的怀疑样品</w:t>
      </w:r>
      <w:r w:rsidR="00A843A6">
        <w:rPr>
          <w:rFonts w:ascii="宋体" w:hAnsi="宋体" w:cs="宋体" w:hint="eastAsia"/>
          <w:sz w:val="24"/>
        </w:rPr>
        <w:t>鉴定事件特异性的序列</w:t>
      </w:r>
      <w:r w:rsidR="00D32EA4">
        <w:rPr>
          <w:rFonts w:ascii="宋体" w:hAnsi="宋体" w:cs="宋体" w:hint="eastAsia"/>
          <w:sz w:val="24"/>
        </w:rPr>
        <w:t>，以便对转基因产品进行确认</w:t>
      </w:r>
      <w:r w:rsidR="00A843A6">
        <w:rPr>
          <w:rFonts w:ascii="宋体" w:hAnsi="宋体" w:cs="宋体" w:hint="eastAsia"/>
          <w:sz w:val="24"/>
        </w:rPr>
        <w:t>。转基因品种数量</w:t>
      </w:r>
      <w:r w:rsidR="00D70B4C">
        <w:rPr>
          <w:rFonts w:ascii="宋体" w:hAnsi="宋体" w:cs="宋体" w:hint="eastAsia"/>
          <w:sz w:val="24"/>
        </w:rPr>
        <w:t>和转基因事件</w:t>
      </w:r>
      <w:r w:rsidR="00A843A6">
        <w:rPr>
          <w:rFonts w:ascii="宋体" w:hAnsi="宋体" w:cs="宋体" w:hint="eastAsia"/>
          <w:sz w:val="24"/>
        </w:rPr>
        <w:t>十分庞大且复杂，因此，单个PCR反应来鉴定所有的转基因元件与事件是不现实的。同时，单重PCR反应鉴定耗时、费力且成本高。因此，在转基因产品快速增长的背景下，部分研究者提出了转基因的高通量筛选与鉴定方法。已经应用的高通量筛选与鉴定方法包括多重PCR、多重PCR为基础的技术、以及</w:t>
      </w:r>
      <w:r w:rsidR="00D32EA4">
        <w:rPr>
          <w:rFonts w:ascii="宋体" w:hAnsi="宋体" w:cs="宋体" w:hint="eastAsia"/>
          <w:sz w:val="24"/>
        </w:rPr>
        <w:t>预</w:t>
      </w:r>
      <w:r w:rsidR="00A843A6">
        <w:rPr>
          <w:rFonts w:ascii="宋体" w:hAnsi="宋体" w:cs="宋体" w:hint="eastAsia"/>
          <w:sz w:val="24"/>
        </w:rPr>
        <w:t>制好的实时PCR反应体系。</w:t>
      </w:r>
    </w:p>
    <w:p w:rsidR="001F4983" w:rsidRDefault="00A843A6" w:rsidP="000A5AD3">
      <w:pPr>
        <w:spacing w:line="360" w:lineRule="auto"/>
        <w:ind w:firstLineChars="200" w:firstLine="480"/>
        <w:jc w:val="left"/>
        <w:rPr>
          <w:rFonts w:ascii="宋体" w:hAnsi="宋体" w:cs="宋体"/>
          <w:sz w:val="24"/>
        </w:rPr>
      </w:pPr>
      <w:r>
        <w:rPr>
          <w:rFonts w:ascii="宋体" w:hAnsi="宋体" w:cs="宋体" w:hint="eastAsia"/>
          <w:sz w:val="24"/>
        </w:rPr>
        <w:lastRenderedPageBreak/>
        <w:t>多重PCR的目的是在单个反应中同时检测多个目标。多重PCR需要对试剂和引物的浓度与组成进行仔细的优化。</w:t>
      </w:r>
      <w:r w:rsidR="00D32EA4">
        <w:rPr>
          <w:rFonts w:ascii="宋体" w:hAnsi="宋体" w:cs="宋体" w:hint="eastAsia"/>
          <w:sz w:val="24"/>
        </w:rPr>
        <w:t>由</w:t>
      </w:r>
      <w:r w:rsidR="00252008">
        <w:rPr>
          <w:rFonts w:ascii="宋体" w:hAnsi="宋体" w:cs="宋体" w:hint="eastAsia"/>
          <w:sz w:val="24"/>
        </w:rPr>
        <w:t>于普通电泳技术的低分辨率，传统的多重PCR</w:t>
      </w:r>
      <w:r w:rsidR="00D70B4C">
        <w:rPr>
          <w:rFonts w:ascii="宋体" w:hAnsi="宋体" w:cs="宋体" w:hint="eastAsia"/>
          <w:sz w:val="24"/>
        </w:rPr>
        <w:t>加电泳检测技术</w:t>
      </w:r>
      <w:r w:rsidR="00252008">
        <w:rPr>
          <w:rFonts w:ascii="宋体" w:hAnsi="宋体" w:cs="宋体" w:hint="eastAsia"/>
          <w:sz w:val="24"/>
        </w:rPr>
        <w:t>仅可以检测5-6个目标。实时PCR多重检测的能力也受限于实时PCR反应通道的数量限制</w:t>
      </w:r>
      <w:r w:rsidR="00D32EA4">
        <w:rPr>
          <w:rFonts w:ascii="宋体" w:hAnsi="宋体" w:cs="宋体" w:hint="eastAsia"/>
          <w:sz w:val="24"/>
        </w:rPr>
        <w:t>和</w:t>
      </w:r>
      <w:r w:rsidR="00252008">
        <w:rPr>
          <w:rFonts w:ascii="宋体" w:hAnsi="宋体" w:cs="宋体" w:hint="eastAsia"/>
          <w:sz w:val="24"/>
        </w:rPr>
        <w:t>可以获</w:t>
      </w:r>
      <w:r w:rsidR="00D32EA4">
        <w:rPr>
          <w:rFonts w:ascii="宋体" w:hAnsi="宋体" w:cs="宋体" w:hint="eastAsia"/>
          <w:sz w:val="24"/>
        </w:rPr>
        <w:t>取</w:t>
      </w:r>
      <w:r w:rsidR="00252008">
        <w:rPr>
          <w:rFonts w:ascii="宋体" w:hAnsi="宋体" w:cs="宋体" w:hint="eastAsia"/>
          <w:sz w:val="24"/>
        </w:rPr>
        <w:t>的荧光染料的</w:t>
      </w:r>
      <w:r w:rsidR="00195444">
        <w:rPr>
          <w:rFonts w:ascii="宋体" w:hAnsi="宋体" w:cs="宋体" w:hint="eastAsia"/>
          <w:sz w:val="24"/>
        </w:rPr>
        <w:t>种类</w:t>
      </w:r>
      <w:r w:rsidR="00252008">
        <w:rPr>
          <w:rFonts w:ascii="宋体" w:hAnsi="宋体" w:cs="宋体" w:hint="eastAsia"/>
          <w:sz w:val="24"/>
        </w:rPr>
        <w:t>的限制。为了解决转基因检测的通量问题，一些新技术被用于了转基因检测技术中。这些新技术的策略是将多重PCR与毛细管电泳或者芯片杂交技术相结合。特别地，DNA</w:t>
      </w:r>
      <w:r w:rsidR="00D32EA4">
        <w:rPr>
          <w:rFonts w:ascii="宋体" w:hAnsi="宋体" w:cs="宋体" w:hint="eastAsia"/>
          <w:sz w:val="24"/>
        </w:rPr>
        <w:t>芯片</w:t>
      </w:r>
      <w:r w:rsidR="00252008">
        <w:rPr>
          <w:rFonts w:ascii="宋体" w:hAnsi="宋体" w:cs="宋体" w:hint="eastAsia"/>
          <w:sz w:val="24"/>
        </w:rPr>
        <w:t>具有同时分析上千种目标的能力</w:t>
      </w:r>
      <w:r w:rsidR="00D70B4C">
        <w:rPr>
          <w:rFonts w:ascii="宋体" w:hAnsi="宋体" w:cs="宋体" w:hint="eastAsia"/>
          <w:sz w:val="24"/>
        </w:rPr>
        <w:t>，我国也有部分标准采用DNA芯片杂交进行转基因元件的筛选</w:t>
      </w:r>
      <w:r w:rsidR="00252008">
        <w:rPr>
          <w:rFonts w:ascii="宋体" w:hAnsi="宋体" w:cs="宋体" w:hint="eastAsia"/>
          <w:sz w:val="24"/>
        </w:rPr>
        <w:t>。然而，不论PCR产物的检测通量有</w:t>
      </w:r>
      <w:r w:rsidR="00D32EA4">
        <w:rPr>
          <w:rFonts w:ascii="宋体" w:hAnsi="宋体" w:cs="宋体" w:hint="eastAsia"/>
          <w:sz w:val="24"/>
        </w:rPr>
        <w:t>多</w:t>
      </w:r>
      <w:r w:rsidR="00252008">
        <w:rPr>
          <w:rFonts w:ascii="宋体" w:hAnsi="宋体" w:cs="宋体" w:hint="eastAsia"/>
          <w:sz w:val="24"/>
        </w:rPr>
        <w:t>高，</w:t>
      </w:r>
      <w:r w:rsidR="00104B8F">
        <w:rPr>
          <w:rFonts w:ascii="宋体" w:hAnsi="宋体" w:cs="宋体" w:hint="eastAsia"/>
          <w:sz w:val="24"/>
        </w:rPr>
        <w:t>转基因的检测通量还要受限于多重PCR可以扩增的目标数</w:t>
      </w:r>
      <w:r w:rsidR="00D32EA4">
        <w:rPr>
          <w:rFonts w:ascii="宋体" w:hAnsi="宋体" w:cs="宋体" w:hint="eastAsia"/>
          <w:sz w:val="24"/>
        </w:rPr>
        <w:t>量</w:t>
      </w:r>
      <w:r w:rsidR="00104B8F">
        <w:rPr>
          <w:rFonts w:ascii="宋体" w:hAnsi="宋体" w:cs="宋体" w:hint="eastAsia"/>
          <w:sz w:val="24"/>
        </w:rPr>
        <w:t>的限制。其它基于多重PCR</w:t>
      </w:r>
      <w:r w:rsidR="00D32EA4">
        <w:rPr>
          <w:rFonts w:ascii="宋体" w:hAnsi="宋体" w:cs="宋体" w:hint="eastAsia"/>
          <w:sz w:val="24"/>
        </w:rPr>
        <w:t>开发的</w:t>
      </w:r>
      <w:r w:rsidR="00104B8F">
        <w:rPr>
          <w:rFonts w:ascii="宋体" w:hAnsi="宋体" w:cs="宋体" w:hint="eastAsia"/>
          <w:sz w:val="24"/>
        </w:rPr>
        <w:t>技术</w:t>
      </w:r>
      <w:r w:rsidR="00D32EA4">
        <w:rPr>
          <w:rFonts w:ascii="宋体" w:hAnsi="宋体" w:cs="宋体" w:hint="eastAsia"/>
          <w:sz w:val="24"/>
        </w:rPr>
        <w:t>所受到的</w:t>
      </w:r>
      <w:r w:rsidR="00104B8F">
        <w:rPr>
          <w:rFonts w:ascii="宋体" w:hAnsi="宋体" w:cs="宋体" w:hint="eastAsia"/>
          <w:sz w:val="24"/>
        </w:rPr>
        <w:t>限制还包括选择性扩增，以及由于多重引物组合</w:t>
      </w:r>
      <w:r w:rsidR="00D32EA4">
        <w:rPr>
          <w:rFonts w:ascii="宋体" w:hAnsi="宋体" w:cs="宋体" w:hint="eastAsia"/>
          <w:sz w:val="24"/>
        </w:rPr>
        <w:t>并存于</w:t>
      </w:r>
      <w:r w:rsidR="00104B8F">
        <w:rPr>
          <w:rFonts w:ascii="宋体" w:hAnsi="宋体" w:cs="宋体" w:hint="eastAsia"/>
          <w:sz w:val="24"/>
        </w:rPr>
        <w:t>同一反应中的相互干扰导致的非特异性背景扩增。</w:t>
      </w:r>
      <w:r w:rsidR="006F1C7A">
        <w:rPr>
          <w:rFonts w:ascii="宋体" w:hAnsi="宋体" w:cs="宋体" w:hint="eastAsia"/>
          <w:sz w:val="24"/>
        </w:rPr>
        <w:t>为了克服末端多重PCR技术带来的上述缺陷，低浓度的引物和少数PCR循环数的预扩增步骤被用来增加模板DNA的量。</w:t>
      </w:r>
      <w:r w:rsidR="008A799A">
        <w:rPr>
          <w:rFonts w:ascii="宋体" w:hAnsi="宋体" w:cs="宋体" w:hint="eastAsia"/>
          <w:sz w:val="24"/>
        </w:rPr>
        <w:t>多种高通量DNA检测方法中应用了</w:t>
      </w:r>
      <w:r w:rsidR="00D32EA4">
        <w:rPr>
          <w:rFonts w:ascii="宋体" w:hAnsi="宋体" w:cs="宋体" w:hint="eastAsia"/>
          <w:sz w:val="24"/>
        </w:rPr>
        <w:t>预扩增</w:t>
      </w:r>
      <w:r w:rsidR="008A799A">
        <w:rPr>
          <w:rFonts w:ascii="宋体" w:hAnsi="宋体" w:cs="宋体" w:hint="eastAsia"/>
          <w:sz w:val="24"/>
        </w:rPr>
        <w:t>策略，包括核酸序列扩增后芯片杂交技术、多重定量</w:t>
      </w:r>
      <w:r w:rsidR="00D32EA4">
        <w:rPr>
          <w:rFonts w:ascii="宋体" w:hAnsi="宋体" w:cs="宋体" w:hint="eastAsia"/>
          <w:sz w:val="24"/>
        </w:rPr>
        <w:t>PCR后</w:t>
      </w:r>
      <w:r w:rsidR="008A799A">
        <w:rPr>
          <w:rFonts w:ascii="宋体" w:hAnsi="宋体" w:cs="宋体" w:hint="eastAsia"/>
          <w:sz w:val="24"/>
        </w:rPr>
        <w:t>芯片</w:t>
      </w:r>
      <w:r w:rsidR="00D32EA4">
        <w:rPr>
          <w:rFonts w:ascii="宋体" w:hAnsi="宋体" w:cs="宋体" w:hint="eastAsia"/>
          <w:sz w:val="24"/>
        </w:rPr>
        <w:t>杂交</w:t>
      </w:r>
      <w:r w:rsidR="008A799A">
        <w:rPr>
          <w:rFonts w:ascii="宋体" w:hAnsi="宋体" w:cs="宋体" w:hint="eastAsia"/>
          <w:sz w:val="24"/>
        </w:rPr>
        <w:t>技术和多重微液滴PCR后的毛细管电泳技术。</w:t>
      </w:r>
      <w:r w:rsidR="00D32EA4">
        <w:rPr>
          <w:rFonts w:ascii="宋体" w:hAnsi="宋体" w:cs="宋体" w:hint="eastAsia"/>
          <w:sz w:val="24"/>
        </w:rPr>
        <w:t>多重定量PCR后芯片杂交技术</w:t>
      </w:r>
      <w:r w:rsidR="008A799A">
        <w:rPr>
          <w:rFonts w:ascii="宋体" w:hAnsi="宋体" w:cs="宋体" w:hint="eastAsia"/>
          <w:sz w:val="24"/>
        </w:rPr>
        <w:t>可以同时检测91个目标，然而，以芯片为基础的分析方法十分复杂且昂贵，在转基因检测的实际应用中是不现实的。</w:t>
      </w:r>
    </w:p>
    <w:p w:rsidR="008A799A" w:rsidRDefault="008A799A" w:rsidP="000A5AD3">
      <w:pPr>
        <w:spacing w:line="360" w:lineRule="auto"/>
        <w:ind w:firstLineChars="200" w:firstLine="480"/>
        <w:jc w:val="left"/>
        <w:rPr>
          <w:rFonts w:ascii="宋体" w:hAnsi="宋体" w:cs="宋体"/>
          <w:sz w:val="24"/>
        </w:rPr>
      </w:pPr>
      <w:r>
        <w:rPr>
          <w:rFonts w:ascii="宋体" w:hAnsi="宋体" w:cs="宋体" w:hint="eastAsia"/>
          <w:sz w:val="24"/>
        </w:rPr>
        <w:t>商业化</w:t>
      </w:r>
      <w:r w:rsidR="00D32EA4">
        <w:rPr>
          <w:rFonts w:ascii="宋体" w:hAnsi="宋体" w:cs="宋体" w:hint="eastAsia"/>
          <w:sz w:val="24"/>
        </w:rPr>
        <w:t>的预制</w:t>
      </w:r>
      <w:r>
        <w:rPr>
          <w:rFonts w:ascii="宋体" w:hAnsi="宋体" w:cs="宋体" w:hint="eastAsia"/>
          <w:sz w:val="24"/>
        </w:rPr>
        <w:t>实时PCR</w:t>
      </w:r>
      <w:r w:rsidR="00D32EA4">
        <w:rPr>
          <w:rFonts w:ascii="宋体" w:hAnsi="宋体" w:cs="宋体" w:hint="eastAsia"/>
          <w:sz w:val="24"/>
        </w:rPr>
        <w:t>芯片</w:t>
      </w:r>
      <w:r>
        <w:rPr>
          <w:rFonts w:ascii="宋体" w:hAnsi="宋体" w:cs="宋体" w:hint="eastAsia"/>
          <w:sz w:val="24"/>
        </w:rPr>
        <w:t>通常是96孔或者384孔，里面预埋了引物与探针，因此，可以同时检测多个目标。例如，Joint Reaseach Centre开发的实时PCR为基础的96孔板可以同时分析2个样本的48个目标。也开发了384孔板，用于分析7个样本中的47个目标，且可以重复2次。一般来说，如果需要分析多个目标，配制好的多重PCR体系只能分析少数几个样本。</w:t>
      </w:r>
    </w:p>
    <w:p w:rsidR="001F4983" w:rsidRPr="001F4983" w:rsidRDefault="00207D02" w:rsidP="000A5AD3">
      <w:pPr>
        <w:spacing w:line="360" w:lineRule="auto"/>
        <w:ind w:firstLineChars="200" w:firstLine="480"/>
        <w:jc w:val="left"/>
        <w:rPr>
          <w:rFonts w:ascii="宋体" w:hAnsi="宋体" w:cs="宋体"/>
          <w:sz w:val="24"/>
        </w:rPr>
      </w:pPr>
      <w:r>
        <w:rPr>
          <w:rFonts w:ascii="宋体" w:hAnsi="宋体" w:cs="宋体" w:hint="eastAsia"/>
          <w:sz w:val="24"/>
        </w:rPr>
        <w:t>（二）</w:t>
      </w:r>
      <w:r w:rsidR="001F4983">
        <w:rPr>
          <w:rFonts w:ascii="宋体" w:hAnsi="宋体" w:cs="宋体" w:hint="eastAsia"/>
          <w:sz w:val="24"/>
        </w:rPr>
        <w:t>存在的问题</w:t>
      </w:r>
    </w:p>
    <w:p w:rsidR="00B734EB" w:rsidRDefault="00207D02" w:rsidP="000A5AD3">
      <w:pPr>
        <w:spacing w:line="360" w:lineRule="auto"/>
        <w:ind w:firstLineChars="200" w:firstLine="480"/>
        <w:jc w:val="left"/>
        <w:rPr>
          <w:rFonts w:ascii="宋体" w:hAnsi="宋体" w:cs="宋体"/>
          <w:sz w:val="24"/>
        </w:rPr>
      </w:pPr>
      <w:r>
        <w:rPr>
          <w:rFonts w:ascii="宋体" w:hAnsi="宋体" w:cs="宋体" w:hint="eastAsia"/>
          <w:sz w:val="24"/>
        </w:rPr>
        <w:t>大部分转基因元件，都起源于微生物，而在植物生长的过程中，微生物可能感染植物，</w:t>
      </w:r>
      <w:r w:rsidR="00B734EB">
        <w:rPr>
          <w:rFonts w:ascii="宋体" w:hAnsi="宋体" w:cs="宋体" w:hint="eastAsia"/>
          <w:sz w:val="24"/>
        </w:rPr>
        <w:t>导致</w:t>
      </w:r>
      <w:r>
        <w:rPr>
          <w:rFonts w:ascii="宋体" w:hAnsi="宋体" w:cs="宋体" w:hint="eastAsia"/>
          <w:sz w:val="24"/>
        </w:rPr>
        <w:t>检出</w:t>
      </w:r>
      <w:r w:rsidR="00B734EB">
        <w:rPr>
          <w:rFonts w:ascii="宋体" w:hAnsi="宋体" w:cs="宋体" w:hint="eastAsia"/>
          <w:sz w:val="24"/>
        </w:rPr>
        <w:t>的</w:t>
      </w:r>
      <w:r>
        <w:rPr>
          <w:rFonts w:ascii="宋体" w:hAnsi="宋体" w:cs="宋体" w:hint="eastAsia"/>
          <w:sz w:val="24"/>
        </w:rPr>
        <w:t>转基因元件</w:t>
      </w:r>
      <w:r w:rsidR="00B734EB">
        <w:rPr>
          <w:rFonts w:ascii="宋体" w:hAnsi="宋体" w:cs="宋体" w:hint="eastAsia"/>
          <w:sz w:val="24"/>
        </w:rPr>
        <w:t>即可能是</w:t>
      </w:r>
      <w:r>
        <w:rPr>
          <w:rFonts w:ascii="宋体" w:hAnsi="宋体" w:cs="宋体" w:hint="eastAsia"/>
          <w:sz w:val="24"/>
        </w:rPr>
        <w:t>转基因</w:t>
      </w:r>
      <w:r w:rsidR="00B734EB">
        <w:rPr>
          <w:rFonts w:ascii="宋体" w:hAnsi="宋体" w:cs="宋体" w:hint="eastAsia"/>
          <w:sz w:val="24"/>
        </w:rPr>
        <w:t>成份也可能是微生物基因，因此转基因元件检测只能作物转基因产品的</w:t>
      </w:r>
      <w:r>
        <w:rPr>
          <w:rFonts w:ascii="宋体" w:hAnsi="宋体" w:cs="宋体" w:hint="eastAsia"/>
          <w:sz w:val="24"/>
        </w:rPr>
        <w:t>筛选</w:t>
      </w:r>
      <w:r w:rsidR="00B734EB">
        <w:rPr>
          <w:rFonts w:ascii="宋体" w:hAnsi="宋体" w:cs="宋体" w:hint="eastAsia"/>
          <w:sz w:val="24"/>
        </w:rPr>
        <w:t>手段，</w:t>
      </w:r>
      <w:r>
        <w:rPr>
          <w:rFonts w:ascii="宋体" w:hAnsi="宋体" w:cs="宋体" w:hint="eastAsia"/>
          <w:sz w:val="24"/>
        </w:rPr>
        <w:t>还需要</w:t>
      </w:r>
      <w:r w:rsidR="00D85516">
        <w:rPr>
          <w:rFonts w:ascii="宋体" w:hAnsi="宋体" w:cs="宋体" w:hint="eastAsia"/>
          <w:sz w:val="24"/>
        </w:rPr>
        <w:t>根据</w:t>
      </w:r>
      <w:r>
        <w:rPr>
          <w:rFonts w:ascii="宋体" w:hAnsi="宋体" w:cs="宋体" w:hint="eastAsia"/>
          <w:sz w:val="24"/>
        </w:rPr>
        <w:t>转基因事件检测进行确定。</w:t>
      </w:r>
      <w:r w:rsidR="00B734EB">
        <w:rPr>
          <w:rFonts w:ascii="宋体" w:hAnsi="宋体" w:cs="宋体" w:hint="eastAsia"/>
          <w:sz w:val="24"/>
        </w:rPr>
        <w:t>由此，产生了以下严重的问题：</w:t>
      </w:r>
    </w:p>
    <w:p w:rsidR="00303B03" w:rsidRPr="00B734EB" w:rsidRDefault="00F255F9" w:rsidP="00B734EB">
      <w:pPr>
        <w:pStyle w:val="a9"/>
        <w:numPr>
          <w:ilvl w:val="0"/>
          <w:numId w:val="5"/>
        </w:numPr>
        <w:spacing w:line="360" w:lineRule="auto"/>
        <w:ind w:firstLineChars="0"/>
        <w:jc w:val="left"/>
        <w:rPr>
          <w:rFonts w:ascii="宋体" w:hAnsi="宋体" w:cs="宋体"/>
          <w:sz w:val="24"/>
        </w:rPr>
      </w:pPr>
      <w:r w:rsidRPr="00B734EB">
        <w:rPr>
          <w:rFonts w:ascii="宋体" w:hAnsi="宋体" w:cs="宋体" w:hint="eastAsia"/>
          <w:sz w:val="24"/>
        </w:rPr>
        <w:t>筛选实验</w:t>
      </w:r>
      <w:r w:rsidR="00B734EB" w:rsidRPr="00B734EB">
        <w:rPr>
          <w:rFonts w:ascii="宋体" w:hAnsi="宋体" w:cs="宋体" w:hint="eastAsia"/>
          <w:sz w:val="24"/>
        </w:rPr>
        <w:t>显著</w:t>
      </w:r>
      <w:r w:rsidRPr="00B734EB">
        <w:rPr>
          <w:rFonts w:ascii="宋体" w:hAnsi="宋体" w:cs="宋体" w:hint="eastAsia"/>
          <w:sz w:val="24"/>
        </w:rPr>
        <w:t>增加了</w:t>
      </w:r>
      <w:r w:rsidR="00B734EB" w:rsidRPr="00B734EB">
        <w:rPr>
          <w:rFonts w:ascii="宋体" w:hAnsi="宋体" w:cs="宋体" w:hint="eastAsia"/>
          <w:sz w:val="24"/>
        </w:rPr>
        <w:t>转基因产品检测</w:t>
      </w:r>
      <w:r w:rsidRPr="00B734EB">
        <w:rPr>
          <w:rFonts w:ascii="宋体" w:hAnsi="宋体" w:cs="宋体" w:hint="eastAsia"/>
          <w:sz w:val="24"/>
        </w:rPr>
        <w:t>成本</w:t>
      </w:r>
      <w:r w:rsidR="00B734EB" w:rsidRPr="00B734EB">
        <w:rPr>
          <w:rFonts w:ascii="宋体" w:hAnsi="宋体" w:cs="宋体" w:hint="eastAsia"/>
          <w:sz w:val="24"/>
        </w:rPr>
        <w:t>与</w:t>
      </w:r>
      <w:r w:rsidR="00303B03" w:rsidRPr="00B734EB">
        <w:rPr>
          <w:rFonts w:ascii="宋体" w:hAnsi="宋体" w:cs="宋体" w:hint="eastAsia"/>
          <w:sz w:val="24"/>
        </w:rPr>
        <w:t>时间</w:t>
      </w:r>
      <w:r w:rsidR="00B734EB" w:rsidRPr="00B734EB">
        <w:rPr>
          <w:rFonts w:ascii="宋体" w:hAnsi="宋体" w:cs="宋体" w:hint="eastAsia"/>
          <w:sz w:val="24"/>
        </w:rPr>
        <w:t>；</w:t>
      </w:r>
    </w:p>
    <w:p w:rsidR="00B734EB" w:rsidRDefault="00B734EB" w:rsidP="00B734EB">
      <w:pPr>
        <w:pStyle w:val="a9"/>
        <w:numPr>
          <w:ilvl w:val="0"/>
          <w:numId w:val="5"/>
        </w:numPr>
        <w:spacing w:line="360" w:lineRule="auto"/>
        <w:ind w:firstLineChars="0"/>
        <w:jc w:val="left"/>
        <w:rPr>
          <w:rFonts w:ascii="宋体" w:hAnsi="宋体" w:cs="宋体"/>
          <w:sz w:val="24"/>
        </w:rPr>
      </w:pPr>
      <w:r>
        <w:rPr>
          <w:rFonts w:ascii="宋体" w:hAnsi="宋体" w:cs="宋体" w:hint="eastAsia"/>
          <w:sz w:val="24"/>
        </w:rPr>
        <w:t>无法鉴定未知的转基因事件的产品；</w:t>
      </w:r>
    </w:p>
    <w:p w:rsidR="00B734EB" w:rsidRPr="00B734EB" w:rsidRDefault="00B734EB" w:rsidP="00B734EB">
      <w:pPr>
        <w:pStyle w:val="a9"/>
        <w:numPr>
          <w:ilvl w:val="0"/>
          <w:numId w:val="5"/>
        </w:numPr>
        <w:spacing w:line="360" w:lineRule="auto"/>
        <w:ind w:firstLineChars="0"/>
        <w:jc w:val="left"/>
        <w:rPr>
          <w:rFonts w:ascii="宋体" w:hAnsi="宋体" w:cs="宋体"/>
          <w:sz w:val="24"/>
        </w:rPr>
      </w:pPr>
      <w:r>
        <w:rPr>
          <w:rFonts w:ascii="宋体" w:hAnsi="宋体" w:cs="宋体" w:hint="eastAsia"/>
          <w:sz w:val="24"/>
        </w:rPr>
        <w:t>已有的转基因事件数量宠大，</w:t>
      </w:r>
      <w:r w:rsidR="00250E98">
        <w:rPr>
          <w:rFonts w:ascii="宋体" w:hAnsi="宋体" w:cs="宋体" w:hint="eastAsia"/>
          <w:sz w:val="24"/>
        </w:rPr>
        <w:t>且每次检测一种转基因事件，</w:t>
      </w:r>
      <w:r>
        <w:rPr>
          <w:rFonts w:ascii="宋体" w:hAnsi="宋体" w:cs="宋体" w:hint="eastAsia"/>
          <w:sz w:val="24"/>
        </w:rPr>
        <w:t>若</w:t>
      </w:r>
      <w:r w:rsidR="0068278E">
        <w:rPr>
          <w:rFonts w:ascii="宋体" w:hAnsi="宋体" w:cs="宋体" w:hint="eastAsia"/>
          <w:sz w:val="24"/>
        </w:rPr>
        <w:t>需要证明产品为非转基因产品，需要做大量的检测，不具有现实可行性，但</w:t>
      </w:r>
      <w:r w:rsidR="00250E98">
        <w:rPr>
          <w:rFonts w:ascii="宋体" w:hAnsi="宋体" w:cs="宋体" w:hint="eastAsia"/>
          <w:sz w:val="24"/>
        </w:rPr>
        <w:t>是否为转基因产品</w:t>
      </w:r>
      <w:r w:rsidR="0068278E">
        <w:rPr>
          <w:rFonts w:ascii="宋体" w:hAnsi="宋体" w:cs="宋体" w:hint="eastAsia"/>
          <w:sz w:val="24"/>
        </w:rPr>
        <w:t>又恰恰是公众与管理部门关心的</w:t>
      </w:r>
      <w:r w:rsidR="00250E98">
        <w:rPr>
          <w:rFonts w:ascii="宋体" w:hAnsi="宋体" w:cs="宋体" w:hint="eastAsia"/>
          <w:sz w:val="24"/>
        </w:rPr>
        <w:t>核心</w:t>
      </w:r>
      <w:r w:rsidR="0068278E">
        <w:rPr>
          <w:rFonts w:ascii="宋体" w:hAnsi="宋体" w:cs="宋体" w:hint="eastAsia"/>
          <w:sz w:val="24"/>
        </w:rPr>
        <w:t>问题。</w:t>
      </w:r>
    </w:p>
    <w:p w:rsidR="00250E98" w:rsidRDefault="00303B03" w:rsidP="000A5AD3">
      <w:pPr>
        <w:spacing w:line="360" w:lineRule="auto"/>
        <w:ind w:firstLineChars="200" w:firstLine="480"/>
        <w:jc w:val="left"/>
        <w:rPr>
          <w:rFonts w:ascii="宋体" w:hAnsi="宋体" w:cs="宋体"/>
          <w:sz w:val="24"/>
        </w:rPr>
      </w:pPr>
      <w:r>
        <w:rPr>
          <w:rFonts w:ascii="宋体" w:hAnsi="宋体" w:cs="宋体" w:hint="eastAsia"/>
          <w:sz w:val="24"/>
        </w:rPr>
        <w:t>现有的转基因检测方法都是基于PCR反应进行的，PCR产物形成的气溶胶可能污染实</w:t>
      </w:r>
      <w:r>
        <w:rPr>
          <w:rFonts w:ascii="宋体" w:hAnsi="宋体" w:cs="宋体" w:hint="eastAsia"/>
          <w:sz w:val="24"/>
        </w:rPr>
        <w:lastRenderedPageBreak/>
        <w:t>验室。</w:t>
      </w:r>
      <w:r w:rsidR="00250E98">
        <w:rPr>
          <w:rFonts w:ascii="宋体" w:hAnsi="宋体" w:cs="宋体" w:hint="eastAsia"/>
          <w:sz w:val="24"/>
        </w:rPr>
        <w:t>由此产生以下问题：</w:t>
      </w:r>
    </w:p>
    <w:p w:rsidR="00250E98" w:rsidRPr="00250E98" w:rsidRDefault="00303B03" w:rsidP="00250E98">
      <w:pPr>
        <w:pStyle w:val="a9"/>
        <w:numPr>
          <w:ilvl w:val="0"/>
          <w:numId w:val="6"/>
        </w:numPr>
        <w:spacing w:line="360" w:lineRule="auto"/>
        <w:ind w:firstLineChars="0"/>
        <w:jc w:val="left"/>
        <w:rPr>
          <w:rFonts w:ascii="宋体" w:hAnsi="宋体" w:cs="宋体"/>
          <w:sz w:val="24"/>
        </w:rPr>
      </w:pPr>
      <w:r w:rsidRPr="00250E98">
        <w:rPr>
          <w:rFonts w:ascii="宋体" w:hAnsi="宋体" w:cs="宋体" w:hint="eastAsia"/>
          <w:sz w:val="24"/>
        </w:rPr>
        <w:t>转基因检测的实验室</w:t>
      </w:r>
      <w:r w:rsidR="00250E98" w:rsidRPr="00250E98">
        <w:rPr>
          <w:rFonts w:ascii="宋体" w:hAnsi="宋体" w:cs="宋体" w:hint="eastAsia"/>
          <w:sz w:val="24"/>
        </w:rPr>
        <w:t>防污染级别</w:t>
      </w:r>
      <w:r w:rsidRPr="00250E98">
        <w:rPr>
          <w:rFonts w:ascii="宋体" w:hAnsi="宋体" w:cs="宋体" w:hint="eastAsia"/>
          <w:sz w:val="24"/>
        </w:rPr>
        <w:t>要求很高</w:t>
      </w:r>
      <w:r w:rsidR="00250E98">
        <w:rPr>
          <w:rFonts w:ascii="宋体" w:hAnsi="宋体" w:cs="宋体" w:hint="eastAsia"/>
          <w:sz w:val="24"/>
        </w:rPr>
        <w:t>；</w:t>
      </w:r>
    </w:p>
    <w:p w:rsidR="00250E98" w:rsidRDefault="00303B03" w:rsidP="00250E98">
      <w:pPr>
        <w:pStyle w:val="a9"/>
        <w:numPr>
          <w:ilvl w:val="0"/>
          <w:numId w:val="6"/>
        </w:numPr>
        <w:spacing w:line="360" w:lineRule="auto"/>
        <w:ind w:firstLineChars="0"/>
        <w:jc w:val="left"/>
        <w:rPr>
          <w:rFonts w:ascii="宋体" w:hAnsi="宋体" w:cs="宋体"/>
          <w:sz w:val="24"/>
        </w:rPr>
      </w:pPr>
      <w:r w:rsidRPr="00250E98">
        <w:rPr>
          <w:rFonts w:ascii="宋体" w:hAnsi="宋体" w:cs="宋体" w:hint="eastAsia"/>
          <w:sz w:val="24"/>
        </w:rPr>
        <w:t>实验人员</w:t>
      </w:r>
      <w:r w:rsidR="00250E98">
        <w:rPr>
          <w:rFonts w:ascii="宋体" w:hAnsi="宋体" w:cs="宋体" w:hint="eastAsia"/>
          <w:sz w:val="24"/>
        </w:rPr>
        <w:t>防污染</w:t>
      </w:r>
      <w:r w:rsidRPr="00250E98">
        <w:rPr>
          <w:rFonts w:ascii="宋体" w:hAnsi="宋体" w:cs="宋体" w:hint="eastAsia"/>
          <w:sz w:val="24"/>
        </w:rPr>
        <w:t>操作要求严格</w:t>
      </w:r>
      <w:r w:rsidR="00250E98">
        <w:rPr>
          <w:rFonts w:ascii="宋体" w:hAnsi="宋体" w:cs="宋体" w:hint="eastAsia"/>
          <w:sz w:val="24"/>
        </w:rPr>
        <w:t>；</w:t>
      </w:r>
    </w:p>
    <w:p w:rsidR="00303B03" w:rsidRPr="00250E98" w:rsidRDefault="00303B03" w:rsidP="00250E98">
      <w:pPr>
        <w:pStyle w:val="a9"/>
        <w:numPr>
          <w:ilvl w:val="0"/>
          <w:numId w:val="6"/>
        </w:numPr>
        <w:spacing w:line="360" w:lineRule="auto"/>
        <w:ind w:firstLineChars="0"/>
        <w:jc w:val="left"/>
        <w:rPr>
          <w:rFonts w:ascii="宋体" w:hAnsi="宋体" w:cs="宋体"/>
          <w:sz w:val="24"/>
        </w:rPr>
      </w:pPr>
      <w:r w:rsidRPr="00250E98">
        <w:rPr>
          <w:rFonts w:ascii="宋体" w:hAnsi="宋体" w:cs="宋体" w:hint="eastAsia"/>
          <w:sz w:val="24"/>
        </w:rPr>
        <w:t>转基因检测的假阳性</w:t>
      </w:r>
      <w:r w:rsidR="00250E98">
        <w:rPr>
          <w:rFonts w:ascii="宋体" w:hAnsi="宋体" w:cs="宋体" w:hint="eastAsia"/>
          <w:sz w:val="24"/>
        </w:rPr>
        <w:t>无法彻底避免</w:t>
      </w:r>
      <w:r w:rsidRPr="00250E98">
        <w:rPr>
          <w:rFonts w:ascii="宋体" w:hAnsi="宋体" w:cs="宋体" w:hint="eastAsia"/>
          <w:sz w:val="24"/>
        </w:rPr>
        <w:t>。</w:t>
      </w:r>
    </w:p>
    <w:p w:rsidR="00303B03" w:rsidRDefault="00250E98" w:rsidP="000A5AD3">
      <w:pPr>
        <w:spacing w:line="360" w:lineRule="auto"/>
        <w:ind w:firstLineChars="200" w:firstLine="480"/>
        <w:jc w:val="left"/>
        <w:rPr>
          <w:rFonts w:ascii="宋体" w:hAnsi="宋体" w:cs="宋体"/>
          <w:sz w:val="24"/>
        </w:rPr>
      </w:pPr>
      <w:r>
        <w:rPr>
          <w:rFonts w:ascii="宋体" w:hAnsi="宋体" w:cs="宋体" w:hint="eastAsia"/>
          <w:sz w:val="24"/>
        </w:rPr>
        <w:t>最后，</w:t>
      </w:r>
      <w:r w:rsidR="00303B03">
        <w:rPr>
          <w:rFonts w:ascii="宋体" w:hAnsi="宋体" w:cs="宋体" w:hint="eastAsia"/>
          <w:sz w:val="24"/>
        </w:rPr>
        <w:t>现有的转基因检测方法大多为定性检测方法，即使只有0.1%以</w:t>
      </w:r>
      <w:r w:rsidR="009E753B">
        <w:rPr>
          <w:rFonts w:ascii="宋体" w:hAnsi="宋体" w:cs="宋体" w:hint="eastAsia"/>
          <w:sz w:val="24"/>
        </w:rPr>
        <w:t>下</w:t>
      </w:r>
      <w:r w:rsidR="00303B03">
        <w:rPr>
          <w:rFonts w:ascii="宋体" w:hAnsi="宋体" w:cs="宋体" w:hint="eastAsia"/>
          <w:sz w:val="24"/>
        </w:rPr>
        <w:t>的转基因成份，也会按照100%的转基因成份等同对待，导致争议。</w:t>
      </w:r>
    </w:p>
    <w:p w:rsidR="00303B03" w:rsidRPr="008F5904" w:rsidRDefault="00303B03" w:rsidP="000A5AD3">
      <w:pPr>
        <w:spacing w:line="360" w:lineRule="auto"/>
        <w:ind w:firstLineChars="200" w:firstLine="480"/>
        <w:jc w:val="left"/>
        <w:rPr>
          <w:rFonts w:ascii="宋体" w:hAnsi="宋体" w:cs="宋体"/>
          <w:sz w:val="24"/>
        </w:rPr>
      </w:pPr>
      <w:r>
        <w:rPr>
          <w:rFonts w:ascii="宋体" w:hAnsi="宋体" w:cs="宋体" w:hint="eastAsia"/>
          <w:sz w:val="24"/>
        </w:rPr>
        <w:t>（三）项目的意义</w:t>
      </w:r>
    </w:p>
    <w:p w:rsidR="0051121D" w:rsidRDefault="00D85516" w:rsidP="0051121D">
      <w:pPr>
        <w:spacing w:line="360" w:lineRule="auto"/>
        <w:ind w:firstLineChars="236" w:firstLine="566"/>
        <w:jc w:val="left"/>
        <w:rPr>
          <w:rFonts w:asciiTheme="minorEastAsia" w:hAnsiTheme="minorEastAsia"/>
          <w:sz w:val="24"/>
          <w:szCs w:val="24"/>
        </w:rPr>
      </w:pPr>
      <w:r>
        <w:rPr>
          <w:rFonts w:ascii="宋体" w:hAnsi="宋体" w:cs="宋体" w:hint="eastAsia"/>
          <w:sz w:val="24"/>
        </w:rPr>
        <w:t>为了解决</w:t>
      </w:r>
      <w:r w:rsidR="0051121D">
        <w:rPr>
          <w:rFonts w:ascii="宋体" w:hAnsi="宋体" w:cs="宋体" w:hint="eastAsia"/>
          <w:sz w:val="24"/>
        </w:rPr>
        <w:t>现有的转基因检测</w:t>
      </w:r>
      <w:r>
        <w:rPr>
          <w:rFonts w:ascii="宋体" w:hAnsi="宋体" w:cs="宋体" w:hint="eastAsia"/>
          <w:sz w:val="24"/>
        </w:rPr>
        <w:t>技术</w:t>
      </w:r>
      <w:r w:rsidR="0051121D">
        <w:rPr>
          <w:rFonts w:ascii="宋体" w:hAnsi="宋体" w:cs="宋体" w:hint="eastAsia"/>
          <w:sz w:val="24"/>
        </w:rPr>
        <w:t>存在的问题，本标准综合了分子杂交技术、高通量测序技术与生物信息学技术，采用目标区域测序法对转基因产品进行检测。在目标区域测序法中，</w:t>
      </w:r>
      <w:r w:rsidR="0051121D">
        <w:rPr>
          <w:rFonts w:asciiTheme="minorEastAsia" w:hAnsiTheme="minorEastAsia" w:hint="eastAsia"/>
          <w:sz w:val="24"/>
          <w:szCs w:val="24"/>
        </w:rPr>
        <w:t>外源基因定性与定量鉴定流程如下：第一步，将样品基因组DNA破碎后连接带有样品条形码和随机条形码的接头；第二步，对连接产物进行PCR扩增；第三步，利用探针捕获扩增产物；第四步，利用带有测序接头的引物扩增捕获产物构建文库；第五步，利用二代高通量测序技术对文库进行高通量测序；最后一步，利用软件对测序数据进行质量控制并获得鉴定结果。</w:t>
      </w:r>
    </w:p>
    <w:p w:rsidR="00E07209" w:rsidRPr="00195444" w:rsidRDefault="00D85516" w:rsidP="00195444">
      <w:pPr>
        <w:spacing w:line="360" w:lineRule="auto"/>
        <w:ind w:firstLineChars="236" w:firstLine="566"/>
        <w:jc w:val="left"/>
        <w:rPr>
          <w:rFonts w:asciiTheme="minorEastAsia" w:hAnsiTheme="minorEastAsia"/>
          <w:sz w:val="24"/>
          <w:szCs w:val="24"/>
        </w:rPr>
      </w:pPr>
      <w:r>
        <w:rPr>
          <w:rFonts w:asciiTheme="minorEastAsia" w:hAnsiTheme="minorEastAsia" w:hint="eastAsia"/>
          <w:sz w:val="24"/>
          <w:szCs w:val="24"/>
        </w:rPr>
        <w:t>目标区域测序法改进了现有的转基因检测方法的</w:t>
      </w:r>
      <w:r w:rsidR="00250E98">
        <w:rPr>
          <w:rFonts w:asciiTheme="minorEastAsia" w:hAnsiTheme="minorEastAsia" w:hint="eastAsia"/>
          <w:sz w:val="24"/>
          <w:szCs w:val="24"/>
        </w:rPr>
        <w:t>上述</w:t>
      </w:r>
      <w:r>
        <w:rPr>
          <w:rFonts w:asciiTheme="minorEastAsia" w:hAnsiTheme="minorEastAsia" w:hint="eastAsia"/>
          <w:sz w:val="24"/>
          <w:szCs w:val="24"/>
        </w:rPr>
        <w:t>局限，包括不同同检测多种外源基因的问题、不能检测新的转基因事件的问题、不能依据转基因元件确认转基因</w:t>
      </w:r>
      <w:r w:rsidR="00250E98">
        <w:rPr>
          <w:rFonts w:asciiTheme="minorEastAsia" w:hAnsiTheme="minorEastAsia" w:hint="eastAsia"/>
          <w:sz w:val="24"/>
          <w:szCs w:val="24"/>
        </w:rPr>
        <w:t>产</w:t>
      </w:r>
      <w:r>
        <w:rPr>
          <w:rFonts w:asciiTheme="minorEastAsia" w:hAnsiTheme="minorEastAsia" w:hint="eastAsia"/>
          <w:sz w:val="24"/>
          <w:szCs w:val="24"/>
        </w:rPr>
        <w:t>品的问题，不能检测多种混合生物产品的问题、</w:t>
      </w:r>
      <w:r w:rsidR="00250E98">
        <w:rPr>
          <w:rFonts w:asciiTheme="minorEastAsia" w:hAnsiTheme="minorEastAsia" w:hint="eastAsia"/>
          <w:sz w:val="24"/>
          <w:szCs w:val="24"/>
        </w:rPr>
        <w:t>不同外源基因</w:t>
      </w:r>
      <w:r>
        <w:rPr>
          <w:rFonts w:asciiTheme="minorEastAsia" w:hAnsiTheme="minorEastAsia" w:hint="eastAsia"/>
          <w:sz w:val="24"/>
          <w:szCs w:val="24"/>
        </w:rPr>
        <w:t>方法不能通用的问题、测试样本生物污染造成的假阳性问题、气溶胶污染造成的假阳性问题和转基因成份的定量检测问题。</w:t>
      </w:r>
      <w:r w:rsidR="00915FF6">
        <w:rPr>
          <w:rFonts w:ascii="宋体" w:hAnsi="宋体" w:cs="宋体" w:hint="eastAsia"/>
          <w:sz w:val="24"/>
        </w:rPr>
        <w:t>总之，</w:t>
      </w:r>
      <w:r w:rsidR="0025639E">
        <w:rPr>
          <w:rFonts w:ascii="宋体" w:hAnsi="宋体" w:cs="宋体" w:hint="eastAsia"/>
          <w:sz w:val="24"/>
        </w:rPr>
        <w:t>本标准</w:t>
      </w:r>
      <w:r w:rsidR="007D1019">
        <w:rPr>
          <w:rFonts w:ascii="宋体" w:hAnsi="宋体" w:cs="宋体" w:hint="eastAsia"/>
          <w:sz w:val="24"/>
        </w:rPr>
        <w:t>的目的是建立适用于所有多种植物</w:t>
      </w:r>
      <w:r w:rsidR="000A5AD3">
        <w:rPr>
          <w:rFonts w:ascii="宋体" w:hAnsi="宋体" w:cs="宋体" w:hint="eastAsia"/>
          <w:sz w:val="24"/>
        </w:rPr>
        <w:t>转基因检测</w:t>
      </w:r>
      <w:r w:rsidR="007D1019">
        <w:rPr>
          <w:rFonts w:ascii="宋体" w:hAnsi="宋体" w:cs="宋体" w:hint="eastAsia"/>
          <w:sz w:val="24"/>
        </w:rPr>
        <w:t>的准确</w:t>
      </w:r>
      <w:r w:rsidR="00915FF6">
        <w:rPr>
          <w:rFonts w:ascii="宋体" w:hAnsi="宋体" w:cs="宋体" w:hint="eastAsia"/>
          <w:sz w:val="24"/>
        </w:rPr>
        <w:t>、高通量、简单、快捷且</w:t>
      </w:r>
      <w:r w:rsidR="000A5AD3">
        <w:rPr>
          <w:rFonts w:ascii="宋体" w:hAnsi="宋体" w:cs="宋体" w:hint="eastAsia"/>
          <w:sz w:val="24"/>
        </w:rPr>
        <w:t>定量</w:t>
      </w:r>
      <w:r w:rsidR="007D1019">
        <w:rPr>
          <w:rFonts w:ascii="宋体" w:hAnsi="宋体" w:cs="宋体" w:hint="eastAsia"/>
          <w:sz w:val="24"/>
        </w:rPr>
        <w:t>鉴定</w:t>
      </w:r>
      <w:r w:rsidR="00915FF6">
        <w:rPr>
          <w:rFonts w:ascii="宋体" w:hAnsi="宋体" w:cs="宋体" w:hint="eastAsia"/>
          <w:sz w:val="24"/>
        </w:rPr>
        <w:t>标准</w:t>
      </w:r>
      <w:r w:rsidR="007D1019">
        <w:rPr>
          <w:rFonts w:ascii="宋体" w:hAnsi="宋体" w:cs="宋体" w:hint="eastAsia"/>
          <w:sz w:val="24"/>
        </w:rPr>
        <w:t>方法，</w:t>
      </w:r>
      <w:r w:rsidR="000A5AD3">
        <w:rPr>
          <w:rFonts w:ascii="宋体" w:hAnsi="宋体" w:cs="宋体" w:hint="eastAsia"/>
          <w:sz w:val="24"/>
        </w:rPr>
        <w:t>对食品安全、</w:t>
      </w:r>
      <w:r w:rsidR="009A0777">
        <w:rPr>
          <w:rFonts w:ascii="宋体" w:hAnsi="宋体" w:cs="宋体" w:hint="eastAsia"/>
          <w:sz w:val="24"/>
        </w:rPr>
        <w:t>环境安全、</w:t>
      </w:r>
      <w:r w:rsidR="000A5AD3">
        <w:rPr>
          <w:rFonts w:ascii="宋体" w:hAnsi="宋体" w:cs="宋体" w:hint="eastAsia"/>
          <w:sz w:val="24"/>
        </w:rPr>
        <w:t>转基因安全管理等具有重要意义</w:t>
      </w:r>
      <w:r w:rsidR="007D1019">
        <w:rPr>
          <w:rFonts w:ascii="宋体" w:hAnsi="宋体" w:cs="宋体" w:hint="eastAsia"/>
          <w:sz w:val="24"/>
        </w:rPr>
        <w:t>。</w:t>
      </w:r>
    </w:p>
    <w:p w:rsidR="004A7C1F" w:rsidRDefault="007D1019" w:rsidP="00025526">
      <w:pPr>
        <w:spacing w:beforeLines="50" w:line="360" w:lineRule="auto"/>
        <w:rPr>
          <w:rFonts w:ascii="黑体" w:eastAsia="黑体" w:hAnsi="金山简标宋"/>
          <w:sz w:val="24"/>
        </w:rPr>
      </w:pPr>
      <w:r>
        <w:rPr>
          <w:rFonts w:ascii="黑体" w:eastAsia="黑体" w:hAnsi="金山简标宋" w:hint="eastAsia"/>
          <w:sz w:val="24"/>
        </w:rPr>
        <w:t>三、标准制定原则</w:t>
      </w:r>
    </w:p>
    <w:p w:rsidR="004A7C1F" w:rsidRPr="004A7C1F" w:rsidRDefault="007D1019" w:rsidP="00025526">
      <w:pPr>
        <w:spacing w:beforeLines="50" w:line="360" w:lineRule="auto"/>
        <w:ind w:firstLineChars="196" w:firstLine="472"/>
        <w:rPr>
          <w:rFonts w:ascii="宋体" w:hAnsi="宋体"/>
          <w:b/>
          <w:bCs/>
          <w:sz w:val="24"/>
          <w:szCs w:val="24"/>
        </w:rPr>
      </w:pPr>
      <w:r>
        <w:rPr>
          <w:rFonts w:ascii="宋体" w:hAnsi="宋体" w:hint="eastAsia"/>
          <w:b/>
          <w:bCs/>
          <w:sz w:val="24"/>
          <w:szCs w:val="24"/>
        </w:rPr>
        <w:t>（一）标准编制原则</w:t>
      </w:r>
    </w:p>
    <w:p w:rsidR="00E07209" w:rsidRDefault="0009391D" w:rsidP="00025526">
      <w:pPr>
        <w:spacing w:beforeLines="50" w:line="360" w:lineRule="auto"/>
        <w:ind w:firstLineChars="196" w:firstLine="470"/>
        <w:rPr>
          <w:rFonts w:ascii="宋体" w:hAnsi="金山简标宋"/>
          <w:sz w:val="24"/>
        </w:rPr>
      </w:pPr>
      <w:r>
        <w:rPr>
          <w:rFonts w:ascii="宋体" w:hAnsi="金山简标宋" w:hint="eastAsia"/>
          <w:sz w:val="24"/>
        </w:rPr>
        <w:t>1、科学性</w:t>
      </w:r>
    </w:p>
    <w:p w:rsidR="005F33BC" w:rsidRDefault="005F33BC">
      <w:pPr>
        <w:spacing w:line="360" w:lineRule="auto"/>
        <w:ind w:firstLineChars="200" w:firstLine="480"/>
        <w:rPr>
          <w:rFonts w:ascii="宋体" w:hAnsi="金山简标宋"/>
          <w:sz w:val="24"/>
        </w:rPr>
      </w:pPr>
      <w:r>
        <w:rPr>
          <w:rFonts w:ascii="宋体" w:hAnsi="金山简标宋" w:hint="eastAsia"/>
          <w:sz w:val="24"/>
        </w:rPr>
        <w:t>转基因鉴定结果往往是行政处罚的依据，</w:t>
      </w:r>
      <w:r w:rsidR="00E029CA">
        <w:rPr>
          <w:rFonts w:ascii="宋体" w:hAnsi="金山简标宋" w:hint="eastAsia"/>
          <w:sz w:val="24"/>
        </w:rPr>
        <w:t>方法的选择具备</w:t>
      </w:r>
      <w:r w:rsidR="0009391D">
        <w:rPr>
          <w:rFonts w:ascii="宋体" w:hAnsi="金山简标宋" w:hint="eastAsia"/>
          <w:sz w:val="24"/>
        </w:rPr>
        <w:t>科学性</w:t>
      </w:r>
      <w:r>
        <w:rPr>
          <w:rFonts w:ascii="宋体" w:hAnsi="金山简标宋" w:hint="eastAsia"/>
          <w:sz w:val="24"/>
        </w:rPr>
        <w:t>。</w:t>
      </w:r>
    </w:p>
    <w:p w:rsidR="00E07209" w:rsidRDefault="0009391D" w:rsidP="008F5904">
      <w:pPr>
        <w:spacing w:line="360" w:lineRule="auto"/>
        <w:ind w:firstLineChars="200" w:firstLine="480"/>
        <w:rPr>
          <w:rFonts w:ascii="宋体" w:hAnsi="金山简标宋"/>
          <w:sz w:val="24"/>
        </w:rPr>
      </w:pPr>
      <w:r>
        <w:rPr>
          <w:rFonts w:ascii="宋体" w:hAnsi="金山简标宋" w:hint="eastAsia"/>
          <w:sz w:val="24"/>
        </w:rPr>
        <w:t>2</w:t>
      </w:r>
      <w:r w:rsidR="00895801">
        <w:rPr>
          <w:rFonts w:ascii="宋体" w:hAnsi="金山简标宋" w:hint="eastAsia"/>
          <w:sz w:val="24"/>
        </w:rPr>
        <w:t>、</w:t>
      </w:r>
      <w:r w:rsidR="007D1019">
        <w:rPr>
          <w:rFonts w:ascii="宋体" w:hAnsi="金山简标宋" w:hint="eastAsia"/>
          <w:sz w:val="24"/>
        </w:rPr>
        <w:t>高效</w:t>
      </w:r>
      <w:r w:rsidR="00895801">
        <w:rPr>
          <w:rFonts w:ascii="宋体" w:hAnsi="金山简标宋" w:hint="eastAsia"/>
          <w:sz w:val="24"/>
        </w:rPr>
        <w:t>性</w:t>
      </w:r>
    </w:p>
    <w:p w:rsidR="005F33BC" w:rsidRDefault="005F33BC">
      <w:pPr>
        <w:spacing w:line="360" w:lineRule="auto"/>
        <w:ind w:firstLineChars="200" w:firstLine="480"/>
        <w:rPr>
          <w:rFonts w:ascii="宋体" w:hAnsi="金山简标宋"/>
          <w:sz w:val="24"/>
        </w:rPr>
      </w:pPr>
      <w:r>
        <w:rPr>
          <w:rFonts w:ascii="宋体" w:hAnsi="金山简标宋" w:hint="eastAsia"/>
          <w:sz w:val="24"/>
        </w:rPr>
        <w:t>海关或行政抽查，往往需要同时鉴定大批样品，</w:t>
      </w:r>
      <w:r w:rsidR="00DF130C">
        <w:rPr>
          <w:rFonts w:ascii="宋体" w:hAnsi="金山简标宋" w:hint="eastAsia"/>
          <w:sz w:val="24"/>
        </w:rPr>
        <w:t>标准操作</w:t>
      </w:r>
      <w:r>
        <w:rPr>
          <w:rFonts w:ascii="宋体" w:hAnsi="金山简标宋" w:hint="eastAsia"/>
          <w:sz w:val="24"/>
        </w:rPr>
        <w:t>需要</w:t>
      </w:r>
      <w:r w:rsidR="00DF130C">
        <w:rPr>
          <w:rFonts w:ascii="宋体" w:hAnsi="金山简标宋" w:hint="eastAsia"/>
          <w:sz w:val="24"/>
        </w:rPr>
        <w:t>遵循</w:t>
      </w:r>
      <w:r>
        <w:rPr>
          <w:rFonts w:ascii="宋体" w:hAnsi="金山简标宋" w:hint="eastAsia"/>
          <w:sz w:val="24"/>
        </w:rPr>
        <w:t>高效</w:t>
      </w:r>
      <w:r w:rsidR="00DF130C">
        <w:rPr>
          <w:rFonts w:ascii="宋体" w:hAnsi="金山简标宋" w:hint="eastAsia"/>
          <w:sz w:val="24"/>
        </w:rPr>
        <w:t>原则</w:t>
      </w:r>
      <w:r>
        <w:rPr>
          <w:rFonts w:ascii="宋体" w:hAnsi="金山简标宋" w:hint="eastAsia"/>
          <w:sz w:val="24"/>
        </w:rPr>
        <w:t>。</w:t>
      </w:r>
    </w:p>
    <w:p w:rsidR="00E07209" w:rsidRDefault="00895801" w:rsidP="008F5904">
      <w:pPr>
        <w:spacing w:line="360" w:lineRule="auto"/>
        <w:ind w:firstLineChars="200" w:firstLine="480"/>
        <w:rPr>
          <w:rFonts w:ascii="宋体" w:hAnsi="金山简标宋"/>
          <w:sz w:val="24"/>
        </w:rPr>
      </w:pPr>
      <w:r>
        <w:rPr>
          <w:rFonts w:ascii="宋体" w:hAnsi="金山简标宋" w:hint="eastAsia"/>
          <w:sz w:val="24"/>
        </w:rPr>
        <w:t>3、</w:t>
      </w:r>
      <w:r w:rsidR="007D1019">
        <w:rPr>
          <w:rFonts w:ascii="宋体" w:hAnsi="金山简标宋" w:hint="eastAsia"/>
          <w:sz w:val="24"/>
        </w:rPr>
        <w:t>通用</w:t>
      </w:r>
      <w:r>
        <w:rPr>
          <w:rFonts w:ascii="宋体" w:hAnsi="金山简标宋" w:hint="eastAsia"/>
          <w:sz w:val="24"/>
        </w:rPr>
        <w:t>性</w:t>
      </w:r>
    </w:p>
    <w:p w:rsidR="00E07209" w:rsidRDefault="005F33BC" w:rsidP="008F5904">
      <w:pPr>
        <w:spacing w:line="360" w:lineRule="auto"/>
        <w:ind w:firstLineChars="200" w:firstLine="480"/>
        <w:rPr>
          <w:rFonts w:ascii="宋体" w:hAnsi="金山简标宋"/>
          <w:sz w:val="24"/>
        </w:rPr>
      </w:pPr>
      <w:r>
        <w:rPr>
          <w:rFonts w:ascii="宋体" w:hAnsi="金山简标宋" w:hint="eastAsia"/>
          <w:sz w:val="24"/>
        </w:rPr>
        <w:t>现有的转基因鉴定标准中，不同外源基因成份采用不同的鉴定方法，极大地增加了鉴定工作量，本标准</w:t>
      </w:r>
      <w:r w:rsidR="00E029CA">
        <w:rPr>
          <w:rFonts w:ascii="宋体" w:hAnsi="金山简标宋" w:hint="eastAsia"/>
          <w:sz w:val="24"/>
        </w:rPr>
        <w:t>采用的方法具备</w:t>
      </w:r>
      <w:r>
        <w:rPr>
          <w:rFonts w:ascii="宋体" w:hAnsi="金山简标宋" w:hint="eastAsia"/>
          <w:sz w:val="24"/>
        </w:rPr>
        <w:t>通用</w:t>
      </w:r>
      <w:r w:rsidR="00E029CA">
        <w:rPr>
          <w:rFonts w:ascii="宋体" w:hAnsi="金山简标宋" w:hint="eastAsia"/>
          <w:sz w:val="24"/>
        </w:rPr>
        <w:t>性</w:t>
      </w:r>
      <w:r w:rsidR="007D1019">
        <w:rPr>
          <w:rFonts w:ascii="宋体" w:hAnsi="金山简标宋" w:hint="eastAsia"/>
          <w:sz w:val="24"/>
        </w:rPr>
        <w:t>。</w:t>
      </w:r>
    </w:p>
    <w:p w:rsidR="00E07209" w:rsidRDefault="007D1019" w:rsidP="008F5904">
      <w:pPr>
        <w:spacing w:line="360" w:lineRule="auto"/>
        <w:ind w:firstLineChars="200" w:firstLine="482"/>
        <w:rPr>
          <w:rFonts w:ascii="宋体" w:hAnsi="宋体"/>
          <w:b/>
          <w:bCs/>
          <w:sz w:val="24"/>
          <w:szCs w:val="24"/>
        </w:rPr>
      </w:pPr>
      <w:r>
        <w:rPr>
          <w:rFonts w:ascii="宋体" w:hAnsi="宋体" w:hint="eastAsia"/>
          <w:b/>
          <w:bCs/>
          <w:sz w:val="24"/>
          <w:szCs w:val="24"/>
        </w:rPr>
        <w:lastRenderedPageBreak/>
        <w:t>（二）标准制订主要依据</w:t>
      </w:r>
    </w:p>
    <w:p w:rsidR="00E07209" w:rsidRDefault="007D1019">
      <w:pPr>
        <w:spacing w:line="360" w:lineRule="auto"/>
        <w:ind w:firstLineChars="200" w:firstLine="480"/>
        <w:rPr>
          <w:rFonts w:ascii="宋体" w:hAnsi="宋体"/>
          <w:sz w:val="24"/>
          <w:szCs w:val="24"/>
        </w:rPr>
      </w:pPr>
      <w:r>
        <w:rPr>
          <w:rFonts w:ascii="宋体" w:hAnsi="宋体" w:hint="eastAsia"/>
          <w:sz w:val="24"/>
          <w:szCs w:val="24"/>
        </w:rPr>
        <w:t>1、标准编写遵循GB1.1-2009《标准化工作导则 第1部分：标准的结构和编写规则》的有关要求。</w:t>
      </w:r>
    </w:p>
    <w:p w:rsidR="00E07209" w:rsidRPr="005F33BC" w:rsidRDefault="007D1019" w:rsidP="008F5904">
      <w:pPr>
        <w:spacing w:line="360" w:lineRule="auto"/>
        <w:ind w:firstLineChars="200" w:firstLine="480"/>
        <w:rPr>
          <w:sz w:val="24"/>
          <w:szCs w:val="24"/>
        </w:rPr>
      </w:pPr>
      <w:r>
        <w:rPr>
          <w:rFonts w:ascii="宋体" w:hAnsi="宋体" w:hint="eastAsia"/>
          <w:sz w:val="24"/>
          <w:szCs w:val="24"/>
        </w:rPr>
        <w:t>2、标准编写内容参考我国相关的</w:t>
      </w:r>
      <w:r w:rsidR="005F33BC">
        <w:rPr>
          <w:rFonts w:ascii="宋体" w:hAnsi="宋体" w:hint="eastAsia"/>
          <w:sz w:val="24"/>
          <w:szCs w:val="24"/>
        </w:rPr>
        <w:t>国家</w:t>
      </w:r>
      <w:r>
        <w:rPr>
          <w:rFonts w:ascii="宋体" w:hAnsi="宋体" w:hint="eastAsia"/>
          <w:sz w:val="24"/>
          <w:szCs w:val="24"/>
        </w:rPr>
        <w:t>标准，包括</w:t>
      </w:r>
      <w:r w:rsidR="005F33BC">
        <w:rPr>
          <w:rFonts w:ascii="宋体" w:hAnsi="宋体" w:hint="eastAsia"/>
          <w:sz w:val="24"/>
          <w:szCs w:val="24"/>
        </w:rPr>
        <w:t>：</w:t>
      </w:r>
      <w:r w:rsidR="005F33BC" w:rsidRPr="00C43123">
        <w:rPr>
          <w:sz w:val="24"/>
          <w:szCs w:val="24"/>
        </w:rPr>
        <w:t xml:space="preserve">GB/T19495.2 </w:t>
      </w:r>
      <w:r w:rsidR="005F33BC" w:rsidRPr="00C43123">
        <w:rPr>
          <w:sz w:val="24"/>
          <w:szCs w:val="24"/>
        </w:rPr>
        <w:t>转基因产品检测实验室技术要求</w:t>
      </w:r>
      <w:r w:rsidR="00DF130C">
        <w:rPr>
          <w:rFonts w:hint="eastAsia"/>
          <w:sz w:val="24"/>
          <w:szCs w:val="24"/>
        </w:rPr>
        <w:t>、</w:t>
      </w:r>
      <w:r w:rsidR="005F33BC" w:rsidRPr="00C43123">
        <w:rPr>
          <w:sz w:val="24"/>
          <w:szCs w:val="24"/>
        </w:rPr>
        <w:t xml:space="preserve">GB/T19495.3 </w:t>
      </w:r>
      <w:r w:rsidR="005F33BC" w:rsidRPr="00C43123">
        <w:rPr>
          <w:sz w:val="24"/>
          <w:szCs w:val="24"/>
        </w:rPr>
        <w:t>转基因产品检测核酸提取纯化方法</w:t>
      </w:r>
      <w:r w:rsidR="00DF130C">
        <w:rPr>
          <w:rFonts w:hint="eastAsia"/>
          <w:sz w:val="24"/>
          <w:szCs w:val="24"/>
        </w:rPr>
        <w:t>、</w:t>
      </w:r>
      <w:r w:rsidR="005F33BC" w:rsidRPr="00C43123">
        <w:rPr>
          <w:sz w:val="24"/>
          <w:szCs w:val="24"/>
        </w:rPr>
        <w:t xml:space="preserve">GB/T19495.7 </w:t>
      </w:r>
      <w:r w:rsidR="005F33BC" w:rsidRPr="00C43123">
        <w:rPr>
          <w:sz w:val="24"/>
          <w:szCs w:val="24"/>
        </w:rPr>
        <w:t>转基因产品检测抽样和制样方法</w:t>
      </w:r>
      <w:r w:rsidR="008F5904">
        <w:rPr>
          <w:rFonts w:hint="eastAsia"/>
          <w:sz w:val="24"/>
          <w:szCs w:val="24"/>
        </w:rPr>
        <w:t>和</w:t>
      </w:r>
      <w:r w:rsidR="005F33BC" w:rsidRPr="00C43123">
        <w:rPr>
          <w:sz w:val="24"/>
          <w:szCs w:val="24"/>
        </w:rPr>
        <w:t xml:space="preserve">GB/T19495.5 </w:t>
      </w:r>
      <w:r w:rsidR="005F33BC" w:rsidRPr="00C43123">
        <w:rPr>
          <w:sz w:val="24"/>
          <w:szCs w:val="24"/>
        </w:rPr>
        <w:t>转基因产品检测实时荧光定量聚合酶链式反应（</w:t>
      </w:r>
      <w:r w:rsidR="005F33BC" w:rsidRPr="00C43123">
        <w:rPr>
          <w:sz w:val="24"/>
          <w:szCs w:val="24"/>
        </w:rPr>
        <w:t>PCR</w:t>
      </w:r>
      <w:r w:rsidR="005F33BC" w:rsidRPr="00C43123">
        <w:rPr>
          <w:sz w:val="24"/>
          <w:szCs w:val="24"/>
        </w:rPr>
        <w:t>）检测方法</w:t>
      </w:r>
      <w:r>
        <w:rPr>
          <w:rFonts w:ascii="宋体" w:hAnsi="宋体" w:hint="eastAsia"/>
          <w:sz w:val="24"/>
          <w:szCs w:val="24"/>
        </w:rPr>
        <w:t>。</w:t>
      </w:r>
    </w:p>
    <w:p w:rsidR="00E07209" w:rsidRDefault="007D1019" w:rsidP="00025526">
      <w:pPr>
        <w:spacing w:beforeLines="50" w:line="360" w:lineRule="auto"/>
        <w:rPr>
          <w:rFonts w:ascii="黑体" w:eastAsia="黑体" w:hAnsi="金山简标宋"/>
          <w:sz w:val="24"/>
        </w:rPr>
      </w:pPr>
      <w:r>
        <w:rPr>
          <w:rFonts w:ascii="黑体" w:eastAsia="黑体" w:hAnsi="金山简标宋" w:hint="eastAsia"/>
          <w:sz w:val="24"/>
        </w:rPr>
        <w:t>四、标准主要技术内容</w:t>
      </w:r>
    </w:p>
    <w:p w:rsidR="00D85516" w:rsidRPr="00064D4B" w:rsidRDefault="00D85516" w:rsidP="00D85516">
      <w:pPr>
        <w:spacing w:line="520" w:lineRule="exact"/>
        <w:ind w:firstLineChars="200" w:firstLine="482"/>
        <w:rPr>
          <w:rFonts w:ascii="宋体" w:hAnsi="宋体"/>
          <w:b/>
          <w:sz w:val="24"/>
          <w:szCs w:val="24"/>
        </w:rPr>
      </w:pPr>
      <w:r w:rsidRPr="00064D4B">
        <w:rPr>
          <w:rFonts w:ascii="宋体" w:hAnsi="宋体" w:hint="eastAsia"/>
          <w:b/>
          <w:sz w:val="24"/>
          <w:szCs w:val="24"/>
        </w:rPr>
        <w:t>（</w:t>
      </w:r>
      <w:r>
        <w:rPr>
          <w:rFonts w:ascii="宋体" w:hAnsi="宋体" w:hint="eastAsia"/>
          <w:b/>
          <w:sz w:val="24"/>
          <w:szCs w:val="24"/>
        </w:rPr>
        <w:t>一</w:t>
      </w:r>
      <w:r w:rsidRPr="00064D4B">
        <w:rPr>
          <w:rFonts w:ascii="宋体" w:hAnsi="宋体" w:hint="eastAsia"/>
          <w:b/>
          <w:sz w:val="24"/>
          <w:szCs w:val="24"/>
        </w:rPr>
        <w:t>）关于</w:t>
      </w:r>
      <w:r w:rsidR="009432E5">
        <w:rPr>
          <w:rFonts w:ascii="宋体" w:hAnsi="宋体" w:hint="eastAsia"/>
          <w:b/>
          <w:sz w:val="24"/>
          <w:szCs w:val="24"/>
        </w:rPr>
        <w:t>实验与结果分析中的准确性与参数值的确定</w:t>
      </w:r>
      <w:r w:rsidR="00421F49">
        <w:rPr>
          <w:rFonts w:ascii="宋体" w:hAnsi="宋体" w:hint="eastAsia"/>
          <w:b/>
          <w:sz w:val="24"/>
          <w:szCs w:val="24"/>
        </w:rPr>
        <w:t>。</w:t>
      </w:r>
    </w:p>
    <w:p w:rsidR="000656F2" w:rsidRDefault="00250E98" w:rsidP="00421F49">
      <w:pPr>
        <w:spacing w:line="520" w:lineRule="exact"/>
        <w:ind w:firstLineChars="200" w:firstLine="480"/>
        <w:rPr>
          <w:rFonts w:ascii="宋体" w:hAnsi="宋体"/>
          <w:sz w:val="24"/>
          <w:szCs w:val="24"/>
        </w:rPr>
      </w:pPr>
      <w:r>
        <w:rPr>
          <w:rFonts w:ascii="宋体" w:hAnsi="宋体" w:hint="eastAsia"/>
          <w:sz w:val="24"/>
          <w:szCs w:val="24"/>
        </w:rPr>
        <w:t>标准方法</w:t>
      </w:r>
      <w:r w:rsidR="000656F2">
        <w:rPr>
          <w:rFonts w:ascii="宋体" w:hAnsi="宋体" w:hint="eastAsia"/>
          <w:sz w:val="24"/>
          <w:szCs w:val="24"/>
        </w:rPr>
        <w:t>同时检测</w:t>
      </w:r>
      <w:r>
        <w:rPr>
          <w:rFonts w:ascii="宋体" w:hAnsi="宋体" w:hint="eastAsia"/>
          <w:sz w:val="24"/>
          <w:szCs w:val="24"/>
        </w:rPr>
        <w:t>待测样品</w:t>
      </w:r>
      <w:r w:rsidR="000656F2">
        <w:rPr>
          <w:rFonts w:ascii="宋体" w:hAnsi="宋体" w:hint="eastAsia"/>
          <w:sz w:val="24"/>
          <w:szCs w:val="24"/>
        </w:rPr>
        <w:t>中的多个</w:t>
      </w:r>
      <w:r w:rsidR="00421F49">
        <w:rPr>
          <w:rFonts w:ascii="宋体" w:hAnsi="宋体" w:hint="eastAsia"/>
          <w:sz w:val="24"/>
          <w:szCs w:val="24"/>
        </w:rPr>
        <w:t>外源基因与内标准基因</w:t>
      </w:r>
      <w:r w:rsidR="000656F2">
        <w:rPr>
          <w:rFonts w:ascii="宋体" w:hAnsi="宋体" w:hint="eastAsia"/>
          <w:sz w:val="24"/>
          <w:szCs w:val="24"/>
        </w:rPr>
        <w:t>，且每个外源基因与内标准基因同时检测多个位置，只要有一个外源基因的一个检测位点被确证检出，就可以确定该</w:t>
      </w:r>
      <w:r>
        <w:rPr>
          <w:rFonts w:ascii="宋体" w:hAnsi="宋体" w:hint="eastAsia"/>
          <w:sz w:val="24"/>
          <w:szCs w:val="24"/>
        </w:rPr>
        <w:t>待测</w:t>
      </w:r>
      <w:r w:rsidR="000656F2">
        <w:rPr>
          <w:rFonts w:ascii="宋体" w:hAnsi="宋体" w:hint="eastAsia"/>
          <w:sz w:val="24"/>
          <w:szCs w:val="24"/>
        </w:rPr>
        <w:t>样品为转基因产品，极大地降低了测试样品假阴性的风险。同时，每一</w:t>
      </w:r>
      <w:r>
        <w:rPr>
          <w:rFonts w:ascii="宋体" w:hAnsi="宋体" w:hint="eastAsia"/>
          <w:sz w:val="24"/>
          <w:szCs w:val="24"/>
        </w:rPr>
        <w:t>种</w:t>
      </w:r>
      <w:r w:rsidR="000656F2">
        <w:rPr>
          <w:rFonts w:ascii="宋体" w:hAnsi="宋体" w:hint="eastAsia"/>
          <w:sz w:val="24"/>
          <w:szCs w:val="24"/>
        </w:rPr>
        <w:t>外源基因成份的确认需要同时有外源基因与非外源基因起源</w:t>
      </w:r>
      <w:r>
        <w:rPr>
          <w:rFonts w:ascii="宋体" w:hAnsi="宋体" w:hint="eastAsia"/>
          <w:sz w:val="24"/>
          <w:szCs w:val="24"/>
        </w:rPr>
        <w:t>物种的</w:t>
      </w:r>
      <w:r w:rsidR="000656F2">
        <w:rPr>
          <w:rFonts w:ascii="宋体" w:hAnsi="宋体" w:hint="eastAsia"/>
          <w:sz w:val="24"/>
          <w:szCs w:val="24"/>
        </w:rPr>
        <w:t>边界序列的杂交序列作为证据，极大地</w:t>
      </w:r>
      <w:r w:rsidR="00995A80">
        <w:rPr>
          <w:rFonts w:ascii="宋体" w:hAnsi="宋体" w:hint="eastAsia"/>
          <w:sz w:val="24"/>
          <w:szCs w:val="24"/>
        </w:rPr>
        <w:t>降低了</w:t>
      </w:r>
      <w:r w:rsidR="000656F2">
        <w:rPr>
          <w:rFonts w:ascii="宋体" w:hAnsi="宋体" w:hint="eastAsia"/>
          <w:sz w:val="24"/>
          <w:szCs w:val="24"/>
        </w:rPr>
        <w:t>微生物污染导致的假阳性的风险。</w:t>
      </w:r>
      <w:r>
        <w:rPr>
          <w:rFonts w:ascii="宋体" w:hAnsi="宋体" w:hint="eastAsia"/>
          <w:sz w:val="24"/>
          <w:szCs w:val="24"/>
        </w:rPr>
        <w:t>利用</w:t>
      </w:r>
      <w:r w:rsidR="00995A80">
        <w:rPr>
          <w:rFonts w:ascii="宋体" w:hAnsi="宋体" w:hint="eastAsia"/>
          <w:sz w:val="24"/>
          <w:szCs w:val="24"/>
        </w:rPr>
        <w:t>样品条形码</w:t>
      </w:r>
      <w:r>
        <w:rPr>
          <w:rFonts w:ascii="宋体" w:hAnsi="宋体" w:hint="eastAsia"/>
          <w:sz w:val="24"/>
          <w:szCs w:val="24"/>
        </w:rPr>
        <w:t>，可以区分空气中的气溶胶和待测样品的测序片段，</w:t>
      </w:r>
      <w:r w:rsidR="00995A80">
        <w:rPr>
          <w:rFonts w:ascii="宋体" w:hAnsi="宋体" w:hint="eastAsia"/>
          <w:sz w:val="24"/>
          <w:szCs w:val="24"/>
        </w:rPr>
        <w:t>基本杜绝了空气污染导致的假阳性的风险。总之，</w:t>
      </w:r>
      <w:r>
        <w:rPr>
          <w:rFonts w:ascii="宋体" w:hAnsi="宋体" w:hint="eastAsia"/>
          <w:sz w:val="24"/>
          <w:szCs w:val="24"/>
        </w:rPr>
        <w:t>标准方法从多个层面</w:t>
      </w:r>
      <w:r w:rsidR="00995A80">
        <w:rPr>
          <w:rFonts w:ascii="宋体" w:hAnsi="宋体" w:hint="eastAsia"/>
          <w:sz w:val="24"/>
          <w:szCs w:val="24"/>
        </w:rPr>
        <w:t>，极大地降低了转基因定性检测的错误。外源基因与内标准基因在同一反应</w:t>
      </w:r>
      <w:r>
        <w:rPr>
          <w:rFonts w:ascii="宋体" w:hAnsi="宋体" w:hint="eastAsia"/>
          <w:sz w:val="24"/>
          <w:szCs w:val="24"/>
        </w:rPr>
        <w:t>体系中进行检测，</w:t>
      </w:r>
      <w:r w:rsidR="00995A80">
        <w:rPr>
          <w:rFonts w:ascii="宋体" w:hAnsi="宋体" w:hint="eastAsia"/>
          <w:sz w:val="24"/>
          <w:szCs w:val="24"/>
        </w:rPr>
        <w:t>降低了</w:t>
      </w:r>
      <w:r w:rsidR="008A558A">
        <w:rPr>
          <w:rFonts w:ascii="宋体" w:hAnsi="宋体" w:hint="eastAsia"/>
          <w:sz w:val="24"/>
          <w:szCs w:val="24"/>
        </w:rPr>
        <w:t>反应条件差异对</w:t>
      </w:r>
      <w:r w:rsidR="00995A80">
        <w:rPr>
          <w:rFonts w:ascii="宋体" w:hAnsi="宋体" w:hint="eastAsia"/>
          <w:sz w:val="24"/>
          <w:szCs w:val="24"/>
        </w:rPr>
        <w:t>定量的影响</w:t>
      </w:r>
      <w:r w:rsidR="008A558A">
        <w:rPr>
          <w:rFonts w:ascii="宋体" w:hAnsi="宋体" w:hint="eastAsia"/>
          <w:sz w:val="24"/>
          <w:szCs w:val="24"/>
        </w:rPr>
        <w:t>；</w:t>
      </w:r>
      <w:r w:rsidR="00995A80">
        <w:rPr>
          <w:rFonts w:ascii="宋体" w:hAnsi="宋体" w:hint="eastAsia"/>
          <w:sz w:val="24"/>
          <w:szCs w:val="24"/>
        </w:rPr>
        <w:t>利用随机条形码还原模板分子极大降地降低了扩增效率的影响</w:t>
      </w:r>
      <w:r w:rsidR="008A558A">
        <w:rPr>
          <w:rFonts w:ascii="宋体" w:hAnsi="宋体" w:hint="eastAsia"/>
          <w:sz w:val="24"/>
          <w:szCs w:val="24"/>
        </w:rPr>
        <w:t>；</w:t>
      </w:r>
      <w:r w:rsidR="000656F2">
        <w:rPr>
          <w:rFonts w:ascii="宋体" w:hAnsi="宋体" w:hint="eastAsia"/>
          <w:sz w:val="24"/>
          <w:szCs w:val="24"/>
        </w:rPr>
        <w:t>每个外源基因的检测多个区域，每个区域检测多至数万次，可以利用统计学的原理，</w:t>
      </w:r>
      <w:r w:rsidR="00995A80">
        <w:rPr>
          <w:rFonts w:ascii="宋体" w:hAnsi="宋体" w:hint="eastAsia"/>
          <w:sz w:val="24"/>
          <w:szCs w:val="24"/>
        </w:rPr>
        <w:t>尽量</w:t>
      </w:r>
      <w:r w:rsidR="000656F2">
        <w:rPr>
          <w:rFonts w:ascii="宋体" w:hAnsi="宋体" w:hint="eastAsia"/>
          <w:sz w:val="24"/>
          <w:szCs w:val="24"/>
        </w:rPr>
        <w:t>消除</w:t>
      </w:r>
      <w:r w:rsidR="00995A80">
        <w:rPr>
          <w:rFonts w:ascii="宋体" w:hAnsi="宋体" w:hint="eastAsia"/>
          <w:sz w:val="24"/>
          <w:szCs w:val="24"/>
        </w:rPr>
        <w:t>系统中残留的</w:t>
      </w:r>
      <w:r w:rsidR="000656F2">
        <w:rPr>
          <w:rFonts w:ascii="宋体" w:hAnsi="宋体" w:hint="eastAsia"/>
          <w:sz w:val="24"/>
          <w:szCs w:val="24"/>
        </w:rPr>
        <w:t>随机误差</w:t>
      </w:r>
      <w:r w:rsidR="00995A80">
        <w:rPr>
          <w:rFonts w:ascii="宋体" w:hAnsi="宋体" w:hint="eastAsia"/>
          <w:sz w:val="24"/>
          <w:szCs w:val="24"/>
        </w:rPr>
        <w:t>的影响</w:t>
      </w:r>
      <w:r w:rsidR="000656F2">
        <w:rPr>
          <w:rFonts w:ascii="宋体" w:hAnsi="宋体" w:hint="eastAsia"/>
          <w:sz w:val="24"/>
          <w:szCs w:val="24"/>
        </w:rPr>
        <w:t>。</w:t>
      </w:r>
      <w:r w:rsidR="008A558A">
        <w:rPr>
          <w:rFonts w:ascii="宋体" w:hAnsi="宋体" w:hint="eastAsia"/>
          <w:sz w:val="24"/>
          <w:szCs w:val="24"/>
        </w:rPr>
        <w:t>总之，</w:t>
      </w:r>
      <w:r w:rsidR="000656F2">
        <w:rPr>
          <w:rFonts w:ascii="宋体" w:hAnsi="宋体" w:hint="eastAsia"/>
          <w:sz w:val="24"/>
          <w:szCs w:val="24"/>
        </w:rPr>
        <w:t>多个方面</w:t>
      </w:r>
      <w:r w:rsidR="00995A80">
        <w:rPr>
          <w:rFonts w:ascii="宋体" w:hAnsi="宋体" w:hint="eastAsia"/>
          <w:sz w:val="24"/>
          <w:szCs w:val="24"/>
        </w:rPr>
        <w:t>的优势</w:t>
      </w:r>
      <w:r w:rsidR="000656F2">
        <w:rPr>
          <w:rFonts w:ascii="宋体" w:hAnsi="宋体" w:hint="eastAsia"/>
          <w:sz w:val="24"/>
          <w:szCs w:val="24"/>
        </w:rPr>
        <w:t>共同作用，增加了</w:t>
      </w:r>
      <w:r w:rsidR="00995A80">
        <w:rPr>
          <w:rFonts w:ascii="宋体" w:hAnsi="宋体" w:hint="eastAsia"/>
          <w:sz w:val="24"/>
          <w:szCs w:val="24"/>
        </w:rPr>
        <w:t>转基因</w:t>
      </w:r>
      <w:r w:rsidR="000656F2">
        <w:rPr>
          <w:rFonts w:ascii="宋体" w:hAnsi="宋体" w:hint="eastAsia"/>
          <w:sz w:val="24"/>
          <w:szCs w:val="24"/>
        </w:rPr>
        <w:t>定量</w:t>
      </w:r>
      <w:r w:rsidR="00995A80">
        <w:rPr>
          <w:rFonts w:ascii="宋体" w:hAnsi="宋体" w:hint="eastAsia"/>
          <w:sz w:val="24"/>
          <w:szCs w:val="24"/>
        </w:rPr>
        <w:t>检测</w:t>
      </w:r>
      <w:r w:rsidR="000656F2">
        <w:rPr>
          <w:rFonts w:ascii="宋体" w:hAnsi="宋体" w:hint="eastAsia"/>
          <w:sz w:val="24"/>
          <w:szCs w:val="24"/>
        </w:rPr>
        <w:t>的准确性。</w:t>
      </w:r>
    </w:p>
    <w:p w:rsidR="00F672C6" w:rsidRDefault="00F672C6" w:rsidP="00421F49">
      <w:pPr>
        <w:spacing w:line="520" w:lineRule="exact"/>
        <w:ind w:firstLineChars="200" w:firstLine="480"/>
        <w:rPr>
          <w:rFonts w:ascii="宋体" w:hAnsi="宋体"/>
          <w:sz w:val="24"/>
          <w:szCs w:val="24"/>
        </w:rPr>
      </w:pPr>
      <w:r>
        <w:rPr>
          <w:rFonts w:ascii="宋体" w:hAnsi="宋体" w:hint="eastAsia"/>
          <w:sz w:val="24"/>
          <w:szCs w:val="24"/>
        </w:rPr>
        <w:t>本标准</w:t>
      </w:r>
      <w:r w:rsidR="008A558A">
        <w:rPr>
          <w:rFonts w:ascii="宋体" w:hAnsi="宋体" w:hint="eastAsia"/>
          <w:sz w:val="24"/>
          <w:szCs w:val="24"/>
        </w:rPr>
        <w:t>利用</w:t>
      </w:r>
      <w:r>
        <w:rPr>
          <w:rFonts w:ascii="宋体" w:hAnsi="宋体" w:hint="eastAsia"/>
          <w:sz w:val="24"/>
          <w:szCs w:val="24"/>
        </w:rPr>
        <w:t>测序数据</w:t>
      </w:r>
      <w:r w:rsidR="008A558A">
        <w:rPr>
          <w:rFonts w:ascii="宋体" w:hAnsi="宋体" w:hint="eastAsia"/>
          <w:sz w:val="24"/>
          <w:szCs w:val="24"/>
        </w:rPr>
        <w:t>同，实现了</w:t>
      </w:r>
      <w:r>
        <w:rPr>
          <w:rFonts w:ascii="宋体" w:hAnsi="宋体" w:hint="eastAsia"/>
          <w:sz w:val="24"/>
          <w:szCs w:val="24"/>
        </w:rPr>
        <w:t>实验过程中的全面监控，包括交叉污染、基因组DNA用量、文库构建、测序数量和测序数据中的模板片段数量，以确保实验过程中的质量</w:t>
      </w:r>
      <w:r w:rsidR="008A558A">
        <w:rPr>
          <w:rFonts w:ascii="宋体" w:hAnsi="宋体" w:hint="eastAsia"/>
          <w:sz w:val="24"/>
          <w:szCs w:val="24"/>
        </w:rPr>
        <w:t>与不合格的原因，根据不合格的原因作出相应的后续处理方式</w:t>
      </w:r>
      <w:r>
        <w:rPr>
          <w:rFonts w:ascii="宋体" w:hAnsi="宋体" w:hint="eastAsia"/>
          <w:sz w:val="24"/>
          <w:szCs w:val="24"/>
        </w:rPr>
        <w:t>。</w:t>
      </w:r>
      <w:r w:rsidR="008A558A">
        <w:rPr>
          <w:rFonts w:ascii="宋体" w:hAnsi="宋体" w:hint="eastAsia"/>
          <w:sz w:val="24"/>
          <w:szCs w:val="24"/>
        </w:rPr>
        <w:t>结果</w:t>
      </w:r>
      <w:r>
        <w:rPr>
          <w:rFonts w:ascii="宋体" w:hAnsi="宋体" w:hint="eastAsia"/>
          <w:sz w:val="24"/>
          <w:szCs w:val="24"/>
        </w:rPr>
        <w:t>监控实验质量优于在过程中进行预防的方式，例如，通过DNA定量的方式加入一定量的DNA以确保在足够的DNA分子用于检测，然而，并不能保证定量</w:t>
      </w:r>
      <w:r w:rsidR="008A558A">
        <w:rPr>
          <w:rFonts w:ascii="宋体" w:hAnsi="宋体" w:hint="eastAsia"/>
          <w:sz w:val="24"/>
          <w:szCs w:val="24"/>
        </w:rPr>
        <w:t>的准确性，在不知道问题原因时，也不知道后续操作如何进行。</w:t>
      </w:r>
      <w:r>
        <w:rPr>
          <w:rFonts w:ascii="宋体" w:hAnsi="宋体" w:hint="eastAsia"/>
          <w:sz w:val="24"/>
          <w:szCs w:val="24"/>
        </w:rPr>
        <w:t>本标准通过测序</w:t>
      </w:r>
      <w:r w:rsidR="008A558A">
        <w:rPr>
          <w:rFonts w:ascii="宋体" w:hAnsi="宋体" w:hint="eastAsia"/>
          <w:sz w:val="24"/>
          <w:szCs w:val="24"/>
        </w:rPr>
        <w:t>数据的质量</w:t>
      </w:r>
      <w:r>
        <w:rPr>
          <w:rFonts w:ascii="宋体" w:hAnsi="宋体" w:hint="eastAsia"/>
          <w:sz w:val="24"/>
          <w:szCs w:val="24"/>
        </w:rPr>
        <w:t>监控，避免了类似的问题。</w:t>
      </w:r>
    </w:p>
    <w:p w:rsidR="002E729B" w:rsidRDefault="00D85516" w:rsidP="00D85516">
      <w:pPr>
        <w:spacing w:line="520" w:lineRule="exact"/>
        <w:ind w:firstLineChars="200" w:firstLine="480"/>
        <w:rPr>
          <w:rFonts w:ascii="宋体" w:hAnsi="宋体"/>
          <w:sz w:val="24"/>
          <w:szCs w:val="24"/>
        </w:rPr>
      </w:pPr>
      <w:r>
        <w:rPr>
          <w:rFonts w:ascii="宋体" w:hAnsi="宋体" w:hint="eastAsia"/>
          <w:sz w:val="24"/>
          <w:szCs w:val="24"/>
        </w:rPr>
        <w:t>本标准中规定</w:t>
      </w:r>
      <w:r w:rsidR="008A558A">
        <w:rPr>
          <w:rFonts w:ascii="宋体" w:hAnsi="宋体" w:hint="eastAsia"/>
          <w:sz w:val="24"/>
          <w:szCs w:val="24"/>
        </w:rPr>
        <w:t>测序</w:t>
      </w:r>
      <w:r>
        <w:rPr>
          <w:rFonts w:ascii="宋体" w:hAnsi="宋体" w:hint="eastAsia"/>
          <w:sz w:val="24"/>
          <w:szCs w:val="24"/>
        </w:rPr>
        <w:t>的测序片段数量为</w:t>
      </w:r>
      <w:r w:rsidR="008A558A">
        <w:rPr>
          <w:rFonts w:ascii="宋体" w:hAnsi="宋体" w:hint="eastAsia"/>
          <w:sz w:val="24"/>
          <w:szCs w:val="24"/>
        </w:rPr>
        <w:t>每个待测样本</w:t>
      </w:r>
      <w:r>
        <w:rPr>
          <w:rFonts w:ascii="宋体" w:hAnsi="宋体" w:hint="eastAsia"/>
          <w:sz w:val="24"/>
          <w:szCs w:val="24"/>
        </w:rPr>
        <w:t>1 G，有效Reads（非特异的Reads）</w:t>
      </w:r>
      <w:r>
        <w:rPr>
          <w:rFonts w:ascii="宋体" w:hAnsi="宋体" w:hint="eastAsia"/>
          <w:sz w:val="24"/>
          <w:szCs w:val="24"/>
        </w:rPr>
        <w:lastRenderedPageBreak/>
        <w:t>最低按20%计，那么，最低有0.2 G的有效数据。那么，按300 bp的片段长度计算，片段的Reads数量为0.65 M。内标准基因与外源基因的有效检测区域（存在对应模板DNA的检测区域）按12个计算，那么，</w:t>
      </w:r>
      <w:r w:rsidR="00995A80">
        <w:rPr>
          <w:rFonts w:ascii="宋体" w:hAnsi="宋体" w:hint="eastAsia"/>
          <w:sz w:val="24"/>
          <w:szCs w:val="24"/>
        </w:rPr>
        <w:t>平均</w:t>
      </w:r>
      <w:r>
        <w:rPr>
          <w:rFonts w:ascii="宋体" w:hAnsi="宋体" w:hint="eastAsia"/>
          <w:sz w:val="24"/>
          <w:szCs w:val="24"/>
        </w:rPr>
        <w:t>每个区域有5.5 万 Reads覆盖。本标准规定按</w:t>
      </w:r>
      <w:r w:rsidRPr="00064D4B">
        <w:rPr>
          <w:rFonts w:ascii="宋体" w:hAnsi="宋体"/>
          <w:sz w:val="24"/>
          <w:szCs w:val="24"/>
        </w:rPr>
        <w:t>GB/T 19495.5</w:t>
      </w:r>
      <w:r w:rsidR="00E630C1">
        <w:rPr>
          <w:rFonts w:ascii="宋体" w:hAnsi="宋体" w:hint="eastAsia"/>
          <w:sz w:val="24"/>
          <w:szCs w:val="24"/>
        </w:rPr>
        <w:t>-2018</w:t>
      </w:r>
      <w:r w:rsidRPr="00064D4B">
        <w:rPr>
          <w:rFonts w:ascii="宋体" w:hAnsi="宋体" w:hint="eastAsia"/>
          <w:sz w:val="24"/>
          <w:szCs w:val="24"/>
        </w:rPr>
        <w:t>规定的最低用量使用模板DNA的量，</w:t>
      </w:r>
      <w:r>
        <w:rPr>
          <w:rFonts w:ascii="宋体" w:hAnsi="宋体" w:hint="eastAsia"/>
          <w:sz w:val="24"/>
          <w:szCs w:val="24"/>
        </w:rPr>
        <w:t>即最低有2.5万个模板分子。当有5.5万Reads去覆盖2.5万个模板分子时，91%的模板分子至少可以被</w:t>
      </w:r>
      <w:r w:rsidR="008A558A">
        <w:rPr>
          <w:rFonts w:ascii="宋体" w:hAnsi="宋体" w:hint="eastAsia"/>
          <w:sz w:val="24"/>
          <w:szCs w:val="24"/>
        </w:rPr>
        <w:t>1</w:t>
      </w:r>
      <w:r>
        <w:rPr>
          <w:rFonts w:ascii="宋体" w:hAnsi="宋体" w:hint="eastAsia"/>
          <w:sz w:val="24"/>
          <w:szCs w:val="24"/>
        </w:rPr>
        <w:t>个Read所覆盖，即可以被检出，也即每个探针位点的检出模板分子的数量约为2万个。即使按本标准的最低检出限0.1%计，平均可以检出的外源基因的模板数量为20个，其不被检出，即</w:t>
      </w:r>
      <w:r w:rsidR="006962F5">
        <w:rPr>
          <w:rFonts w:ascii="宋体" w:hAnsi="宋体" w:hint="eastAsia"/>
          <w:sz w:val="24"/>
          <w:szCs w:val="24"/>
        </w:rPr>
        <w:t>检出的</w:t>
      </w:r>
      <w:r>
        <w:rPr>
          <w:rFonts w:ascii="宋体" w:hAnsi="宋体" w:hint="eastAsia"/>
          <w:sz w:val="24"/>
          <w:szCs w:val="24"/>
        </w:rPr>
        <w:t>模板分子</w:t>
      </w:r>
      <w:r w:rsidR="006962F5">
        <w:rPr>
          <w:rFonts w:ascii="宋体" w:hAnsi="宋体" w:hint="eastAsia"/>
          <w:sz w:val="24"/>
          <w:szCs w:val="24"/>
        </w:rPr>
        <w:t>的数目小于2条</w:t>
      </w:r>
      <w:r>
        <w:rPr>
          <w:rFonts w:ascii="宋体" w:hAnsi="宋体" w:hint="eastAsia"/>
          <w:sz w:val="24"/>
          <w:szCs w:val="24"/>
        </w:rPr>
        <w:t>的理论概率0.0</w:t>
      </w:r>
      <w:r w:rsidR="006962F5">
        <w:rPr>
          <w:rFonts w:ascii="宋体" w:hAnsi="宋体" w:hint="eastAsia"/>
          <w:sz w:val="24"/>
          <w:szCs w:val="24"/>
        </w:rPr>
        <w:t>5</w:t>
      </w:r>
      <w:r>
        <w:rPr>
          <w:rFonts w:ascii="宋体" w:hAnsi="宋体" w:hint="eastAsia"/>
          <w:sz w:val="24"/>
          <w:szCs w:val="24"/>
        </w:rPr>
        <w:t>%，理论成功率为</w:t>
      </w:r>
      <w:r w:rsidR="006962F5">
        <w:rPr>
          <w:rFonts w:ascii="宋体" w:hAnsi="宋体" w:hint="eastAsia"/>
          <w:sz w:val="24"/>
          <w:szCs w:val="24"/>
        </w:rPr>
        <w:t>99.95</w:t>
      </w:r>
      <w:r>
        <w:rPr>
          <w:rFonts w:ascii="宋体" w:hAnsi="宋体" w:hint="eastAsia"/>
          <w:sz w:val="24"/>
          <w:szCs w:val="24"/>
        </w:rPr>
        <w:t>%。</w:t>
      </w:r>
    </w:p>
    <w:p w:rsidR="002E729B" w:rsidRDefault="002E729B" w:rsidP="00D85516">
      <w:pPr>
        <w:spacing w:line="520" w:lineRule="exact"/>
        <w:ind w:firstLineChars="200" w:firstLine="480"/>
        <w:rPr>
          <w:rFonts w:ascii="宋体" w:hAnsi="宋体"/>
          <w:sz w:val="24"/>
          <w:szCs w:val="24"/>
        </w:rPr>
      </w:pPr>
      <w:r>
        <w:rPr>
          <w:rFonts w:ascii="宋体" w:hAnsi="宋体" w:hint="eastAsia"/>
          <w:sz w:val="24"/>
          <w:szCs w:val="24"/>
        </w:rPr>
        <w:t>利用本标准的方法，我们检测了5</w:t>
      </w:r>
      <w:r w:rsidR="009B3834">
        <w:rPr>
          <w:rFonts w:ascii="宋体" w:hAnsi="宋体" w:hint="eastAsia"/>
          <w:sz w:val="24"/>
          <w:szCs w:val="24"/>
        </w:rPr>
        <w:t>5</w:t>
      </w:r>
      <w:r>
        <w:rPr>
          <w:rFonts w:ascii="宋体" w:hAnsi="宋体" w:hint="eastAsia"/>
          <w:sz w:val="24"/>
          <w:szCs w:val="24"/>
        </w:rPr>
        <w:t>个含有</w:t>
      </w:r>
      <w:r w:rsidR="009B3834">
        <w:rPr>
          <w:rFonts w:ascii="宋体" w:hAnsi="宋体" w:hint="eastAsia"/>
          <w:sz w:val="24"/>
          <w:szCs w:val="24"/>
        </w:rPr>
        <w:t>1%的外源基因的</w:t>
      </w:r>
      <w:r>
        <w:rPr>
          <w:rFonts w:ascii="宋体" w:hAnsi="宋体" w:hint="eastAsia"/>
          <w:sz w:val="24"/>
          <w:szCs w:val="24"/>
        </w:rPr>
        <w:t>转基因标准样品</w:t>
      </w:r>
      <w:r w:rsidR="009B3834">
        <w:rPr>
          <w:rFonts w:ascii="宋体" w:hAnsi="宋体" w:hint="eastAsia"/>
          <w:sz w:val="24"/>
          <w:szCs w:val="24"/>
        </w:rPr>
        <w:t>（表一）和3个不含有外源基因的标准样品。其中，55个含有1%的外源基因的转基因标准样品均通过本标准的方法检出含有至少一种外源基因成份，成功率100%。3个内标准基因的样品均通过 本标准的方法检测不含有外源基因成份，成功率100%</w:t>
      </w:r>
    </w:p>
    <w:p w:rsidR="002E729B" w:rsidRPr="009B3834" w:rsidRDefault="009B3834" w:rsidP="009B3834">
      <w:pPr>
        <w:spacing w:line="520" w:lineRule="exact"/>
        <w:ind w:firstLineChars="200" w:firstLine="480"/>
        <w:rPr>
          <w:rFonts w:ascii="宋体" w:hAnsi="宋体"/>
          <w:sz w:val="24"/>
          <w:szCs w:val="24"/>
        </w:rPr>
      </w:pPr>
      <w:r w:rsidRPr="009B3834">
        <w:rPr>
          <w:rFonts w:ascii="宋体" w:hAnsi="宋体" w:hint="eastAsia"/>
          <w:sz w:val="24"/>
          <w:szCs w:val="24"/>
        </w:rPr>
        <w:t>表一、</w:t>
      </w:r>
      <w:r>
        <w:rPr>
          <w:rFonts w:ascii="宋体" w:hAnsi="宋体" w:hint="eastAsia"/>
          <w:sz w:val="24"/>
          <w:szCs w:val="24"/>
        </w:rPr>
        <w:t>转基因</w:t>
      </w:r>
      <w:r w:rsidR="002E729B" w:rsidRPr="009B3834">
        <w:rPr>
          <w:rFonts w:ascii="宋体" w:hAnsi="宋体" w:hint="eastAsia"/>
          <w:sz w:val="24"/>
          <w:szCs w:val="24"/>
        </w:rPr>
        <w:t>标准样品</w:t>
      </w:r>
      <w:r w:rsidR="002E729B" w:rsidRPr="009B3834">
        <w:rPr>
          <w:rFonts w:ascii="宋体" w:hAnsi="宋体"/>
          <w:sz w:val="24"/>
          <w:szCs w:val="24"/>
        </w:rPr>
        <w:t>清单</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
        <w:gridCol w:w="2304"/>
        <w:gridCol w:w="6532"/>
      </w:tblGrid>
      <w:tr w:rsidR="009B3834" w:rsidRPr="009B3834" w:rsidTr="009B3834">
        <w:trPr>
          <w:trHeight w:hRule="exact" w:val="827"/>
        </w:trPr>
        <w:tc>
          <w:tcPr>
            <w:tcW w:w="383" w:type="pct"/>
            <w:shd w:val="clear" w:color="auto" w:fill="auto"/>
            <w:vAlign w:val="center"/>
          </w:tcPr>
          <w:p w:rsidR="009B3834" w:rsidRPr="009B3834" w:rsidRDefault="009B3834" w:rsidP="001716F5">
            <w:pPr>
              <w:jc w:val="center"/>
              <w:rPr>
                <w:rFonts w:asciiTheme="minorEastAsia" w:eastAsiaTheme="minorEastAsia" w:hAnsiTheme="minorEastAsia"/>
                <w:sz w:val="24"/>
                <w:szCs w:val="24"/>
              </w:rPr>
            </w:pPr>
            <w:r w:rsidRPr="009B3834">
              <w:rPr>
                <w:rFonts w:asciiTheme="minorEastAsia" w:eastAsiaTheme="minorEastAsia" w:hAnsiTheme="minorEastAsia"/>
                <w:bCs/>
                <w:sz w:val="24"/>
                <w:szCs w:val="24"/>
              </w:rPr>
              <w:t>序号</w:t>
            </w:r>
          </w:p>
        </w:tc>
        <w:tc>
          <w:tcPr>
            <w:tcW w:w="1204" w:type="pct"/>
            <w:shd w:val="clear" w:color="auto" w:fill="auto"/>
            <w:vAlign w:val="center"/>
          </w:tcPr>
          <w:p w:rsidR="009B3834" w:rsidRPr="009B3834" w:rsidRDefault="009B3834" w:rsidP="001716F5">
            <w:pPr>
              <w:jc w:val="center"/>
              <w:rPr>
                <w:rFonts w:asciiTheme="minorEastAsia" w:eastAsiaTheme="minorEastAsia" w:hAnsiTheme="minorEastAsia"/>
                <w:sz w:val="24"/>
                <w:szCs w:val="24"/>
              </w:rPr>
            </w:pPr>
            <w:r w:rsidRPr="009B3834">
              <w:rPr>
                <w:rFonts w:asciiTheme="minorEastAsia" w:eastAsiaTheme="minorEastAsia" w:hAnsiTheme="minorEastAsia"/>
                <w:bCs/>
                <w:sz w:val="24"/>
                <w:szCs w:val="24"/>
              </w:rPr>
              <w:t>产品名称</w:t>
            </w:r>
          </w:p>
        </w:tc>
        <w:tc>
          <w:tcPr>
            <w:tcW w:w="3413" w:type="pct"/>
            <w:shd w:val="clear" w:color="auto" w:fill="auto"/>
            <w:vAlign w:val="center"/>
          </w:tcPr>
          <w:p w:rsidR="009B3834" w:rsidRPr="009B3834" w:rsidRDefault="009B3834" w:rsidP="001716F5">
            <w:pPr>
              <w:jc w:val="center"/>
              <w:rPr>
                <w:rFonts w:asciiTheme="minorEastAsia" w:eastAsiaTheme="minorEastAsia" w:hAnsiTheme="minorEastAsia"/>
                <w:sz w:val="24"/>
                <w:szCs w:val="24"/>
              </w:rPr>
            </w:pPr>
            <w:r w:rsidRPr="009B3834">
              <w:rPr>
                <w:rFonts w:asciiTheme="minorEastAsia" w:eastAsiaTheme="minorEastAsia" w:hAnsiTheme="minorEastAsia"/>
                <w:bCs/>
                <w:sz w:val="24"/>
                <w:szCs w:val="24"/>
              </w:rPr>
              <w:t>检测参数</w:t>
            </w:r>
          </w:p>
        </w:tc>
      </w:tr>
      <w:tr w:rsidR="009B3834" w:rsidRPr="009B3834" w:rsidTr="009B3834">
        <w:trPr>
          <w:trHeight w:hRule="exact" w:val="1189"/>
        </w:trPr>
        <w:tc>
          <w:tcPr>
            <w:tcW w:w="38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1</w:t>
            </w:r>
          </w:p>
        </w:tc>
        <w:tc>
          <w:tcPr>
            <w:tcW w:w="1204" w:type="pct"/>
            <w:shd w:val="clear" w:color="auto" w:fill="auto"/>
            <w:vAlign w:val="center"/>
          </w:tcPr>
          <w:p w:rsidR="009B3834" w:rsidRPr="009B3834" w:rsidRDefault="009B3834" w:rsidP="001716F5">
            <w:pPr>
              <w:jc w:val="center"/>
              <w:rPr>
                <w:rFonts w:asciiTheme="minorEastAsia" w:eastAsiaTheme="minorEastAsia" w:hAnsiTheme="minorEastAsia"/>
                <w:kern w:val="0"/>
                <w:sz w:val="24"/>
                <w:szCs w:val="24"/>
                <w:lang/>
              </w:rPr>
            </w:pPr>
            <w:r w:rsidRPr="009B3834">
              <w:rPr>
                <w:rFonts w:asciiTheme="minorEastAsia" w:eastAsiaTheme="minorEastAsia" w:hAnsiTheme="minorEastAsia"/>
                <w:i/>
                <w:kern w:val="0"/>
                <w:sz w:val="24"/>
                <w:szCs w:val="24"/>
                <w:lang/>
              </w:rPr>
              <w:t>CaMV 35S</w:t>
            </w:r>
            <w:r w:rsidRPr="009B3834">
              <w:rPr>
                <w:rFonts w:asciiTheme="minorEastAsia" w:eastAsiaTheme="minorEastAsia" w:hAnsiTheme="minorEastAsia"/>
                <w:kern w:val="0"/>
                <w:sz w:val="24"/>
                <w:szCs w:val="24"/>
                <w:lang/>
              </w:rPr>
              <w:t>启动子、</w:t>
            </w:r>
          </w:p>
          <w:p w:rsidR="009B3834" w:rsidRPr="009B3834" w:rsidRDefault="009B3834" w:rsidP="001716F5">
            <w:pPr>
              <w:jc w:val="center"/>
              <w:rPr>
                <w:rFonts w:asciiTheme="minorEastAsia" w:eastAsiaTheme="minorEastAsia" w:hAnsiTheme="minorEastAsia"/>
                <w:kern w:val="0"/>
                <w:sz w:val="24"/>
                <w:szCs w:val="24"/>
                <w:lang/>
              </w:rPr>
            </w:pPr>
            <w:r w:rsidRPr="009B3834">
              <w:rPr>
                <w:rFonts w:asciiTheme="minorEastAsia" w:eastAsiaTheme="minorEastAsia" w:hAnsiTheme="minorEastAsia"/>
                <w:i/>
                <w:kern w:val="0"/>
                <w:sz w:val="24"/>
                <w:szCs w:val="24"/>
                <w:lang/>
              </w:rPr>
              <w:t>FMV 35S</w:t>
            </w:r>
            <w:r w:rsidRPr="009B3834">
              <w:rPr>
                <w:rFonts w:asciiTheme="minorEastAsia" w:eastAsiaTheme="minorEastAsia" w:hAnsiTheme="minorEastAsia"/>
                <w:kern w:val="0"/>
                <w:sz w:val="24"/>
                <w:szCs w:val="24"/>
                <w:lang/>
              </w:rPr>
              <w:t>启动子、</w:t>
            </w:r>
          </w:p>
          <w:p w:rsidR="009B3834" w:rsidRPr="009B3834" w:rsidRDefault="009B3834" w:rsidP="001716F5">
            <w:pPr>
              <w:jc w:val="center"/>
              <w:rPr>
                <w:rFonts w:asciiTheme="minorEastAsia" w:eastAsiaTheme="minorEastAsia" w:hAnsiTheme="minorEastAsia"/>
                <w:sz w:val="24"/>
                <w:szCs w:val="24"/>
              </w:rPr>
            </w:pPr>
            <w:r w:rsidRPr="009B3834">
              <w:rPr>
                <w:rFonts w:asciiTheme="minorEastAsia" w:eastAsiaTheme="minorEastAsia" w:hAnsiTheme="minorEastAsia"/>
                <w:i/>
                <w:kern w:val="0"/>
                <w:sz w:val="24"/>
                <w:szCs w:val="24"/>
                <w:lang/>
              </w:rPr>
              <w:t>NOS</w:t>
            </w:r>
            <w:r w:rsidRPr="009B3834">
              <w:rPr>
                <w:rFonts w:asciiTheme="minorEastAsia" w:eastAsiaTheme="minorEastAsia" w:hAnsiTheme="minorEastAsia"/>
                <w:kern w:val="0"/>
                <w:sz w:val="24"/>
                <w:szCs w:val="24"/>
                <w:lang/>
              </w:rPr>
              <w:t>启动子/终止子</w:t>
            </w:r>
          </w:p>
        </w:tc>
        <w:tc>
          <w:tcPr>
            <w:tcW w:w="341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i/>
                <w:kern w:val="0"/>
                <w:sz w:val="24"/>
                <w:szCs w:val="24"/>
                <w:lang/>
              </w:rPr>
              <w:t>CaMV 35S</w:t>
            </w:r>
            <w:r w:rsidRPr="009B3834">
              <w:rPr>
                <w:rFonts w:asciiTheme="minorEastAsia" w:eastAsiaTheme="minorEastAsia" w:hAnsiTheme="minorEastAsia"/>
                <w:kern w:val="0"/>
                <w:sz w:val="24"/>
                <w:szCs w:val="24"/>
                <w:lang/>
              </w:rPr>
              <w:t>启动子、</w:t>
            </w:r>
            <w:r w:rsidRPr="009B3834">
              <w:rPr>
                <w:rFonts w:asciiTheme="minorEastAsia" w:eastAsiaTheme="minorEastAsia" w:hAnsiTheme="minorEastAsia"/>
                <w:i/>
                <w:kern w:val="0"/>
                <w:sz w:val="24"/>
                <w:szCs w:val="24"/>
                <w:lang/>
              </w:rPr>
              <w:t>FMV 35S</w:t>
            </w:r>
            <w:r w:rsidRPr="009B3834">
              <w:rPr>
                <w:rFonts w:asciiTheme="minorEastAsia" w:eastAsiaTheme="minorEastAsia" w:hAnsiTheme="minorEastAsia"/>
                <w:kern w:val="0"/>
                <w:sz w:val="24"/>
                <w:szCs w:val="24"/>
                <w:lang/>
              </w:rPr>
              <w:t>启动子、</w:t>
            </w:r>
            <w:r w:rsidRPr="009B3834">
              <w:rPr>
                <w:rFonts w:asciiTheme="minorEastAsia" w:eastAsiaTheme="minorEastAsia" w:hAnsiTheme="minorEastAsia"/>
                <w:i/>
                <w:kern w:val="0"/>
                <w:sz w:val="24"/>
                <w:szCs w:val="24"/>
                <w:lang/>
              </w:rPr>
              <w:t>NOS</w:t>
            </w:r>
            <w:r w:rsidRPr="009B3834">
              <w:rPr>
                <w:rFonts w:asciiTheme="minorEastAsia" w:eastAsiaTheme="minorEastAsia" w:hAnsiTheme="minorEastAsia"/>
                <w:kern w:val="0"/>
                <w:sz w:val="24"/>
                <w:szCs w:val="24"/>
                <w:lang/>
              </w:rPr>
              <w:t>启动子/终止子</w:t>
            </w:r>
          </w:p>
        </w:tc>
      </w:tr>
      <w:tr w:rsidR="009B3834" w:rsidRPr="009B3834" w:rsidTr="009B3834">
        <w:trPr>
          <w:trHeight w:hRule="exact" w:val="682"/>
        </w:trPr>
        <w:tc>
          <w:tcPr>
            <w:tcW w:w="38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2</w:t>
            </w:r>
          </w:p>
        </w:tc>
        <w:tc>
          <w:tcPr>
            <w:tcW w:w="1204"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i/>
                <w:kern w:val="0"/>
                <w:sz w:val="24"/>
                <w:szCs w:val="24"/>
                <w:lang/>
              </w:rPr>
              <w:t>NPTII</w:t>
            </w:r>
            <w:r w:rsidRPr="009B3834">
              <w:rPr>
                <w:rFonts w:asciiTheme="minorEastAsia" w:eastAsiaTheme="minorEastAsia" w:hAnsiTheme="minorEastAsia"/>
                <w:kern w:val="0"/>
                <w:sz w:val="24"/>
                <w:szCs w:val="24"/>
                <w:lang/>
              </w:rPr>
              <w:t>、</w:t>
            </w:r>
            <w:r w:rsidRPr="009B3834">
              <w:rPr>
                <w:rFonts w:asciiTheme="minorEastAsia" w:eastAsiaTheme="minorEastAsia" w:hAnsiTheme="minorEastAsia"/>
                <w:i/>
                <w:kern w:val="0"/>
                <w:sz w:val="24"/>
                <w:szCs w:val="24"/>
                <w:lang/>
              </w:rPr>
              <w:t>HPT</w:t>
            </w:r>
            <w:r w:rsidRPr="009B3834">
              <w:rPr>
                <w:rFonts w:asciiTheme="minorEastAsia" w:eastAsiaTheme="minorEastAsia" w:hAnsiTheme="minorEastAsia"/>
                <w:kern w:val="0"/>
                <w:sz w:val="24"/>
                <w:szCs w:val="24"/>
                <w:lang/>
              </w:rPr>
              <w:t>和</w:t>
            </w:r>
            <w:r w:rsidRPr="009B3834">
              <w:rPr>
                <w:rFonts w:asciiTheme="minorEastAsia" w:eastAsiaTheme="minorEastAsia" w:hAnsiTheme="minorEastAsia"/>
                <w:i/>
                <w:kern w:val="0"/>
                <w:sz w:val="24"/>
                <w:szCs w:val="24"/>
                <w:lang/>
              </w:rPr>
              <w:t>PMI</w:t>
            </w:r>
          </w:p>
        </w:tc>
        <w:tc>
          <w:tcPr>
            <w:tcW w:w="341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i/>
                <w:kern w:val="0"/>
                <w:sz w:val="24"/>
                <w:szCs w:val="24"/>
                <w:lang/>
              </w:rPr>
              <w:t>NPTII</w:t>
            </w:r>
            <w:r w:rsidRPr="009B3834">
              <w:rPr>
                <w:rFonts w:asciiTheme="minorEastAsia" w:eastAsiaTheme="minorEastAsia" w:hAnsiTheme="minorEastAsia"/>
                <w:kern w:val="0"/>
                <w:sz w:val="24"/>
                <w:szCs w:val="24"/>
                <w:lang/>
              </w:rPr>
              <w:t>、</w:t>
            </w:r>
            <w:r w:rsidRPr="009B3834">
              <w:rPr>
                <w:rFonts w:asciiTheme="minorEastAsia" w:eastAsiaTheme="minorEastAsia" w:hAnsiTheme="minorEastAsia"/>
                <w:i/>
                <w:kern w:val="0"/>
                <w:sz w:val="24"/>
                <w:szCs w:val="24"/>
                <w:lang/>
              </w:rPr>
              <w:t>HPT</w:t>
            </w:r>
            <w:r w:rsidRPr="009B3834">
              <w:rPr>
                <w:rFonts w:asciiTheme="minorEastAsia" w:eastAsiaTheme="minorEastAsia" w:hAnsiTheme="minorEastAsia"/>
                <w:kern w:val="0"/>
                <w:sz w:val="24"/>
                <w:szCs w:val="24"/>
                <w:lang/>
              </w:rPr>
              <w:t>和</w:t>
            </w:r>
            <w:r w:rsidRPr="009B3834">
              <w:rPr>
                <w:rFonts w:asciiTheme="minorEastAsia" w:eastAsiaTheme="minorEastAsia" w:hAnsiTheme="minorEastAsia"/>
                <w:i/>
                <w:kern w:val="0"/>
                <w:sz w:val="24"/>
                <w:szCs w:val="24"/>
                <w:lang/>
              </w:rPr>
              <w:t>PMI</w:t>
            </w:r>
          </w:p>
        </w:tc>
      </w:tr>
      <w:tr w:rsidR="009B3834" w:rsidRPr="009B3834" w:rsidTr="009B3834">
        <w:trPr>
          <w:trHeight w:hRule="exact" w:val="707"/>
        </w:trPr>
        <w:tc>
          <w:tcPr>
            <w:tcW w:w="38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3</w:t>
            </w:r>
          </w:p>
        </w:tc>
        <w:tc>
          <w:tcPr>
            <w:tcW w:w="1204"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kern w:val="0"/>
                <w:sz w:val="24"/>
                <w:szCs w:val="24"/>
                <w:lang/>
              </w:rPr>
              <w:t>GUS</w:t>
            </w:r>
          </w:p>
        </w:tc>
        <w:tc>
          <w:tcPr>
            <w:tcW w:w="341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i/>
                <w:sz w:val="24"/>
                <w:szCs w:val="24"/>
              </w:rPr>
            </w:pPr>
            <w:r w:rsidRPr="009B3834">
              <w:rPr>
                <w:rFonts w:asciiTheme="minorEastAsia" w:eastAsiaTheme="minorEastAsia" w:hAnsiTheme="minorEastAsia"/>
                <w:i/>
                <w:kern w:val="0"/>
                <w:sz w:val="24"/>
                <w:szCs w:val="24"/>
                <w:lang/>
              </w:rPr>
              <w:t>GUS</w:t>
            </w:r>
          </w:p>
        </w:tc>
      </w:tr>
      <w:tr w:rsidR="009B3834" w:rsidRPr="009B3834" w:rsidTr="009B3834">
        <w:trPr>
          <w:trHeight w:hRule="exact" w:val="857"/>
        </w:trPr>
        <w:tc>
          <w:tcPr>
            <w:tcW w:w="38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4</w:t>
            </w:r>
          </w:p>
        </w:tc>
        <w:tc>
          <w:tcPr>
            <w:tcW w:w="1204"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kern w:val="0"/>
                <w:sz w:val="24"/>
                <w:szCs w:val="24"/>
                <w:lang/>
              </w:rPr>
              <w:t>CP4-epsps</w:t>
            </w:r>
          </w:p>
        </w:tc>
        <w:tc>
          <w:tcPr>
            <w:tcW w:w="341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i/>
                <w:sz w:val="24"/>
                <w:szCs w:val="24"/>
              </w:rPr>
            </w:pPr>
            <w:r w:rsidRPr="009B3834">
              <w:rPr>
                <w:rFonts w:asciiTheme="minorEastAsia" w:eastAsiaTheme="minorEastAsia" w:hAnsiTheme="minorEastAsia"/>
                <w:i/>
                <w:kern w:val="0"/>
                <w:sz w:val="24"/>
                <w:szCs w:val="24"/>
                <w:lang/>
              </w:rPr>
              <w:t>CP4-epsps</w:t>
            </w:r>
          </w:p>
        </w:tc>
      </w:tr>
      <w:tr w:rsidR="009B3834" w:rsidRPr="009B3834" w:rsidTr="009B3834">
        <w:trPr>
          <w:trHeight w:hRule="exact" w:val="624"/>
        </w:trPr>
        <w:tc>
          <w:tcPr>
            <w:tcW w:w="38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5</w:t>
            </w:r>
          </w:p>
        </w:tc>
        <w:tc>
          <w:tcPr>
            <w:tcW w:w="1204"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kern w:val="0"/>
                <w:sz w:val="24"/>
                <w:szCs w:val="24"/>
                <w:lang/>
              </w:rPr>
              <w:t>bar或pat</w:t>
            </w:r>
          </w:p>
        </w:tc>
        <w:tc>
          <w:tcPr>
            <w:tcW w:w="341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i/>
                <w:kern w:val="0"/>
                <w:sz w:val="24"/>
                <w:szCs w:val="24"/>
                <w:lang/>
              </w:rPr>
              <w:t>bar</w:t>
            </w:r>
            <w:r w:rsidRPr="009B3834">
              <w:rPr>
                <w:rFonts w:asciiTheme="minorEastAsia" w:eastAsiaTheme="minorEastAsia" w:hAnsiTheme="minorEastAsia"/>
                <w:kern w:val="0"/>
                <w:sz w:val="24"/>
                <w:szCs w:val="24"/>
                <w:lang/>
              </w:rPr>
              <w:t>或</w:t>
            </w:r>
            <w:r w:rsidRPr="009B3834">
              <w:rPr>
                <w:rFonts w:asciiTheme="minorEastAsia" w:eastAsiaTheme="minorEastAsia" w:hAnsiTheme="minorEastAsia"/>
                <w:i/>
                <w:kern w:val="0"/>
                <w:sz w:val="24"/>
                <w:szCs w:val="24"/>
                <w:lang/>
              </w:rPr>
              <w:t>pat</w:t>
            </w:r>
          </w:p>
        </w:tc>
      </w:tr>
      <w:tr w:rsidR="009B3834" w:rsidRPr="009B3834" w:rsidTr="009B3834">
        <w:trPr>
          <w:trHeight w:hRule="exact" w:val="624"/>
        </w:trPr>
        <w:tc>
          <w:tcPr>
            <w:tcW w:w="38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6</w:t>
            </w:r>
          </w:p>
        </w:tc>
        <w:tc>
          <w:tcPr>
            <w:tcW w:w="1204"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kern w:val="0"/>
                <w:sz w:val="24"/>
                <w:szCs w:val="24"/>
                <w:lang/>
              </w:rPr>
              <w:t>Barnase</w:t>
            </w:r>
          </w:p>
        </w:tc>
        <w:tc>
          <w:tcPr>
            <w:tcW w:w="341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i/>
                <w:sz w:val="24"/>
                <w:szCs w:val="24"/>
              </w:rPr>
            </w:pPr>
            <w:r w:rsidRPr="009B3834">
              <w:rPr>
                <w:rFonts w:asciiTheme="minorEastAsia" w:eastAsiaTheme="minorEastAsia" w:hAnsiTheme="minorEastAsia"/>
                <w:i/>
                <w:kern w:val="0"/>
                <w:sz w:val="24"/>
                <w:szCs w:val="24"/>
                <w:lang/>
              </w:rPr>
              <w:t>Barnase</w:t>
            </w:r>
          </w:p>
        </w:tc>
      </w:tr>
      <w:tr w:rsidR="009B3834" w:rsidRPr="009B3834" w:rsidTr="009B3834">
        <w:trPr>
          <w:trHeight w:hRule="exact" w:val="759"/>
        </w:trPr>
        <w:tc>
          <w:tcPr>
            <w:tcW w:w="38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7</w:t>
            </w:r>
          </w:p>
        </w:tc>
        <w:tc>
          <w:tcPr>
            <w:tcW w:w="1204"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H7-1甜菜</w:t>
            </w:r>
          </w:p>
        </w:tc>
        <w:tc>
          <w:tcPr>
            <w:tcW w:w="341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kern w:val="0"/>
                <w:sz w:val="24"/>
                <w:szCs w:val="24"/>
                <w:lang/>
              </w:rPr>
              <w:t>H7-1</w:t>
            </w:r>
            <w:r w:rsidRPr="009B3834">
              <w:rPr>
                <w:rFonts w:asciiTheme="minorEastAsia" w:eastAsiaTheme="minorEastAsia" w:hAnsiTheme="minorEastAsia" w:hint="eastAsia"/>
                <w:kern w:val="0"/>
                <w:sz w:val="24"/>
                <w:szCs w:val="24"/>
                <w:lang/>
              </w:rPr>
              <w:t>、</w:t>
            </w:r>
            <w:r w:rsidRPr="009B3834">
              <w:rPr>
                <w:rFonts w:asciiTheme="minorEastAsia" w:eastAsiaTheme="minorEastAsia" w:hAnsiTheme="minorEastAsia"/>
                <w:i/>
                <w:kern w:val="0"/>
                <w:sz w:val="24"/>
                <w:szCs w:val="24"/>
                <w:lang/>
              </w:rPr>
              <w:t>FMV35S</w:t>
            </w:r>
            <w:r w:rsidRPr="009B3834">
              <w:rPr>
                <w:rFonts w:asciiTheme="minorEastAsia" w:eastAsiaTheme="minorEastAsia" w:hAnsiTheme="minorEastAsia"/>
                <w:kern w:val="0"/>
                <w:sz w:val="24"/>
                <w:szCs w:val="24"/>
                <w:lang/>
              </w:rPr>
              <w:t>启动子</w:t>
            </w:r>
            <w:r w:rsidRPr="009B3834">
              <w:rPr>
                <w:rFonts w:asciiTheme="minorEastAsia" w:eastAsiaTheme="minorEastAsia" w:hAnsiTheme="minorEastAsia" w:hint="eastAsia"/>
                <w:kern w:val="0"/>
                <w:sz w:val="24"/>
                <w:szCs w:val="24"/>
                <w:lang/>
              </w:rPr>
              <w:t>、</w:t>
            </w:r>
            <w:r w:rsidRPr="009B3834">
              <w:rPr>
                <w:rFonts w:asciiTheme="minorEastAsia" w:eastAsiaTheme="minorEastAsia" w:hAnsiTheme="minorEastAsia"/>
                <w:i/>
                <w:kern w:val="0"/>
                <w:sz w:val="24"/>
                <w:szCs w:val="24"/>
                <w:lang/>
              </w:rPr>
              <w:t>Cp4-epsps</w:t>
            </w:r>
          </w:p>
        </w:tc>
      </w:tr>
      <w:tr w:rsidR="009B3834" w:rsidRPr="009B3834" w:rsidTr="009B3834">
        <w:trPr>
          <w:trHeight w:hRule="exact" w:val="719"/>
        </w:trPr>
        <w:tc>
          <w:tcPr>
            <w:tcW w:w="38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8</w:t>
            </w:r>
          </w:p>
        </w:tc>
        <w:tc>
          <w:tcPr>
            <w:tcW w:w="1204"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MON863玉米</w:t>
            </w:r>
          </w:p>
        </w:tc>
        <w:tc>
          <w:tcPr>
            <w:tcW w:w="341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MON863</w:t>
            </w:r>
            <w:r w:rsidRPr="009B3834">
              <w:rPr>
                <w:rFonts w:asciiTheme="minorEastAsia" w:eastAsiaTheme="minorEastAsia" w:hAnsiTheme="minorEastAsia" w:hint="eastAsia"/>
                <w:sz w:val="24"/>
                <w:szCs w:val="24"/>
              </w:rPr>
              <w:t>、</w:t>
            </w:r>
            <w:r w:rsidRPr="009B3834">
              <w:rPr>
                <w:rFonts w:asciiTheme="minorEastAsia" w:eastAsiaTheme="minorEastAsia" w:hAnsiTheme="minorEastAsia" w:hint="eastAsia"/>
                <w:i/>
                <w:sz w:val="24"/>
                <w:szCs w:val="24"/>
              </w:rPr>
              <w:t>CaMV35S</w:t>
            </w:r>
            <w:r w:rsidRPr="009B3834">
              <w:rPr>
                <w:rFonts w:asciiTheme="minorEastAsia" w:eastAsiaTheme="minorEastAsia" w:hAnsiTheme="minorEastAsia" w:hint="eastAsia"/>
                <w:sz w:val="24"/>
                <w:szCs w:val="24"/>
              </w:rPr>
              <w:t>启动子、</w:t>
            </w:r>
            <w:r w:rsidRPr="009B3834">
              <w:rPr>
                <w:rFonts w:asciiTheme="minorEastAsia" w:eastAsiaTheme="minorEastAsia" w:hAnsiTheme="minorEastAsia" w:hint="eastAsia"/>
                <w:i/>
                <w:sz w:val="24"/>
                <w:szCs w:val="24"/>
              </w:rPr>
              <w:t>NOS</w:t>
            </w:r>
            <w:r w:rsidRPr="009B3834">
              <w:rPr>
                <w:rFonts w:asciiTheme="minorEastAsia" w:eastAsiaTheme="minorEastAsia" w:hAnsiTheme="minorEastAsia" w:hint="eastAsia"/>
                <w:sz w:val="24"/>
                <w:szCs w:val="24"/>
              </w:rPr>
              <w:t>终止子、</w:t>
            </w:r>
            <w:r w:rsidRPr="009B3834">
              <w:rPr>
                <w:rFonts w:asciiTheme="minorEastAsia" w:eastAsiaTheme="minorEastAsia" w:hAnsiTheme="minorEastAsia"/>
                <w:i/>
                <w:sz w:val="24"/>
                <w:szCs w:val="24"/>
              </w:rPr>
              <w:t>n</w:t>
            </w:r>
            <w:r w:rsidRPr="009B3834">
              <w:rPr>
                <w:rFonts w:asciiTheme="minorEastAsia" w:eastAsiaTheme="minorEastAsia" w:hAnsiTheme="minorEastAsia" w:hint="eastAsia"/>
                <w:i/>
                <w:sz w:val="24"/>
                <w:szCs w:val="24"/>
              </w:rPr>
              <w:t>ptII</w:t>
            </w:r>
          </w:p>
        </w:tc>
      </w:tr>
      <w:tr w:rsidR="009B3834" w:rsidRPr="009B3834" w:rsidTr="009B3834">
        <w:trPr>
          <w:trHeight w:hRule="exact" w:val="624"/>
        </w:trPr>
        <w:tc>
          <w:tcPr>
            <w:tcW w:w="38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lastRenderedPageBreak/>
              <w:t>9</w:t>
            </w:r>
          </w:p>
        </w:tc>
        <w:tc>
          <w:tcPr>
            <w:tcW w:w="1204"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MIR604玉米</w:t>
            </w:r>
          </w:p>
        </w:tc>
        <w:tc>
          <w:tcPr>
            <w:tcW w:w="341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MIR604</w:t>
            </w:r>
            <w:r w:rsidRPr="009B3834">
              <w:rPr>
                <w:rFonts w:asciiTheme="minorEastAsia" w:eastAsiaTheme="minorEastAsia" w:hAnsiTheme="minorEastAsia" w:hint="eastAsia"/>
                <w:sz w:val="24"/>
                <w:szCs w:val="24"/>
              </w:rPr>
              <w:t>、</w:t>
            </w:r>
            <w:r w:rsidRPr="009B3834">
              <w:rPr>
                <w:rFonts w:asciiTheme="minorEastAsia" w:eastAsiaTheme="minorEastAsia" w:hAnsiTheme="minorEastAsia"/>
                <w:i/>
                <w:sz w:val="24"/>
                <w:szCs w:val="24"/>
              </w:rPr>
              <w:t>NOS</w:t>
            </w:r>
            <w:r w:rsidRPr="009B3834">
              <w:rPr>
                <w:rFonts w:asciiTheme="minorEastAsia" w:eastAsiaTheme="minorEastAsia" w:hAnsiTheme="minorEastAsia"/>
                <w:sz w:val="24"/>
                <w:szCs w:val="24"/>
              </w:rPr>
              <w:t>终止子</w:t>
            </w:r>
          </w:p>
        </w:tc>
      </w:tr>
      <w:tr w:rsidR="009B3834" w:rsidRPr="009B3834" w:rsidTr="009B3834">
        <w:trPr>
          <w:trHeight w:hRule="exact" w:val="624"/>
        </w:trPr>
        <w:tc>
          <w:tcPr>
            <w:tcW w:w="38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hint="eastAsia"/>
                <w:sz w:val="24"/>
                <w:szCs w:val="24"/>
              </w:rPr>
              <w:t>10</w:t>
            </w:r>
          </w:p>
        </w:tc>
        <w:tc>
          <w:tcPr>
            <w:tcW w:w="1204"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hint="eastAsia"/>
                <w:sz w:val="24"/>
                <w:szCs w:val="24"/>
              </w:rPr>
              <w:t>MIR162玉米</w:t>
            </w:r>
          </w:p>
        </w:tc>
        <w:tc>
          <w:tcPr>
            <w:tcW w:w="341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hint="eastAsia"/>
                <w:sz w:val="24"/>
                <w:szCs w:val="24"/>
              </w:rPr>
              <w:t>MIR162</w:t>
            </w:r>
          </w:p>
        </w:tc>
      </w:tr>
      <w:tr w:rsidR="009B3834" w:rsidRPr="009B3834" w:rsidTr="009B3834">
        <w:trPr>
          <w:trHeight w:hRule="exact" w:val="624"/>
        </w:trPr>
        <w:tc>
          <w:tcPr>
            <w:tcW w:w="38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11</w:t>
            </w:r>
          </w:p>
        </w:tc>
        <w:tc>
          <w:tcPr>
            <w:tcW w:w="1204"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NK603玉米</w:t>
            </w:r>
          </w:p>
        </w:tc>
        <w:tc>
          <w:tcPr>
            <w:tcW w:w="341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NK603</w:t>
            </w:r>
            <w:r w:rsidRPr="009B3834">
              <w:rPr>
                <w:rFonts w:asciiTheme="minorEastAsia" w:eastAsiaTheme="minorEastAsia" w:hAnsiTheme="minorEastAsia" w:hint="eastAsia"/>
                <w:sz w:val="24"/>
                <w:szCs w:val="24"/>
              </w:rPr>
              <w:t>、</w:t>
            </w:r>
            <w:r w:rsidRPr="009B3834">
              <w:rPr>
                <w:rFonts w:asciiTheme="minorEastAsia" w:eastAsiaTheme="minorEastAsia" w:hAnsiTheme="minorEastAsia"/>
                <w:i/>
                <w:sz w:val="24"/>
                <w:szCs w:val="24"/>
              </w:rPr>
              <w:t>NOS</w:t>
            </w:r>
            <w:r w:rsidRPr="009B3834">
              <w:rPr>
                <w:rFonts w:asciiTheme="minorEastAsia" w:eastAsiaTheme="minorEastAsia" w:hAnsiTheme="minorEastAsia"/>
                <w:kern w:val="0"/>
                <w:sz w:val="24"/>
                <w:szCs w:val="24"/>
                <w:lang/>
              </w:rPr>
              <w:t>终止子</w:t>
            </w:r>
            <w:r w:rsidRPr="009B3834">
              <w:rPr>
                <w:rFonts w:asciiTheme="minorEastAsia" w:eastAsiaTheme="minorEastAsia" w:hAnsiTheme="minorEastAsia" w:hint="eastAsia"/>
                <w:kern w:val="0"/>
                <w:sz w:val="24"/>
                <w:szCs w:val="24"/>
                <w:lang/>
              </w:rPr>
              <w:t>、</w:t>
            </w:r>
            <w:r w:rsidRPr="009B3834">
              <w:rPr>
                <w:rFonts w:asciiTheme="minorEastAsia" w:eastAsiaTheme="minorEastAsia" w:hAnsiTheme="minorEastAsia"/>
                <w:kern w:val="0"/>
                <w:sz w:val="24"/>
                <w:szCs w:val="24"/>
                <w:lang/>
              </w:rPr>
              <w:t>Cp4-epsps</w:t>
            </w:r>
          </w:p>
        </w:tc>
      </w:tr>
      <w:tr w:rsidR="009B3834" w:rsidRPr="009B3834" w:rsidTr="009B3834">
        <w:trPr>
          <w:trHeight w:hRule="exact" w:val="624"/>
        </w:trPr>
        <w:tc>
          <w:tcPr>
            <w:tcW w:w="38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12</w:t>
            </w:r>
          </w:p>
        </w:tc>
        <w:tc>
          <w:tcPr>
            <w:tcW w:w="1204"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T25玉米</w:t>
            </w:r>
          </w:p>
        </w:tc>
        <w:tc>
          <w:tcPr>
            <w:tcW w:w="341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kern w:val="0"/>
                <w:sz w:val="24"/>
                <w:szCs w:val="24"/>
                <w:lang/>
              </w:rPr>
              <w:t>T25</w:t>
            </w:r>
            <w:r w:rsidRPr="009B3834">
              <w:rPr>
                <w:rFonts w:asciiTheme="minorEastAsia" w:eastAsiaTheme="minorEastAsia" w:hAnsiTheme="minorEastAsia" w:hint="eastAsia"/>
                <w:kern w:val="0"/>
                <w:sz w:val="24"/>
                <w:szCs w:val="24"/>
                <w:lang/>
              </w:rPr>
              <w:t>、</w:t>
            </w:r>
            <w:r w:rsidRPr="009B3834">
              <w:rPr>
                <w:rFonts w:asciiTheme="minorEastAsia" w:eastAsiaTheme="minorEastAsia" w:hAnsiTheme="minorEastAsia"/>
                <w:i/>
                <w:kern w:val="0"/>
                <w:sz w:val="24"/>
                <w:szCs w:val="24"/>
                <w:lang/>
              </w:rPr>
              <w:t>CaMV 35S</w:t>
            </w:r>
            <w:r w:rsidRPr="009B3834">
              <w:rPr>
                <w:rFonts w:asciiTheme="minorEastAsia" w:eastAsiaTheme="minorEastAsia" w:hAnsiTheme="minorEastAsia"/>
                <w:kern w:val="0"/>
                <w:sz w:val="24"/>
                <w:szCs w:val="24"/>
                <w:lang/>
              </w:rPr>
              <w:t>启动子</w:t>
            </w:r>
            <w:r w:rsidRPr="009B3834">
              <w:rPr>
                <w:rFonts w:asciiTheme="minorEastAsia" w:eastAsiaTheme="minorEastAsia" w:hAnsiTheme="minorEastAsia" w:hint="eastAsia"/>
                <w:kern w:val="0"/>
                <w:sz w:val="24"/>
                <w:szCs w:val="24"/>
                <w:lang/>
              </w:rPr>
              <w:t>、</w:t>
            </w:r>
            <w:r w:rsidRPr="009B3834">
              <w:rPr>
                <w:rFonts w:asciiTheme="minorEastAsia" w:eastAsiaTheme="minorEastAsia" w:hAnsiTheme="minorEastAsia"/>
                <w:i/>
                <w:kern w:val="0"/>
                <w:sz w:val="24"/>
                <w:szCs w:val="24"/>
                <w:lang/>
              </w:rPr>
              <w:t>pat</w:t>
            </w:r>
          </w:p>
        </w:tc>
      </w:tr>
      <w:tr w:rsidR="009B3834" w:rsidRPr="009B3834" w:rsidTr="009B3834">
        <w:trPr>
          <w:trHeight w:hRule="exact" w:val="885"/>
        </w:trPr>
        <w:tc>
          <w:tcPr>
            <w:tcW w:w="38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13</w:t>
            </w:r>
          </w:p>
        </w:tc>
        <w:tc>
          <w:tcPr>
            <w:tcW w:w="1204"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MON89034 玉米</w:t>
            </w:r>
          </w:p>
        </w:tc>
        <w:tc>
          <w:tcPr>
            <w:tcW w:w="3413" w:type="pct"/>
            <w:shd w:val="clear" w:color="auto" w:fill="auto"/>
            <w:vAlign w:val="center"/>
          </w:tcPr>
          <w:p w:rsidR="009B3834" w:rsidRPr="009B3834" w:rsidRDefault="009B3834" w:rsidP="001716F5">
            <w:pPr>
              <w:spacing w:line="72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MON89034</w:t>
            </w:r>
            <w:r w:rsidRPr="009B3834">
              <w:rPr>
                <w:rFonts w:asciiTheme="minorEastAsia" w:eastAsiaTheme="minorEastAsia" w:hAnsiTheme="minorEastAsia" w:hint="eastAsia"/>
                <w:i/>
                <w:sz w:val="24"/>
                <w:szCs w:val="24"/>
              </w:rPr>
              <w:t>、</w:t>
            </w:r>
            <w:r w:rsidRPr="009B3834">
              <w:rPr>
                <w:rFonts w:asciiTheme="minorEastAsia" w:eastAsiaTheme="minorEastAsia" w:hAnsiTheme="minorEastAsia"/>
                <w:i/>
                <w:sz w:val="24"/>
                <w:szCs w:val="24"/>
              </w:rPr>
              <w:t>CaMV35S</w:t>
            </w:r>
            <w:r w:rsidRPr="009B3834">
              <w:rPr>
                <w:rFonts w:asciiTheme="minorEastAsia" w:eastAsiaTheme="minorEastAsia" w:hAnsiTheme="minorEastAsia" w:hint="eastAsia"/>
                <w:sz w:val="24"/>
                <w:szCs w:val="24"/>
              </w:rPr>
              <w:t>启动子</w:t>
            </w:r>
            <w:r w:rsidRPr="009B3834">
              <w:rPr>
                <w:rFonts w:asciiTheme="minorEastAsia" w:eastAsiaTheme="minorEastAsia" w:hAnsiTheme="minorEastAsia"/>
                <w:sz w:val="24"/>
                <w:szCs w:val="24"/>
              </w:rPr>
              <w:t>、</w:t>
            </w:r>
            <w:r w:rsidRPr="009B3834">
              <w:rPr>
                <w:rFonts w:asciiTheme="minorEastAsia" w:eastAsiaTheme="minorEastAsia" w:hAnsiTheme="minorEastAsia"/>
                <w:i/>
                <w:sz w:val="24"/>
                <w:szCs w:val="24"/>
              </w:rPr>
              <w:t>FMV35S</w:t>
            </w:r>
            <w:r w:rsidRPr="009B3834">
              <w:rPr>
                <w:rFonts w:asciiTheme="minorEastAsia" w:eastAsiaTheme="minorEastAsia" w:hAnsiTheme="minorEastAsia"/>
                <w:sz w:val="24"/>
                <w:szCs w:val="24"/>
              </w:rPr>
              <w:t>启动子</w:t>
            </w:r>
            <w:r w:rsidRPr="009B3834">
              <w:rPr>
                <w:rFonts w:asciiTheme="minorEastAsia" w:eastAsiaTheme="minorEastAsia" w:hAnsiTheme="minorEastAsia" w:hint="eastAsia"/>
                <w:sz w:val="24"/>
                <w:szCs w:val="24"/>
              </w:rPr>
              <w:t>、</w:t>
            </w:r>
            <w:r w:rsidRPr="009B3834">
              <w:rPr>
                <w:rFonts w:asciiTheme="minorEastAsia" w:eastAsiaTheme="minorEastAsia" w:hAnsiTheme="minorEastAsia"/>
                <w:i/>
                <w:sz w:val="24"/>
                <w:szCs w:val="24"/>
              </w:rPr>
              <w:t>NOS</w:t>
            </w:r>
            <w:r w:rsidRPr="009B3834">
              <w:rPr>
                <w:rFonts w:asciiTheme="minorEastAsia" w:eastAsiaTheme="minorEastAsia" w:hAnsiTheme="minorEastAsia" w:hint="eastAsia"/>
                <w:sz w:val="24"/>
                <w:szCs w:val="24"/>
              </w:rPr>
              <w:t>终止子</w:t>
            </w:r>
          </w:p>
          <w:p w:rsidR="009B3834" w:rsidRPr="009B3834" w:rsidRDefault="009B3834" w:rsidP="001716F5">
            <w:pPr>
              <w:spacing w:line="480" w:lineRule="auto"/>
              <w:jc w:val="center"/>
              <w:rPr>
                <w:rFonts w:asciiTheme="minorEastAsia" w:eastAsiaTheme="minorEastAsia" w:hAnsiTheme="minorEastAsia"/>
                <w:sz w:val="24"/>
                <w:szCs w:val="24"/>
              </w:rPr>
            </w:pPr>
          </w:p>
        </w:tc>
      </w:tr>
      <w:tr w:rsidR="009B3834" w:rsidRPr="009B3834" w:rsidTr="009B3834">
        <w:trPr>
          <w:trHeight w:hRule="exact" w:val="572"/>
        </w:trPr>
        <w:tc>
          <w:tcPr>
            <w:tcW w:w="38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14</w:t>
            </w:r>
          </w:p>
        </w:tc>
        <w:tc>
          <w:tcPr>
            <w:tcW w:w="1204"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BVLA430101玉米</w:t>
            </w:r>
          </w:p>
        </w:tc>
        <w:tc>
          <w:tcPr>
            <w:tcW w:w="341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BVLA430101</w:t>
            </w:r>
          </w:p>
        </w:tc>
      </w:tr>
      <w:tr w:rsidR="009B3834" w:rsidRPr="009B3834" w:rsidTr="009B3834">
        <w:trPr>
          <w:trHeight w:hRule="exact" w:val="835"/>
        </w:trPr>
        <w:tc>
          <w:tcPr>
            <w:tcW w:w="38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15</w:t>
            </w:r>
          </w:p>
        </w:tc>
        <w:tc>
          <w:tcPr>
            <w:tcW w:w="1204"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59122玉米</w:t>
            </w:r>
          </w:p>
        </w:tc>
        <w:tc>
          <w:tcPr>
            <w:tcW w:w="341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59122、</w:t>
            </w:r>
            <w:r w:rsidRPr="009B3834">
              <w:rPr>
                <w:rFonts w:asciiTheme="minorEastAsia" w:eastAsiaTheme="minorEastAsia" w:hAnsiTheme="minorEastAsia"/>
                <w:i/>
                <w:sz w:val="24"/>
                <w:szCs w:val="24"/>
              </w:rPr>
              <w:t>CaMV35S</w:t>
            </w:r>
            <w:r w:rsidRPr="009B3834">
              <w:rPr>
                <w:rFonts w:asciiTheme="minorEastAsia" w:eastAsiaTheme="minorEastAsia" w:hAnsiTheme="minorEastAsia"/>
                <w:sz w:val="24"/>
                <w:szCs w:val="24"/>
              </w:rPr>
              <w:t>启动子</w:t>
            </w:r>
          </w:p>
        </w:tc>
      </w:tr>
      <w:tr w:rsidR="009B3834" w:rsidRPr="009B3834" w:rsidTr="009B3834">
        <w:trPr>
          <w:trHeight w:hRule="exact" w:val="706"/>
        </w:trPr>
        <w:tc>
          <w:tcPr>
            <w:tcW w:w="38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16</w:t>
            </w:r>
          </w:p>
        </w:tc>
        <w:tc>
          <w:tcPr>
            <w:tcW w:w="1204"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MON88017玉米</w:t>
            </w:r>
          </w:p>
        </w:tc>
        <w:tc>
          <w:tcPr>
            <w:tcW w:w="341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MON88017</w:t>
            </w:r>
            <w:r w:rsidRPr="009B3834">
              <w:rPr>
                <w:rFonts w:asciiTheme="minorEastAsia" w:eastAsiaTheme="minorEastAsia" w:hAnsiTheme="minorEastAsia" w:hint="eastAsia"/>
                <w:sz w:val="24"/>
                <w:szCs w:val="24"/>
              </w:rPr>
              <w:t>、</w:t>
            </w:r>
            <w:r w:rsidRPr="009B3834">
              <w:rPr>
                <w:rFonts w:asciiTheme="minorEastAsia" w:eastAsiaTheme="minorEastAsia" w:hAnsiTheme="minorEastAsia"/>
                <w:i/>
                <w:sz w:val="24"/>
                <w:szCs w:val="24"/>
              </w:rPr>
              <w:t>CaMV35S</w:t>
            </w:r>
            <w:r w:rsidRPr="009B3834">
              <w:rPr>
                <w:rFonts w:asciiTheme="minorEastAsia" w:eastAsiaTheme="minorEastAsia" w:hAnsiTheme="minorEastAsia"/>
                <w:sz w:val="24"/>
                <w:szCs w:val="24"/>
              </w:rPr>
              <w:t>启动子、</w:t>
            </w:r>
            <w:r w:rsidRPr="009B3834">
              <w:rPr>
                <w:rFonts w:asciiTheme="minorEastAsia" w:eastAsiaTheme="minorEastAsia" w:hAnsiTheme="minorEastAsia"/>
                <w:i/>
                <w:sz w:val="24"/>
                <w:szCs w:val="24"/>
              </w:rPr>
              <w:t>NOS</w:t>
            </w:r>
            <w:r w:rsidRPr="009B3834">
              <w:rPr>
                <w:rFonts w:asciiTheme="minorEastAsia" w:eastAsiaTheme="minorEastAsia" w:hAnsiTheme="minorEastAsia"/>
                <w:sz w:val="24"/>
                <w:szCs w:val="24"/>
              </w:rPr>
              <w:t>终止子</w:t>
            </w:r>
          </w:p>
        </w:tc>
      </w:tr>
      <w:tr w:rsidR="009B3834" w:rsidRPr="009B3834" w:rsidTr="009B3834">
        <w:trPr>
          <w:trHeight w:hRule="exact" w:val="653"/>
        </w:trPr>
        <w:tc>
          <w:tcPr>
            <w:tcW w:w="38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17</w:t>
            </w:r>
          </w:p>
        </w:tc>
        <w:tc>
          <w:tcPr>
            <w:tcW w:w="1204"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3272玉米</w:t>
            </w:r>
          </w:p>
        </w:tc>
        <w:tc>
          <w:tcPr>
            <w:tcW w:w="341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3272</w:t>
            </w:r>
            <w:r w:rsidRPr="009B3834">
              <w:rPr>
                <w:rFonts w:asciiTheme="minorEastAsia" w:eastAsiaTheme="minorEastAsia" w:hAnsiTheme="minorEastAsia" w:hint="eastAsia"/>
                <w:sz w:val="24"/>
                <w:szCs w:val="24"/>
              </w:rPr>
              <w:t>、</w:t>
            </w:r>
            <w:r w:rsidRPr="009B3834">
              <w:rPr>
                <w:rFonts w:asciiTheme="minorEastAsia" w:eastAsiaTheme="minorEastAsia" w:hAnsiTheme="minorEastAsia"/>
                <w:i/>
                <w:sz w:val="24"/>
                <w:szCs w:val="24"/>
              </w:rPr>
              <w:t>NOS</w:t>
            </w:r>
            <w:r w:rsidRPr="009B3834">
              <w:rPr>
                <w:rFonts w:asciiTheme="minorEastAsia" w:eastAsiaTheme="minorEastAsia" w:hAnsiTheme="minorEastAsia"/>
                <w:sz w:val="24"/>
                <w:szCs w:val="24"/>
              </w:rPr>
              <w:t>终止子</w:t>
            </w:r>
          </w:p>
        </w:tc>
      </w:tr>
      <w:tr w:rsidR="009B3834" w:rsidRPr="009B3834" w:rsidTr="009B3834">
        <w:trPr>
          <w:trHeight w:hRule="exact" w:val="624"/>
        </w:trPr>
        <w:tc>
          <w:tcPr>
            <w:tcW w:w="38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18</w:t>
            </w:r>
          </w:p>
        </w:tc>
        <w:tc>
          <w:tcPr>
            <w:tcW w:w="1204"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DAS-40278玉米</w:t>
            </w:r>
          </w:p>
        </w:tc>
        <w:tc>
          <w:tcPr>
            <w:tcW w:w="341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DAS-40278</w:t>
            </w:r>
          </w:p>
        </w:tc>
      </w:tr>
      <w:tr w:rsidR="009B3834" w:rsidRPr="009B3834" w:rsidTr="009B3834">
        <w:trPr>
          <w:trHeight w:hRule="exact" w:val="578"/>
        </w:trPr>
        <w:tc>
          <w:tcPr>
            <w:tcW w:w="38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19</w:t>
            </w:r>
          </w:p>
        </w:tc>
        <w:tc>
          <w:tcPr>
            <w:tcW w:w="1204"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Bt11玉米</w:t>
            </w:r>
          </w:p>
        </w:tc>
        <w:tc>
          <w:tcPr>
            <w:tcW w:w="341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Bt11</w:t>
            </w:r>
            <w:r w:rsidRPr="009B3834">
              <w:rPr>
                <w:rFonts w:asciiTheme="minorEastAsia" w:eastAsiaTheme="minorEastAsia" w:hAnsiTheme="minorEastAsia" w:hint="eastAsia"/>
                <w:sz w:val="24"/>
                <w:szCs w:val="24"/>
              </w:rPr>
              <w:t>、</w:t>
            </w:r>
            <w:r w:rsidRPr="009B3834">
              <w:rPr>
                <w:rFonts w:asciiTheme="minorEastAsia" w:eastAsiaTheme="minorEastAsia" w:hAnsiTheme="minorEastAsia"/>
                <w:i/>
                <w:sz w:val="24"/>
                <w:szCs w:val="24"/>
              </w:rPr>
              <w:t>CaMV35S</w:t>
            </w:r>
            <w:r w:rsidRPr="009B3834">
              <w:rPr>
                <w:rFonts w:asciiTheme="minorEastAsia" w:eastAsiaTheme="minorEastAsia" w:hAnsiTheme="minorEastAsia"/>
                <w:sz w:val="24"/>
                <w:szCs w:val="24"/>
              </w:rPr>
              <w:t>启动子</w:t>
            </w:r>
            <w:r w:rsidRPr="009B3834">
              <w:rPr>
                <w:rFonts w:asciiTheme="minorEastAsia" w:eastAsiaTheme="minorEastAsia" w:hAnsiTheme="minorEastAsia" w:hint="eastAsia"/>
                <w:sz w:val="24"/>
                <w:szCs w:val="24"/>
              </w:rPr>
              <w:t>、</w:t>
            </w:r>
            <w:r w:rsidRPr="009B3834">
              <w:rPr>
                <w:rFonts w:asciiTheme="minorEastAsia" w:eastAsiaTheme="minorEastAsia" w:hAnsiTheme="minorEastAsia"/>
                <w:i/>
                <w:sz w:val="24"/>
                <w:szCs w:val="24"/>
              </w:rPr>
              <w:t>NOS</w:t>
            </w:r>
            <w:r w:rsidRPr="009B3834">
              <w:rPr>
                <w:rFonts w:asciiTheme="minorEastAsia" w:eastAsiaTheme="minorEastAsia" w:hAnsiTheme="minorEastAsia"/>
                <w:sz w:val="24"/>
                <w:szCs w:val="24"/>
              </w:rPr>
              <w:t>终止子</w:t>
            </w:r>
            <w:r w:rsidRPr="009B3834">
              <w:rPr>
                <w:rFonts w:asciiTheme="minorEastAsia" w:eastAsiaTheme="minorEastAsia" w:hAnsiTheme="minorEastAsia" w:hint="eastAsia"/>
                <w:sz w:val="24"/>
                <w:szCs w:val="24"/>
              </w:rPr>
              <w:t>、</w:t>
            </w:r>
            <w:r w:rsidRPr="009B3834">
              <w:rPr>
                <w:rFonts w:asciiTheme="minorEastAsia" w:eastAsiaTheme="minorEastAsia" w:hAnsiTheme="minorEastAsia"/>
                <w:i/>
                <w:sz w:val="24"/>
                <w:szCs w:val="24"/>
              </w:rPr>
              <w:t>cry1Ab</w:t>
            </w:r>
          </w:p>
        </w:tc>
      </w:tr>
      <w:tr w:rsidR="009B3834" w:rsidRPr="009B3834" w:rsidTr="009B3834">
        <w:trPr>
          <w:trHeight w:hRule="exact" w:val="578"/>
        </w:trPr>
        <w:tc>
          <w:tcPr>
            <w:tcW w:w="38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20</w:t>
            </w:r>
          </w:p>
        </w:tc>
        <w:tc>
          <w:tcPr>
            <w:tcW w:w="1204"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Bt176玉米</w:t>
            </w:r>
          </w:p>
        </w:tc>
        <w:tc>
          <w:tcPr>
            <w:tcW w:w="341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Bt176</w:t>
            </w:r>
            <w:r w:rsidRPr="009B3834">
              <w:rPr>
                <w:rFonts w:asciiTheme="minorEastAsia" w:eastAsiaTheme="minorEastAsia" w:hAnsiTheme="minorEastAsia" w:hint="eastAsia"/>
                <w:sz w:val="24"/>
                <w:szCs w:val="24"/>
              </w:rPr>
              <w:t>、</w:t>
            </w:r>
            <w:r w:rsidRPr="009B3834">
              <w:rPr>
                <w:rFonts w:asciiTheme="minorEastAsia" w:eastAsiaTheme="minorEastAsia" w:hAnsiTheme="minorEastAsia"/>
                <w:i/>
                <w:sz w:val="24"/>
                <w:szCs w:val="24"/>
              </w:rPr>
              <w:t>CaMV35S</w:t>
            </w:r>
            <w:r w:rsidRPr="009B3834">
              <w:rPr>
                <w:rFonts w:asciiTheme="minorEastAsia" w:eastAsiaTheme="minorEastAsia" w:hAnsiTheme="minorEastAsia"/>
                <w:sz w:val="24"/>
                <w:szCs w:val="24"/>
              </w:rPr>
              <w:t>启动子</w:t>
            </w:r>
          </w:p>
        </w:tc>
      </w:tr>
      <w:tr w:rsidR="009B3834" w:rsidRPr="009B3834" w:rsidTr="009B3834">
        <w:trPr>
          <w:trHeight w:hRule="exact" w:val="624"/>
        </w:trPr>
        <w:tc>
          <w:tcPr>
            <w:tcW w:w="38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21</w:t>
            </w:r>
          </w:p>
        </w:tc>
        <w:tc>
          <w:tcPr>
            <w:tcW w:w="1204"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J101 苜蓿</w:t>
            </w:r>
          </w:p>
        </w:tc>
        <w:tc>
          <w:tcPr>
            <w:tcW w:w="341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J101</w:t>
            </w:r>
          </w:p>
        </w:tc>
      </w:tr>
      <w:tr w:rsidR="009B3834" w:rsidRPr="009B3834" w:rsidTr="009B3834">
        <w:trPr>
          <w:trHeight w:hRule="exact" w:val="624"/>
        </w:trPr>
        <w:tc>
          <w:tcPr>
            <w:tcW w:w="38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22</w:t>
            </w:r>
          </w:p>
        </w:tc>
        <w:tc>
          <w:tcPr>
            <w:tcW w:w="1204"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MON810玉米</w:t>
            </w:r>
          </w:p>
        </w:tc>
        <w:tc>
          <w:tcPr>
            <w:tcW w:w="341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MON810</w:t>
            </w:r>
            <w:r w:rsidRPr="009B3834">
              <w:rPr>
                <w:rFonts w:asciiTheme="minorEastAsia" w:eastAsiaTheme="minorEastAsia" w:hAnsiTheme="minorEastAsia" w:hint="eastAsia"/>
                <w:sz w:val="24"/>
                <w:szCs w:val="24"/>
              </w:rPr>
              <w:t>、</w:t>
            </w:r>
            <w:r w:rsidRPr="009B3834">
              <w:rPr>
                <w:rFonts w:asciiTheme="minorEastAsia" w:eastAsiaTheme="minorEastAsia" w:hAnsiTheme="minorEastAsia"/>
                <w:i/>
                <w:sz w:val="24"/>
                <w:szCs w:val="24"/>
              </w:rPr>
              <w:t>CaMV35S</w:t>
            </w:r>
            <w:r w:rsidRPr="009B3834">
              <w:rPr>
                <w:rFonts w:asciiTheme="minorEastAsia" w:eastAsiaTheme="minorEastAsia" w:hAnsiTheme="minorEastAsia"/>
                <w:sz w:val="24"/>
                <w:szCs w:val="24"/>
              </w:rPr>
              <w:t>启动子</w:t>
            </w:r>
            <w:r w:rsidRPr="009B3834">
              <w:rPr>
                <w:rFonts w:asciiTheme="minorEastAsia" w:eastAsiaTheme="minorEastAsia" w:hAnsiTheme="minorEastAsia" w:hint="eastAsia"/>
                <w:sz w:val="24"/>
                <w:szCs w:val="24"/>
              </w:rPr>
              <w:t>、</w:t>
            </w:r>
            <w:r w:rsidRPr="009B3834">
              <w:rPr>
                <w:rFonts w:asciiTheme="minorEastAsia" w:eastAsiaTheme="minorEastAsia" w:hAnsiTheme="minorEastAsia"/>
                <w:i/>
                <w:sz w:val="24"/>
                <w:szCs w:val="24"/>
              </w:rPr>
              <w:t>cry1Ab</w:t>
            </w:r>
          </w:p>
        </w:tc>
      </w:tr>
      <w:tr w:rsidR="009B3834" w:rsidRPr="009B3834" w:rsidTr="009B3834">
        <w:trPr>
          <w:trHeight w:hRule="exact" w:val="624"/>
        </w:trPr>
        <w:tc>
          <w:tcPr>
            <w:tcW w:w="38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23</w:t>
            </w:r>
          </w:p>
        </w:tc>
        <w:tc>
          <w:tcPr>
            <w:tcW w:w="1204"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IE09S034玉米</w:t>
            </w:r>
          </w:p>
        </w:tc>
        <w:tc>
          <w:tcPr>
            <w:tcW w:w="341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IE09S034</w:t>
            </w:r>
          </w:p>
        </w:tc>
      </w:tr>
      <w:tr w:rsidR="009B3834" w:rsidRPr="009B3834" w:rsidTr="009B3834">
        <w:trPr>
          <w:trHeight w:hRule="exact" w:val="624"/>
        </w:trPr>
        <w:tc>
          <w:tcPr>
            <w:tcW w:w="38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24</w:t>
            </w:r>
          </w:p>
        </w:tc>
        <w:tc>
          <w:tcPr>
            <w:tcW w:w="1204"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双抗12-5玉米</w:t>
            </w:r>
          </w:p>
        </w:tc>
        <w:tc>
          <w:tcPr>
            <w:tcW w:w="341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hint="eastAsia"/>
                <w:sz w:val="24"/>
                <w:szCs w:val="24"/>
              </w:rPr>
              <w:t>双抗12-5</w:t>
            </w:r>
          </w:p>
        </w:tc>
      </w:tr>
      <w:tr w:rsidR="009B3834" w:rsidRPr="009B3834" w:rsidTr="009B3834">
        <w:trPr>
          <w:trHeight w:hRule="exact" w:val="624"/>
        </w:trPr>
        <w:tc>
          <w:tcPr>
            <w:tcW w:w="38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25</w:t>
            </w:r>
          </w:p>
        </w:tc>
        <w:tc>
          <w:tcPr>
            <w:tcW w:w="1204"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MON89788 大豆</w:t>
            </w:r>
          </w:p>
        </w:tc>
        <w:tc>
          <w:tcPr>
            <w:tcW w:w="341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 xml:space="preserve">MON89788 </w:t>
            </w:r>
            <w:r w:rsidRPr="009B3834">
              <w:rPr>
                <w:rFonts w:asciiTheme="minorEastAsia" w:eastAsiaTheme="minorEastAsia" w:hAnsiTheme="minorEastAsia" w:hint="eastAsia"/>
                <w:sz w:val="24"/>
                <w:szCs w:val="24"/>
              </w:rPr>
              <w:t>、</w:t>
            </w:r>
            <w:r w:rsidRPr="009B3834">
              <w:rPr>
                <w:rFonts w:asciiTheme="minorEastAsia" w:eastAsiaTheme="minorEastAsia" w:hAnsiTheme="minorEastAsia"/>
                <w:i/>
                <w:sz w:val="24"/>
                <w:szCs w:val="24"/>
              </w:rPr>
              <w:t>FMV35S</w:t>
            </w:r>
            <w:r w:rsidRPr="009B3834">
              <w:rPr>
                <w:rFonts w:asciiTheme="minorEastAsia" w:eastAsiaTheme="minorEastAsia" w:hAnsiTheme="minorEastAsia"/>
                <w:sz w:val="24"/>
                <w:szCs w:val="24"/>
              </w:rPr>
              <w:t>启动子</w:t>
            </w:r>
            <w:r w:rsidRPr="009B3834">
              <w:rPr>
                <w:rFonts w:asciiTheme="minorEastAsia" w:eastAsiaTheme="minorEastAsia" w:hAnsiTheme="minorEastAsia" w:hint="eastAsia"/>
                <w:sz w:val="24"/>
                <w:szCs w:val="24"/>
              </w:rPr>
              <w:t>、</w:t>
            </w:r>
            <w:r w:rsidRPr="009B3834">
              <w:rPr>
                <w:rFonts w:asciiTheme="minorEastAsia" w:eastAsiaTheme="minorEastAsia" w:hAnsiTheme="minorEastAsia"/>
                <w:i/>
                <w:sz w:val="24"/>
                <w:szCs w:val="24"/>
              </w:rPr>
              <w:t>Cp4-epsps</w:t>
            </w:r>
          </w:p>
        </w:tc>
      </w:tr>
      <w:tr w:rsidR="009B3834" w:rsidRPr="009B3834" w:rsidTr="009B3834">
        <w:trPr>
          <w:trHeight w:hRule="exact" w:val="734"/>
        </w:trPr>
        <w:tc>
          <w:tcPr>
            <w:tcW w:w="38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26</w:t>
            </w:r>
          </w:p>
        </w:tc>
        <w:tc>
          <w:tcPr>
            <w:tcW w:w="1204"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A2704-12大豆</w:t>
            </w:r>
          </w:p>
        </w:tc>
        <w:tc>
          <w:tcPr>
            <w:tcW w:w="341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A2704-12</w:t>
            </w:r>
            <w:r w:rsidRPr="009B3834">
              <w:rPr>
                <w:rFonts w:asciiTheme="minorEastAsia" w:eastAsiaTheme="minorEastAsia" w:hAnsiTheme="minorEastAsia" w:hint="eastAsia"/>
                <w:sz w:val="24"/>
                <w:szCs w:val="24"/>
              </w:rPr>
              <w:t>、</w:t>
            </w:r>
            <w:r w:rsidRPr="009B3834">
              <w:rPr>
                <w:rFonts w:asciiTheme="minorEastAsia" w:eastAsiaTheme="minorEastAsia" w:hAnsiTheme="minorEastAsia"/>
                <w:i/>
                <w:sz w:val="24"/>
                <w:szCs w:val="24"/>
              </w:rPr>
              <w:t>CaMV35S</w:t>
            </w:r>
            <w:r w:rsidRPr="009B3834">
              <w:rPr>
                <w:rFonts w:asciiTheme="minorEastAsia" w:eastAsiaTheme="minorEastAsia" w:hAnsiTheme="minorEastAsia"/>
                <w:sz w:val="24"/>
                <w:szCs w:val="24"/>
              </w:rPr>
              <w:t>启动子</w:t>
            </w:r>
            <w:r w:rsidRPr="009B3834">
              <w:rPr>
                <w:rFonts w:asciiTheme="minorEastAsia" w:eastAsiaTheme="minorEastAsia" w:hAnsiTheme="minorEastAsia" w:hint="eastAsia"/>
                <w:sz w:val="24"/>
                <w:szCs w:val="24"/>
              </w:rPr>
              <w:t>、</w:t>
            </w:r>
            <w:r w:rsidRPr="009B3834">
              <w:rPr>
                <w:rFonts w:asciiTheme="minorEastAsia" w:eastAsiaTheme="minorEastAsia" w:hAnsiTheme="minorEastAsia"/>
                <w:i/>
                <w:sz w:val="24"/>
                <w:szCs w:val="24"/>
              </w:rPr>
              <w:t>pat</w:t>
            </w:r>
          </w:p>
        </w:tc>
      </w:tr>
      <w:tr w:rsidR="009B3834" w:rsidRPr="009B3834" w:rsidTr="009B3834">
        <w:trPr>
          <w:trHeight w:hRule="exact" w:val="624"/>
        </w:trPr>
        <w:tc>
          <w:tcPr>
            <w:tcW w:w="38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27</w:t>
            </w:r>
          </w:p>
        </w:tc>
        <w:tc>
          <w:tcPr>
            <w:tcW w:w="1204"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A5547-127 大豆</w:t>
            </w:r>
          </w:p>
        </w:tc>
        <w:tc>
          <w:tcPr>
            <w:tcW w:w="341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A5547-127</w:t>
            </w:r>
            <w:r w:rsidRPr="009B3834">
              <w:rPr>
                <w:rFonts w:asciiTheme="minorEastAsia" w:eastAsiaTheme="minorEastAsia" w:hAnsiTheme="minorEastAsia" w:hint="eastAsia"/>
                <w:sz w:val="24"/>
                <w:szCs w:val="24"/>
              </w:rPr>
              <w:t>、</w:t>
            </w:r>
            <w:r w:rsidRPr="009B3834">
              <w:rPr>
                <w:rFonts w:asciiTheme="minorEastAsia" w:eastAsiaTheme="minorEastAsia" w:hAnsiTheme="minorEastAsia"/>
                <w:i/>
                <w:sz w:val="24"/>
                <w:szCs w:val="24"/>
              </w:rPr>
              <w:t>CaMV35S</w:t>
            </w:r>
            <w:r w:rsidRPr="009B3834">
              <w:rPr>
                <w:rFonts w:asciiTheme="minorEastAsia" w:eastAsiaTheme="minorEastAsia" w:hAnsiTheme="minorEastAsia"/>
                <w:sz w:val="24"/>
                <w:szCs w:val="24"/>
              </w:rPr>
              <w:t>启动子</w:t>
            </w:r>
            <w:r w:rsidRPr="009B3834">
              <w:rPr>
                <w:rFonts w:asciiTheme="minorEastAsia" w:eastAsiaTheme="minorEastAsia" w:hAnsiTheme="minorEastAsia" w:hint="eastAsia"/>
                <w:sz w:val="24"/>
                <w:szCs w:val="24"/>
              </w:rPr>
              <w:t>、</w:t>
            </w:r>
            <w:r w:rsidRPr="009B3834">
              <w:rPr>
                <w:rFonts w:asciiTheme="minorEastAsia" w:eastAsiaTheme="minorEastAsia" w:hAnsiTheme="minorEastAsia"/>
                <w:i/>
                <w:sz w:val="24"/>
                <w:szCs w:val="24"/>
              </w:rPr>
              <w:t>pat</w:t>
            </w:r>
          </w:p>
        </w:tc>
      </w:tr>
      <w:tr w:rsidR="009B3834" w:rsidRPr="009B3834" w:rsidTr="009B3834">
        <w:trPr>
          <w:trHeight w:hRule="exact" w:val="624"/>
        </w:trPr>
        <w:tc>
          <w:tcPr>
            <w:tcW w:w="38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28</w:t>
            </w:r>
          </w:p>
        </w:tc>
        <w:tc>
          <w:tcPr>
            <w:tcW w:w="1204"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356043 大豆</w:t>
            </w:r>
          </w:p>
        </w:tc>
        <w:tc>
          <w:tcPr>
            <w:tcW w:w="341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356043</w:t>
            </w:r>
            <w:r w:rsidRPr="009B3834">
              <w:rPr>
                <w:rFonts w:asciiTheme="minorEastAsia" w:eastAsiaTheme="minorEastAsia" w:hAnsiTheme="minorEastAsia" w:hint="eastAsia"/>
                <w:sz w:val="24"/>
                <w:szCs w:val="24"/>
              </w:rPr>
              <w:t>、</w:t>
            </w:r>
            <w:r w:rsidRPr="009B3834">
              <w:rPr>
                <w:rFonts w:asciiTheme="minorEastAsia" w:eastAsiaTheme="minorEastAsia" w:hAnsiTheme="minorEastAsia"/>
                <w:i/>
                <w:sz w:val="24"/>
                <w:szCs w:val="24"/>
              </w:rPr>
              <w:t>CaMV35S</w:t>
            </w:r>
            <w:r w:rsidRPr="009B3834">
              <w:rPr>
                <w:rFonts w:asciiTheme="minorEastAsia" w:eastAsiaTheme="minorEastAsia" w:hAnsiTheme="minorEastAsia"/>
                <w:sz w:val="24"/>
                <w:szCs w:val="24"/>
              </w:rPr>
              <w:t>启动子</w:t>
            </w:r>
          </w:p>
        </w:tc>
      </w:tr>
      <w:tr w:rsidR="009B3834" w:rsidRPr="009B3834" w:rsidTr="009B3834">
        <w:trPr>
          <w:trHeight w:hRule="exact" w:val="624"/>
        </w:trPr>
        <w:tc>
          <w:tcPr>
            <w:tcW w:w="38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29</w:t>
            </w:r>
          </w:p>
        </w:tc>
        <w:tc>
          <w:tcPr>
            <w:tcW w:w="1204"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305423 大豆</w:t>
            </w:r>
          </w:p>
        </w:tc>
        <w:tc>
          <w:tcPr>
            <w:tcW w:w="341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305423</w:t>
            </w:r>
          </w:p>
        </w:tc>
      </w:tr>
      <w:tr w:rsidR="009B3834" w:rsidRPr="009B3834" w:rsidTr="009B3834">
        <w:trPr>
          <w:trHeight w:hRule="exact" w:val="516"/>
        </w:trPr>
        <w:tc>
          <w:tcPr>
            <w:tcW w:w="38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lastRenderedPageBreak/>
              <w:t>30</w:t>
            </w:r>
          </w:p>
        </w:tc>
        <w:tc>
          <w:tcPr>
            <w:tcW w:w="1204"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CV127 大豆</w:t>
            </w:r>
          </w:p>
        </w:tc>
        <w:tc>
          <w:tcPr>
            <w:tcW w:w="341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CV127</w:t>
            </w:r>
          </w:p>
        </w:tc>
      </w:tr>
      <w:tr w:rsidR="009B3834" w:rsidRPr="009B3834" w:rsidTr="009B3834">
        <w:trPr>
          <w:trHeight w:hRule="exact" w:val="722"/>
        </w:trPr>
        <w:tc>
          <w:tcPr>
            <w:tcW w:w="38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31</w:t>
            </w:r>
          </w:p>
        </w:tc>
        <w:tc>
          <w:tcPr>
            <w:tcW w:w="1204"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GTS40-3-2 大豆</w:t>
            </w:r>
          </w:p>
        </w:tc>
        <w:tc>
          <w:tcPr>
            <w:tcW w:w="341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 xml:space="preserve">GTS40-3-2 </w:t>
            </w:r>
            <w:r w:rsidRPr="009B3834">
              <w:rPr>
                <w:rFonts w:asciiTheme="minorEastAsia" w:eastAsiaTheme="minorEastAsia" w:hAnsiTheme="minorEastAsia" w:hint="eastAsia"/>
                <w:sz w:val="24"/>
                <w:szCs w:val="24"/>
              </w:rPr>
              <w:t>、</w:t>
            </w:r>
            <w:r w:rsidRPr="009B3834">
              <w:rPr>
                <w:rFonts w:asciiTheme="minorEastAsia" w:eastAsiaTheme="minorEastAsia" w:hAnsiTheme="minorEastAsia"/>
                <w:i/>
                <w:sz w:val="24"/>
                <w:szCs w:val="24"/>
              </w:rPr>
              <w:t>CaMV35S</w:t>
            </w:r>
            <w:r w:rsidRPr="009B3834">
              <w:rPr>
                <w:rFonts w:asciiTheme="minorEastAsia" w:eastAsiaTheme="minorEastAsia" w:hAnsiTheme="minorEastAsia"/>
                <w:sz w:val="24"/>
                <w:szCs w:val="24"/>
              </w:rPr>
              <w:t>启动子</w:t>
            </w:r>
            <w:r w:rsidRPr="009B3834">
              <w:rPr>
                <w:rFonts w:asciiTheme="minorEastAsia" w:eastAsiaTheme="minorEastAsia" w:hAnsiTheme="minorEastAsia" w:hint="eastAsia"/>
                <w:sz w:val="24"/>
                <w:szCs w:val="24"/>
              </w:rPr>
              <w:t>、</w:t>
            </w:r>
            <w:r w:rsidRPr="009B3834">
              <w:rPr>
                <w:rFonts w:asciiTheme="minorEastAsia" w:eastAsiaTheme="minorEastAsia" w:hAnsiTheme="minorEastAsia"/>
                <w:i/>
                <w:sz w:val="24"/>
                <w:szCs w:val="24"/>
              </w:rPr>
              <w:t>NOS</w:t>
            </w:r>
            <w:r w:rsidRPr="009B3834">
              <w:rPr>
                <w:rFonts w:asciiTheme="minorEastAsia" w:eastAsiaTheme="minorEastAsia" w:hAnsiTheme="minorEastAsia"/>
                <w:sz w:val="24"/>
                <w:szCs w:val="24"/>
              </w:rPr>
              <w:t>终止子</w:t>
            </w:r>
            <w:r w:rsidRPr="009B3834">
              <w:rPr>
                <w:rFonts w:asciiTheme="minorEastAsia" w:eastAsiaTheme="minorEastAsia" w:hAnsiTheme="minorEastAsia" w:hint="eastAsia"/>
                <w:sz w:val="24"/>
                <w:szCs w:val="24"/>
              </w:rPr>
              <w:t>、</w:t>
            </w:r>
            <w:r w:rsidRPr="009B3834">
              <w:rPr>
                <w:rFonts w:asciiTheme="minorEastAsia" w:eastAsiaTheme="minorEastAsia" w:hAnsiTheme="minorEastAsia"/>
                <w:i/>
                <w:sz w:val="24"/>
                <w:szCs w:val="24"/>
              </w:rPr>
              <w:t>Cp4-epsps</w:t>
            </w:r>
          </w:p>
        </w:tc>
      </w:tr>
      <w:tr w:rsidR="009B3834" w:rsidRPr="009B3834" w:rsidTr="009B3834">
        <w:trPr>
          <w:trHeight w:hRule="exact" w:val="624"/>
        </w:trPr>
        <w:tc>
          <w:tcPr>
            <w:tcW w:w="38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32</w:t>
            </w:r>
          </w:p>
        </w:tc>
        <w:tc>
          <w:tcPr>
            <w:tcW w:w="1204"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大豆</w:t>
            </w:r>
          </w:p>
        </w:tc>
        <w:tc>
          <w:tcPr>
            <w:tcW w:w="341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hint="eastAsia"/>
                <w:sz w:val="24"/>
                <w:szCs w:val="24"/>
              </w:rPr>
              <w:t>大豆</w:t>
            </w:r>
            <w:r w:rsidRPr="009B3834">
              <w:rPr>
                <w:rFonts w:asciiTheme="minorEastAsia" w:eastAsiaTheme="minorEastAsia" w:hAnsiTheme="minorEastAsia"/>
                <w:sz w:val="24"/>
                <w:szCs w:val="24"/>
              </w:rPr>
              <w:t>内标准基因</w:t>
            </w:r>
          </w:p>
        </w:tc>
      </w:tr>
      <w:tr w:rsidR="009B3834" w:rsidRPr="009B3834" w:rsidTr="009B3834">
        <w:trPr>
          <w:trHeight w:hRule="exact" w:val="660"/>
        </w:trPr>
        <w:tc>
          <w:tcPr>
            <w:tcW w:w="38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33</w:t>
            </w:r>
          </w:p>
        </w:tc>
        <w:tc>
          <w:tcPr>
            <w:tcW w:w="1204"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MON87705大豆</w:t>
            </w:r>
          </w:p>
        </w:tc>
        <w:tc>
          <w:tcPr>
            <w:tcW w:w="341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MON87705</w:t>
            </w:r>
            <w:r w:rsidRPr="009B3834">
              <w:rPr>
                <w:rFonts w:asciiTheme="minorEastAsia" w:eastAsiaTheme="minorEastAsia" w:hAnsiTheme="minorEastAsia" w:hint="eastAsia"/>
                <w:sz w:val="24"/>
                <w:szCs w:val="24"/>
              </w:rPr>
              <w:t>、</w:t>
            </w:r>
            <w:r w:rsidRPr="009B3834">
              <w:rPr>
                <w:rFonts w:asciiTheme="minorEastAsia" w:eastAsiaTheme="minorEastAsia" w:hAnsiTheme="minorEastAsia"/>
                <w:i/>
                <w:sz w:val="24"/>
                <w:szCs w:val="24"/>
              </w:rPr>
              <w:t>Cp4-epsps</w:t>
            </w:r>
          </w:p>
        </w:tc>
      </w:tr>
      <w:tr w:rsidR="009B3834" w:rsidRPr="009B3834" w:rsidTr="009B3834">
        <w:trPr>
          <w:trHeight w:hRule="exact" w:val="557"/>
        </w:trPr>
        <w:tc>
          <w:tcPr>
            <w:tcW w:w="38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34</w:t>
            </w:r>
          </w:p>
        </w:tc>
        <w:tc>
          <w:tcPr>
            <w:tcW w:w="1204"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MON87769 大豆</w:t>
            </w:r>
          </w:p>
        </w:tc>
        <w:tc>
          <w:tcPr>
            <w:tcW w:w="341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MON87769</w:t>
            </w:r>
          </w:p>
        </w:tc>
      </w:tr>
      <w:tr w:rsidR="009B3834" w:rsidRPr="009B3834" w:rsidTr="009B3834">
        <w:trPr>
          <w:trHeight w:hRule="exact" w:val="566"/>
        </w:trPr>
        <w:tc>
          <w:tcPr>
            <w:tcW w:w="38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35</w:t>
            </w:r>
          </w:p>
        </w:tc>
        <w:tc>
          <w:tcPr>
            <w:tcW w:w="1204"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MON87708大豆</w:t>
            </w:r>
          </w:p>
        </w:tc>
        <w:tc>
          <w:tcPr>
            <w:tcW w:w="341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MON87708</w:t>
            </w:r>
          </w:p>
        </w:tc>
      </w:tr>
      <w:tr w:rsidR="009B3834" w:rsidRPr="009B3834" w:rsidTr="009B3834">
        <w:trPr>
          <w:trHeight w:hRule="exact" w:val="572"/>
        </w:trPr>
        <w:tc>
          <w:tcPr>
            <w:tcW w:w="38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36</w:t>
            </w:r>
          </w:p>
        </w:tc>
        <w:tc>
          <w:tcPr>
            <w:tcW w:w="1204"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MON87701大豆</w:t>
            </w:r>
          </w:p>
        </w:tc>
        <w:tc>
          <w:tcPr>
            <w:tcW w:w="341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MON87701</w:t>
            </w:r>
          </w:p>
        </w:tc>
      </w:tr>
      <w:tr w:rsidR="009B3834" w:rsidRPr="009B3834" w:rsidTr="009B3834">
        <w:trPr>
          <w:trHeight w:hRule="exact" w:val="624"/>
        </w:trPr>
        <w:tc>
          <w:tcPr>
            <w:tcW w:w="38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37</w:t>
            </w:r>
          </w:p>
        </w:tc>
        <w:tc>
          <w:tcPr>
            <w:tcW w:w="1204"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FG72大豆</w:t>
            </w:r>
          </w:p>
        </w:tc>
        <w:tc>
          <w:tcPr>
            <w:tcW w:w="341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FG72</w:t>
            </w:r>
          </w:p>
        </w:tc>
      </w:tr>
      <w:tr w:rsidR="009B3834" w:rsidRPr="009B3834" w:rsidTr="009B3834">
        <w:trPr>
          <w:trHeight w:hRule="exact" w:val="596"/>
        </w:trPr>
        <w:tc>
          <w:tcPr>
            <w:tcW w:w="38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38</w:t>
            </w:r>
          </w:p>
        </w:tc>
        <w:tc>
          <w:tcPr>
            <w:tcW w:w="1204"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MON1445棉花</w:t>
            </w:r>
          </w:p>
        </w:tc>
        <w:tc>
          <w:tcPr>
            <w:tcW w:w="341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MON1445</w:t>
            </w:r>
            <w:r w:rsidRPr="009B3834">
              <w:rPr>
                <w:rFonts w:asciiTheme="minorEastAsia" w:eastAsiaTheme="minorEastAsia" w:hAnsiTheme="minorEastAsia" w:hint="eastAsia"/>
                <w:sz w:val="24"/>
                <w:szCs w:val="24"/>
              </w:rPr>
              <w:t>、</w:t>
            </w:r>
            <w:r w:rsidRPr="009B3834">
              <w:rPr>
                <w:rFonts w:asciiTheme="minorEastAsia" w:eastAsiaTheme="minorEastAsia" w:hAnsiTheme="minorEastAsia"/>
                <w:i/>
                <w:sz w:val="24"/>
                <w:szCs w:val="24"/>
              </w:rPr>
              <w:t>FMV35S</w:t>
            </w:r>
            <w:r w:rsidRPr="009B3834">
              <w:rPr>
                <w:rFonts w:asciiTheme="minorEastAsia" w:eastAsiaTheme="minorEastAsia" w:hAnsiTheme="minorEastAsia" w:hint="eastAsia"/>
                <w:sz w:val="24"/>
                <w:szCs w:val="24"/>
              </w:rPr>
              <w:t>启动子</w:t>
            </w:r>
            <w:r w:rsidRPr="009B3834">
              <w:rPr>
                <w:rFonts w:asciiTheme="minorEastAsia" w:eastAsiaTheme="minorEastAsia" w:hAnsiTheme="minorEastAsia"/>
                <w:sz w:val="24"/>
                <w:szCs w:val="24"/>
              </w:rPr>
              <w:t>、</w:t>
            </w:r>
            <w:r w:rsidRPr="009B3834">
              <w:rPr>
                <w:rFonts w:asciiTheme="minorEastAsia" w:eastAsiaTheme="minorEastAsia" w:hAnsiTheme="minorEastAsia"/>
                <w:i/>
                <w:sz w:val="24"/>
                <w:szCs w:val="24"/>
              </w:rPr>
              <w:t>CaMV35S</w:t>
            </w:r>
            <w:r w:rsidRPr="009B3834">
              <w:rPr>
                <w:rFonts w:asciiTheme="minorEastAsia" w:eastAsiaTheme="minorEastAsia" w:hAnsiTheme="minorEastAsia"/>
                <w:sz w:val="24"/>
                <w:szCs w:val="24"/>
              </w:rPr>
              <w:t>启动子</w:t>
            </w:r>
            <w:r w:rsidRPr="009B3834">
              <w:rPr>
                <w:rFonts w:asciiTheme="minorEastAsia" w:eastAsiaTheme="minorEastAsia" w:hAnsiTheme="minorEastAsia" w:hint="eastAsia"/>
                <w:sz w:val="24"/>
                <w:szCs w:val="24"/>
              </w:rPr>
              <w:t>、</w:t>
            </w:r>
            <w:r w:rsidRPr="009B3834">
              <w:rPr>
                <w:rFonts w:asciiTheme="minorEastAsia" w:eastAsiaTheme="minorEastAsia" w:hAnsiTheme="minorEastAsia"/>
                <w:i/>
                <w:sz w:val="24"/>
                <w:szCs w:val="24"/>
              </w:rPr>
              <w:t>NOS</w:t>
            </w:r>
            <w:r w:rsidRPr="009B3834">
              <w:rPr>
                <w:rFonts w:asciiTheme="minorEastAsia" w:eastAsiaTheme="minorEastAsia" w:hAnsiTheme="minorEastAsia"/>
                <w:sz w:val="24"/>
                <w:szCs w:val="24"/>
              </w:rPr>
              <w:t>终止子</w:t>
            </w:r>
          </w:p>
        </w:tc>
      </w:tr>
      <w:tr w:rsidR="009B3834" w:rsidRPr="009B3834" w:rsidTr="009B3834">
        <w:trPr>
          <w:trHeight w:hRule="exact" w:val="624"/>
        </w:trPr>
        <w:tc>
          <w:tcPr>
            <w:tcW w:w="38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39</w:t>
            </w:r>
          </w:p>
        </w:tc>
        <w:tc>
          <w:tcPr>
            <w:tcW w:w="1204"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转Bt基因棉花</w:t>
            </w:r>
          </w:p>
        </w:tc>
        <w:tc>
          <w:tcPr>
            <w:tcW w:w="341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hint="eastAsia"/>
                <w:sz w:val="24"/>
                <w:szCs w:val="24"/>
              </w:rPr>
              <w:t>Bt基因</w:t>
            </w:r>
          </w:p>
        </w:tc>
      </w:tr>
      <w:tr w:rsidR="009B3834" w:rsidRPr="009B3834" w:rsidTr="009B3834">
        <w:trPr>
          <w:trHeight w:hRule="exact" w:val="578"/>
        </w:trPr>
        <w:tc>
          <w:tcPr>
            <w:tcW w:w="38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40</w:t>
            </w:r>
          </w:p>
        </w:tc>
        <w:tc>
          <w:tcPr>
            <w:tcW w:w="1204"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LLcotton25棉花</w:t>
            </w:r>
          </w:p>
        </w:tc>
        <w:tc>
          <w:tcPr>
            <w:tcW w:w="341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LLcotton25</w:t>
            </w:r>
            <w:r w:rsidRPr="009B3834">
              <w:rPr>
                <w:rFonts w:asciiTheme="minorEastAsia" w:eastAsiaTheme="minorEastAsia" w:hAnsiTheme="minorEastAsia" w:hint="eastAsia"/>
                <w:sz w:val="24"/>
                <w:szCs w:val="24"/>
              </w:rPr>
              <w:t>、</w:t>
            </w:r>
            <w:r w:rsidRPr="009B3834">
              <w:rPr>
                <w:rFonts w:asciiTheme="minorEastAsia" w:eastAsiaTheme="minorEastAsia" w:hAnsiTheme="minorEastAsia"/>
                <w:i/>
                <w:sz w:val="24"/>
                <w:szCs w:val="24"/>
              </w:rPr>
              <w:t>CaMV35S</w:t>
            </w:r>
            <w:r w:rsidRPr="009B3834">
              <w:rPr>
                <w:rFonts w:asciiTheme="minorEastAsia" w:eastAsiaTheme="minorEastAsia" w:hAnsiTheme="minorEastAsia"/>
                <w:sz w:val="24"/>
                <w:szCs w:val="24"/>
              </w:rPr>
              <w:t>启动子</w:t>
            </w:r>
          </w:p>
        </w:tc>
      </w:tr>
      <w:tr w:rsidR="009B3834" w:rsidRPr="009B3834" w:rsidTr="009B3834">
        <w:trPr>
          <w:trHeight w:hRule="exact" w:val="624"/>
        </w:trPr>
        <w:tc>
          <w:tcPr>
            <w:tcW w:w="38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41</w:t>
            </w:r>
          </w:p>
        </w:tc>
        <w:tc>
          <w:tcPr>
            <w:tcW w:w="1204"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MON88913 棉花</w:t>
            </w:r>
          </w:p>
        </w:tc>
        <w:tc>
          <w:tcPr>
            <w:tcW w:w="341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MON88913</w:t>
            </w:r>
            <w:r w:rsidRPr="009B3834">
              <w:rPr>
                <w:rFonts w:asciiTheme="minorEastAsia" w:eastAsiaTheme="minorEastAsia" w:hAnsiTheme="minorEastAsia" w:hint="eastAsia"/>
                <w:sz w:val="24"/>
                <w:szCs w:val="24"/>
              </w:rPr>
              <w:t>、</w:t>
            </w:r>
            <w:r w:rsidRPr="009B3834">
              <w:rPr>
                <w:rFonts w:asciiTheme="minorEastAsia" w:eastAsiaTheme="minorEastAsia" w:hAnsiTheme="minorEastAsia"/>
                <w:i/>
                <w:sz w:val="24"/>
                <w:szCs w:val="24"/>
              </w:rPr>
              <w:t>CaMV35S</w:t>
            </w:r>
            <w:r w:rsidRPr="009B3834">
              <w:rPr>
                <w:rFonts w:asciiTheme="minorEastAsia" w:eastAsiaTheme="minorEastAsia" w:hAnsiTheme="minorEastAsia"/>
                <w:sz w:val="24"/>
                <w:szCs w:val="24"/>
              </w:rPr>
              <w:t>启动子</w:t>
            </w:r>
            <w:r w:rsidRPr="009B3834">
              <w:rPr>
                <w:rFonts w:asciiTheme="minorEastAsia" w:eastAsiaTheme="minorEastAsia" w:hAnsiTheme="minorEastAsia" w:hint="eastAsia"/>
                <w:sz w:val="24"/>
                <w:szCs w:val="24"/>
              </w:rPr>
              <w:t>、</w:t>
            </w:r>
            <w:r w:rsidRPr="009B3834">
              <w:rPr>
                <w:rFonts w:asciiTheme="minorEastAsia" w:eastAsiaTheme="minorEastAsia" w:hAnsiTheme="minorEastAsia"/>
                <w:i/>
                <w:sz w:val="24"/>
                <w:szCs w:val="24"/>
              </w:rPr>
              <w:t>Cp4-epsps</w:t>
            </w:r>
          </w:p>
        </w:tc>
      </w:tr>
      <w:tr w:rsidR="009B3834" w:rsidRPr="009B3834" w:rsidTr="009B3834">
        <w:trPr>
          <w:trHeight w:hRule="exact" w:val="560"/>
        </w:trPr>
        <w:tc>
          <w:tcPr>
            <w:tcW w:w="38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42</w:t>
            </w:r>
          </w:p>
        </w:tc>
        <w:tc>
          <w:tcPr>
            <w:tcW w:w="1204"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MON15985 棉花</w:t>
            </w:r>
          </w:p>
        </w:tc>
        <w:tc>
          <w:tcPr>
            <w:tcW w:w="341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MON15985</w:t>
            </w:r>
            <w:r w:rsidRPr="009B3834">
              <w:rPr>
                <w:rFonts w:asciiTheme="minorEastAsia" w:eastAsiaTheme="minorEastAsia" w:hAnsiTheme="minorEastAsia" w:hint="eastAsia"/>
                <w:sz w:val="24"/>
                <w:szCs w:val="24"/>
              </w:rPr>
              <w:t>、</w:t>
            </w:r>
            <w:r w:rsidRPr="009B3834">
              <w:rPr>
                <w:rFonts w:asciiTheme="minorEastAsia" w:eastAsiaTheme="minorEastAsia" w:hAnsiTheme="minorEastAsia"/>
                <w:i/>
                <w:sz w:val="24"/>
                <w:szCs w:val="24"/>
              </w:rPr>
              <w:t>CaMV35S</w:t>
            </w:r>
            <w:r w:rsidRPr="009B3834">
              <w:rPr>
                <w:rFonts w:asciiTheme="minorEastAsia" w:eastAsiaTheme="minorEastAsia" w:hAnsiTheme="minorEastAsia"/>
                <w:sz w:val="24"/>
                <w:szCs w:val="24"/>
              </w:rPr>
              <w:t>启动子</w:t>
            </w:r>
            <w:r w:rsidRPr="009B3834">
              <w:rPr>
                <w:rFonts w:asciiTheme="minorEastAsia" w:eastAsiaTheme="minorEastAsia" w:hAnsiTheme="minorEastAsia" w:hint="eastAsia"/>
                <w:sz w:val="24"/>
                <w:szCs w:val="24"/>
              </w:rPr>
              <w:t>、</w:t>
            </w:r>
            <w:r w:rsidRPr="009B3834">
              <w:rPr>
                <w:rFonts w:asciiTheme="minorEastAsia" w:eastAsiaTheme="minorEastAsia" w:hAnsiTheme="minorEastAsia"/>
                <w:i/>
                <w:sz w:val="24"/>
                <w:szCs w:val="24"/>
              </w:rPr>
              <w:t>NOS</w:t>
            </w:r>
            <w:r w:rsidRPr="009B3834">
              <w:rPr>
                <w:rFonts w:asciiTheme="minorEastAsia" w:eastAsiaTheme="minorEastAsia" w:hAnsiTheme="minorEastAsia"/>
                <w:sz w:val="24"/>
                <w:szCs w:val="24"/>
              </w:rPr>
              <w:t>终止子</w:t>
            </w:r>
            <w:r w:rsidRPr="009B3834">
              <w:rPr>
                <w:rFonts w:asciiTheme="minorEastAsia" w:eastAsiaTheme="minorEastAsia" w:hAnsiTheme="minorEastAsia" w:hint="eastAsia"/>
                <w:sz w:val="24"/>
                <w:szCs w:val="24"/>
              </w:rPr>
              <w:t>、</w:t>
            </w:r>
            <w:r w:rsidRPr="009B3834">
              <w:rPr>
                <w:rFonts w:asciiTheme="minorEastAsia" w:eastAsiaTheme="minorEastAsia" w:hAnsiTheme="minorEastAsia"/>
                <w:i/>
                <w:sz w:val="24"/>
                <w:szCs w:val="24"/>
              </w:rPr>
              <w:t>nptII</w:t>
            </w:r>
          </w:p>
        </w:tc>
      </w:tr>
      <w:tr w:rsidR="009B3834" w:rsidRPr="009B3834" w:rsidTr="009B3834">
        <w:trPr>
          <w:trHeight w:hRule="exact" w:val="624"/>
        </w:trPr>
        <w:tc>
          <w:tcPr>
            <w:tcW w:w="38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43</w:t>
            </w:r>
          </w:p>
        </w:tc>
        <w:tc>
          <w:tcPr>
            <w:tcW w:w="1204"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GHB614棉花</w:t>
            </w:r>
          </w:p>
        </w:tc>
        <w:tc>
          <w:tcPr>
            <w:tcW w:w="341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GHB614</w:t>
            </w:r>
          </w:p>
        </w:tc>
      </w:tr>
      <w:tr w:rsidR="009B3834" w:rsidRPr="009B3834" w:rsidTr="009B3834">
        <w:trPr>
          <w:trHeight w:hRule="exact" w:val="684"/>
        </w:trPr>
        <w:tc>
          <w:tcPr>
            <w:tcW w:w="38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44</w:t>
            </w:r>
          </w:p>
        </w:tc>
        <w:tc>
          <w:tcPr>
            <w:tcW w:w="1204"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MS1*RF1 油菜</w:t>
            </w:r>
          </w:p>
        </w:tc>
        <w:tc>
          <w:tcPr>
            <w:tcW w:w="341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MS1*RF1</w:t>
            </w:r>
          </w:p>
        </w:tc>
      </w:tr>
      <w:tr w:rsidR="009B3834" w:rsidRPr="009B3834" w:rsidTr="009B3834">
        <w:trPr>
          <w:trHeight w:hRule="exact" w:val="624"/>
        </w:trPr>
        <w:tc>
          <w:tcPr>
            <w:tcW w:w="38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45</w:t>
            </w:r>
          </w:p>
        </w:tc>
        <w:tc>
          <w:tcPr>
            <w:tcW w:w="1204"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MS8*RF3油菜</w:t>
            </w:r>
          </w:p>
        </w:tc>
        <w:tc>
          <w:tcPr>
            <w:tcW w:w="341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MS8*RF3</w:t>
            </w:r>
          </w:p>
        </w:tc>
      </w:tr>
      <w:tr w:rsidR="009B3834" w:rsidRPr="009B3834" w:rsidTr="009B3834">
        <w:trPr>
          <w:trHeight w:hRule="exact" w:val="624"/>
        </w:trPr>
        <w:tc>
          <w:tcPr>
            <w:tcW w:w="38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46</w:t>
            </w:r>
          </w:p>
        </w:tc>
        <w:tc>
          <w:tcPr>
            <w:tcW w:w="1204"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MS1*RF2 油菜</w:t>
            </w:r>
          </w:p>
        </w:tc>
        <w:tc>
          <w:tcPr>
            <w:tcW w:w="341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MS1*RF2</w:t>
            </w:r>
          </w:p>
        </w:tc>
      </w:tr>
      <w:tr w:rsidR="009B3834" w:rsidRPr="009B3834" w:rsidTr="009B3834">
        <w:trPr>
          <w:trHeight w:hRule="exact" w:val="678"/>
        </w:trPr>
        <w:tc>
          <w:tcPr>
            <w:tcW w:w="38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47</w:t>
            </w:r>
          </w:p>
        </w:tc>
        <w:tc>
          <w:tcPr>
            <w:tcW w:w="1204"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GT73油菜</w:t>
            </w:r>
          </w:p>
        </w:tc>
        <w:tc>
          <w:tcPr>
            <w:tcW w:w="341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GT73</w:t>
            </w:r>
            <w:r w:rsidRPr="009B3834">
              <w:rPr>
                <w:rFonts w:asciiTheme="minorEastAsia" w:eastAsiaTheme="minorEastAsia" w:hAnsiTheme="minorEastAsia" w:hint="eastAsia"/>
                <w:sz w:val="24"/>
                <w:szCs w:val="24"/>
              </w:rPr>
              <w:t>、</w:t>
            </w:r>
            <w:r w:rsidRPr="009B3834">
              <w:rPr>
                <w:rFonts w:asciiTheme="minorEastAsia" w:eastAsiaTheme="minorEastAsia" w:hAnsiTheme="minorEastAsia"/>
                <w:i/>
                <w:sz w:val="24"/>
                <w:szCs w:val="24"/>
              </w:rPr>
              <w:t>FMV35S</w:t>
            </w:r>
            <w:r w:rsidRPr="009B3834">
              <w:rPr>
                <w:rFonts w:asciiTheme="minorEastAsia" w:eastAsiaTheme="minorEastAsia" w:hAnsiTheme="minorEastAsia"/>
                <w:sz w:val="24"/>
                <w:szCs w:val="24"/>
              </w:rPr>
              <w:t>启动子</w:t>
            </w:r>
            <w:r w:rsidRPr="009B3834">
              <w:rPr>
                <w:rFonts w:asciiTheme="minorEastAsia" w:eastAsiaTheme="minorEastAsia" w:hAnsiTheme="minorEastAsia" w:hint="eastAsia"/>
                <w:sz w:val="24"/>
                <w:szCs w:val="24"/>
              </w:rPr>
              <w:t>、</w:t>
            </w:r>
            <w:r w:rsidRPr="009B3834">
              <w:rPr>
                <w:rFonts w:asciiTheme="minorEastAsia" w:eastAsiaTheme="minorEastAsia" w:hAnsiTheme="minorEastAsia"/>
                <w:i/>
                <w:sz w:val="24"/>
                <w:szCs w:val="24"/>
              </w:rPr>
              <w:t>Cp4-epsps</w:t>
            </w:r>
          </w:p>
        </w:tc>
      </w:tr>
      <w:tr w:rsidR="009B3834" w:rsidRPr="009B3834" w:rsidTr="009B3834">
        <w:trPr>
          <w:trHeight w:hRule="exact" w:val="702"/>
        </w:trPr>
        <w:tc>
          <w:tcPr>
            <w:tcW w:w="38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48</w:t>
            </w:r>
          </w:p>
        </w:tc>
        <w:tc>
          <w:tcPr>
            <w:tcW w:w="1204"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T45 油菜</w:t>
            </w:r>
          </w:p>
        </w:tc>
        <w:tc>
          <w:tcPr>
            <w:tcW w:w="341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T45</w:t>
            </w:r>
            <w:r w:rsidRPr="009B3834">
              <w:rPr>
                <w:rFonts w:asciiTheme="minorEastAsia" w:eastAsiaTheme="minorEastAsia" w:hAnsiTheme="minorEastAsia" w:hint="eastAsia"/>
                <w:sz w:val="24"/>
                <w:szCs w:val="24"/>
              </w:rPr>
              <w:t>、</w:t>
            </w:r>
            <w:r w:rsidRPr="009B3834">
              <w:rPr>
                <w:rFonts w:asciiTheme="minorEastAsia" w:eastAsiaTheme="minorEastAsia" w:hAnsiTheme="minorEastAsia"/>
                <w:i/>
                <w:sz w:val="24"/>
                <w:szCs w:val="24"/>
              </w:rPr>
              <w:t>CaMV35S</w:t>
            </w:r>
            <w:r w:rsidRPr="009B3834">
              <w:rPr>
                <w:rFonts w:asciiTheme="minorEastAsia" w:eastAsiaTheme="minorEastAsia" w:hAnsiTheme="minorEastAsia"/>
                <w:sz w:val="24"/>
                <w:szCs w:val="24"/>
              </w:rPr>
              <w:t>启动子</w:t>
            </w:r>
            <w:r w:rsidRPr="009B3834">
              <w:rPr>
                <w:rFonts w:asciiTheme="minorEastAsia" w:eastAsiaTheme="minorEastAsia" w:hAnsiTheme="minorEastAsia" w:hint="eastAsia"/>
                <w:sz w:val="24"/>
                <w:szCs w:val="24"/>
              </w:rPr>
              <w:t>、</w:t>
            </w:r>
            <w:r w:rsidRPr="009B3834">
              <w:rPr>
                <w:rFonts w:asciiTheme="minorEastAsia" w:eastAsiaTheme="minorEastAsia" w:hAnsiTheme="minorEastAsia"/>
                <w:i/>
                <w:sz w:val="24"/>
                <w:szCs w:val="24"/>
              </w:rPr>
              <w:t>pat</w:t>
            </w:r>
          </w:p>
        </w:tc>
      </w:tr>
      <w:tr w:rsidR="009B3834" w:rsidRPr="009B3834" w:rsidTr="009B3834">
        <w:trPr>
          <w:trHeight w:hRule="exact" w:val="624"/>
        </w:trPr>
        <w:tc>
          <w:tcPr>
            <w:tcW w:w="38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49</w:t>
            </w:r>
          </w:p>
        </w:tc>
        <w:tc>
          <w:tcPr>
            <w:tcW w:w="1204"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Oxy-235油菜</w:t>
            </w:r>
          </w:p>
        </w:tc>
        <w:tc>
          <w:tcPr>
            <w:tcW w:w="341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Oxy-235</w:t>
            </w:r>
            <w:r w:rsidRPr="009B3834">
              <w:rPr>
                <w:rFonts w:asciiTheme="minorEastAsia" w:eastAsiaTheme="minorEastAsia" w:hAnsiTheme="minorEastAsia" w:hint="eastAsia"/>
                <w:sz w:val="24"/>
                <w:szCs w:val="24"/>
              </w:rPr>
              <w:t>、</w:t>
            </w:r>
            <w:r w:rsidRPr="009B3834">
              <w:rPr>
                <w:rFonts w:asciiTheme="minorEastAsia" w:eastAsiaTheme="minorEastAsia" w:hAnsiTheme="minorEastAsia"/>
                <w:i/>
                <w:sz w:val="24"/>
                <w:szCs w:val="24"/>
              </w:rPr>
              <w:t>CaMV35S</w:t>
            </w:r>
            <w:r w:rsidRPr="009B3834">
              <w:rPr>
                <w:rFonts w:asciiTheme="minorEastAsia" w:eastAsiaTheme="minorEastAsia" w:hAnsiTheme="minorEastAsia"/>
                <w:sz w:val="24"/>
                <w:szCs w:val="24"/>
              </w:rPr>
              <w:t>启动子</w:t>
            </w:r>
            <w:r w:rsidRPr="009B3834">
              <w:rPr>
                <w:rFonts w:asciiTheme="minorEastAsia" w:eastAsiaTheme="minorEastAsia" w:hAnsiTheme="minorEastAsia" w:hint="eastAsia"/>
                <w:sz w:val="24"/>
                <w:szCs w:val="24"/>
              </w:rPr>
              <w:t>、</w:t>
            </w:r>
            <w:r w:rsidRPr="009B3834">
              <w:rPr>
                <w:rFonts w:asciiTheme="minorEastAsia" w:eastAsiaTheme="minorEastAsia" w:hAnsiTheme="minorEastAsia"/>
                <w:i/>
                <w:sz w:val="24"/>
                <w:szCs w:val="24"/>
              </w:rPr>
              <w:t>NOS</w:t>
            </w:r>
            <w:r w:rsidRPr="009B3834">
              <w:rPr>
                <w:rFonts w:asciiTheme="minorEastAsia" w:eastAsiaTheme="minorEastAsia" w:hAnsiTheme="minorEastAsia"/>
                <w:sz w:val="24"/>
                <w:szCs w:val="24"/>
              </w:rPr>
              <w:t>终止子</w:t>
            </w:r>
          </w:p>
        </w:tc>
      </w:tr>
      <w:tr w:rsidR="009B3834" w:rsidRPr="009B3834" w:rsidTr="009B3834">
        <w:trPr>
          <w:trHeight w:hRule="exact" w:val="650"/>
        </w:trPr>
        <w:tc>
          <w:tcPr>
            <w:tcW w:w="38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50</w:t>
            </w:r>
          </w:p>
        </w:tc>
        <w:tc>
          <w:tcPr>
            <w:tcW w:w="1204"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Topas油菜</w:t>
            </w:r>
          </w:p>
        </w:tc>
        <w:tc>
          <w:tcPr>
            <w:tcW w:w="341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Topas</w:t>
            </w:r>
          </w:p>
        </w:tc>
      </w:tr>
      <w:tr w:rsidR="009B3834" w:rsidRPr="009B3834" w:rsidTr="009B3834">
        <w:trPr>
          <w:trHeight w:hRule="exact" w:val="624"/>
        </w:trPr>
        <w:tc>
          <w:tcPr>
            <w:tcW w:w="38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51</w:t>
            </w:r>
          </w:p>
        </w:tc>
        <w:tc>
          <w:tcPr>
            <w:tcW w:w="1204"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油菜</w:t>
            </w:r>
          </w:p>
        </w:tc>
        <w:tc>
          <w:tcPr>
            <w:tcW w:w="341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hint="eastAsia"/>
                <w:sz w:val="24"/>
                <w:szCs w:val="24"/>
              </w:rPr>
              <w:t>油菜</w:t>
            </w:r>
            <w:r w:rsidRPr="009B3834">
              <w:rPr>
                <w:rFonts w:asciiTheme="minorEastAsia" w:eastAsiaTheme="minorEastAsia" w:hAnsiTheme="minorEastAsia"/>
                <w:sz w:val="24"/>
                <w:szCs w:val="24"/>
              </w:rPr>
              <w:t>内标准基因</w:t>
            </w:r>
          </w:p>
        </w:tc>
      </w:tr>
      <w:tr w:rsidR="009B3834" w:rsidRPr="009B3834" w:rsidTr="009B3834">
        <w:trPr>
          <w:trHeight w:hRule="exact" w:val="624"/>
        </w:trPr>
        <w:tc>
          <w:tcPr>
            <w:tcW w:w="38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lastRenderedPageBreak/>
              <w:t>52</w:t>
            </w:r>
          </w:p>
        </w:tc>
        <w:tc>
          <w:tcPr>
            <w:tcW w:w="1204"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MON88302油菜</w:t>
            </w:r>
          </w:p>
        </w:tc>
        <w:tc>
          <w:tcPr>
            <w:tcW w:w="341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MON88302</w:t>
            </w:r>
          </w:p>
        </w:tc>
      </w:tr>
      <w:tr w:rsidR="009B3834" w:rsidRPr="009B3834" w:rsidTr="009B3834">
        <w:trPr>
          <w:trHeight w:hRule="exact" w:val="564"/>
        </w:trPr>
        <w:tc>
          <w:tcPr>
            <w:tcW w:w="38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53</w:t>
            </w:r>
          </w:p>
        </w:tc>
        <w:tc>
          <w:tcPr>
            <w:tcW w:w="1204"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Bt基因水稻</w:t>
            </w:r>
          </w:p>
        </w:tc>
        <w:tc>
          <w:tcPr>
            <w:tcW w:w="341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hint="eastAsia"/>
                <w:sz w:val="24"/>
                <w:szCs w:val="24"/>
              </w:rPr>
              <w:t>Bt基因</w:t>
            </w:r>
          </w:p>
        </w:tc>
      </w:tr>
      <w:tr w:rsidR="009B3834" w:rsidRPr="009B3834" w:rsidTr="009B3834">
        <w:trPr>
          <w:trHeight w:hRule="exact" w:val="624"/>
        </w:trPr>
        <w:tc>
          <w:tcPr>
            <w:tcW w:w="38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54</w:t>
            </w:r>
          </w:p>
        </w:tc>
        <w:tc>
          <w:tcPr>
            <w:tcW w:w="1204"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TT51-1水稻</w:t>
            </w:r>
          </w:p>
        </w:tc>
        <w:tc>
          <w:tcPr>
            <w:tcW w:w="341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TT51-1</w:t>
            </w:r>
            <w:r w:rsidRPr="009B3834">
              <w:rPr>
                <w:rFonts w:asciiTheme="minorEastAsia" w:eastAsiaTheme="minorEastAsia" w:hAnsiTheme="minorEastAsia" w:hint="eastAsia"/>
                <w:sz w:val="24"/>
                <w:szCs w:val="24"/>
              </w:rPr>
              <w:t>、</w:t>
            </w:r>
            <w:r w:rsidRPr="009B3834">
              <w:rPr>
                <w:rFonts w:asciiTheme="minorEastAsia" w:eastAsiaTheme="minorEastAsia" w:hAnsiTheme="minorEastAsia"/>
                <w:i/>
                <w:sz w:val="24"/>
                <w:szCs w:val="24"/>
              </w:rPr>
              <w:t>NOS</w:t>
            </w:r>
            <w:r w:rsidRPr="009B3834">
              <w:rPr>
                <w:rFonts w:asciiTheme="minorEastAsia" w:eastAsiaTheme="minorEastAsia" w:hAnsiTheme="minorEastAsia"/>
                <w:sz w:val="24"/>
                <w:szCs w:val="24"/>
              </w:rPr>
              <w:t>终止子</w:t>
            </w:r>
            <w:r w:rsidRPr="009B3834">
              <w:rPr>
                <w:rFonts w:asciiTheme="minorEastAsia" w:eastAsiaTheme="minorEastAsia" w:hAnsiTheme="minorEastAsia" w:hint="eastAsia"/>
                <w:sz w:val="24"/>
                <w:szCs w:val="24"/>
              </w:rPr>
              <w:t>、</w:t>
            </w:r>
            <w:r w:rsidRPr="009B3834">
              <w:rPr>
                <w:rFonts w:asciiTheme="minorEastAsia" w:eastAsiaTheme="minorEastAsia" w:hAnsiTheme="minorEastAsia"/>
                <w:i/>
                <w:sz w:val="24"/>
                <w:szCs w:val="24"/>
              </w:rPr>
              <w:t>cry1Ab/Ac</w:t>
            </w:r>
          </w:p>
        </w:tc>
      </w:tr>
      <w:tr w:rsidR="009B3834" w:rsidRPr="009B3834" w:rsidTr="009B3834">
        <w:trPr>
          <w:trHeight w:hRule="exact" w:val="624"/>
        </w:trPr>
        <w:tc>
          <w:tcPr>
            <w:tcW w:w="38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55</w:t>
            </w:r>
          </w:p>
        </w:tc>
        <w:tc>
          <w:tcPr>
            <w:tcW w:w="1204"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M12 水稻</w:t>
            </w:r>
          </w:p>
        </w:tc>
        <w:tc>
          <w:tcPr>
            <w:tcW w:w="341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 xml:space="preserve">M12 </w:t>
            </w:r>
            <w:r w:rsidRPr="009B3834">
              <w:rPr>
                <w:rFonts w:asciiTheme="minorEastAsia" w:eastAsiaTheme="minorEastAsia" w:hAnsiTheme="minorEastAsia" w:hint="eastAsia"/>
                <w:sz w:val="24"/>
                <w:szCs w:val="24"/>
              </w:rPr>
              <w:t>、</w:t>
            </w:r>
            <w:r w:rsidRPr="009B3834">
              <w:rPr>
                <w:rFonts w:asciiTheme="minorEastAsia" w:eastAsiaTheme="minorEastAsia" w:hAnsiTheme="minorEastAsia"/>
                <w:i/>
                <w:sz w:val="24"/>
                <w:szCs w:val="24"/>
              </w:rPr>
              <w:t>NOS</w:t>
            </w:r>
            <w:r w:rsidRPr="009B3834">
              <w:rPr>
                <w:rFonts w:asciiTheme="minorEastAsia" w:eastAsiaTheme="minorEastAsia" w:hAnsiTheme="minorEastAsia"/>
                <w:sz w:val="24"/>
                <w:szCs w:val="24"/>
              </w:rPr>
              <w:t>终止子</w:t>
            </w:r>
          </w:p>
        </w:tc>
      </w:tr>
      <w:tr w:rsidR="009B3834" w:rsidRPr="009B3834" w:rsidTr="009B3834">
        <w:trPr>
          <w:trHeight w:hRule="exact" w:val="624"/>
        </w:trPr>
        <w:tc>
          <w:tcPr>
            <w:tcW w:w="38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56</w:t>
            </w:r>
          </w:p>
        </w:tc>
        <w:tc>
          <w:tcPr>
            <w:tcW w:w="1204"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水稻</w:t>
            </w:r>
          </w:p>
        </w:tc>
        <w:tc>
          <w:tcPr>
            <w:tcW w:w="341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hint="eastAsia"/>
                <w:sz w:val="24"/>
                <w:szCs w:val="24"/>
              </w:rPr>
              <w:t>水稻</w:t>
            </w:r>
            <w:r w:rsidRPr="009B3834">
              <w:rPr>
                <w:rFonts w:asciiTheme="minorEastAsia" w:eastAsiaTheme="minorEastAsia" w:hAnsiTheme="minorEastAsia"/>
                <w:sz w:val="24"/>
                <w:szCs w:val="24"/>
              </w:rPr>
              <w:t>内</w:t>
            </w:r>
            <w:r w:rsidRPr="009B3834">
              <w:rPr>
                <w:rFonts w:asciiTheme="minorEastAsia" w:eastAsiaTheme="minorEastAsia" w:hAnsiTheme="minorEastAsia" w:hint="eastAsia"/>
                <w:sz w:val="24"/>
                <w:szCs w:val="24"/>
              </w:rPr>
              <w:t>标准</w:t>
            </w:r>
            <w:r w:rsidRPr="009B3834">
              <w:rPr>
                <w:rFonts w:asciiTheme="minorEastAsia" w:eastAsiaTheme="minorEastAsia" w:hAnsiTheme="minorEastAsia"/>
                <w:sz w:val="24"/>
                <w:szCs w:val="24"/>
              </w:rPr>
              <w:t>基因</w:t>
            </w:r>
          </w:p>
        </w:tc>
      </w:tr>
      <w:tr w:rsidR="009B3834" w:rsidRPr="009B3834" w:rsidTr="009B3834">
        <w:trPr>
          <w:trHeight w:hRule="exact" w:val="624"/>
        </w:trPr>
        <w:tc>
          <w:tcPr>
            <w:tcW w:w="38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57</w:t>
            </w:r>
          </w:p>
        </w:tc>
        <w:tc>
          <w:tcPr>
            <w:tcW w:w="1204"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科丰2号水稻</w:t>
            </w:r>
          </w:p>
        </w:tc>
        <w:tc>
          <w:tcPr>
            <w:tcW w:w="341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科丰2号</w:t>
            </w:r>
            <w:r w:rsidRPr="009B3834">
              <w:rPr>
                <w:rFonts w:asciiTheme="minorEastAsia" w:eastAsiaTheme="minorEastAsia" w:hAnsiTheme="minorEastAsia" w:hint="eastAsia"/>
                <w:sz w:val="24"/>
                <w:szCs w:val="24"/>
              </w:rPr>
              <w:t>、</w:t>
            </w:r>
            <w:r w:rsidRPr="009B3834">
              <w:rPr>
                <w:rFonts w:asciiTheme="minorEastAsia" w:eastAsiaTheme="minorEastAsia" w:hAnsiTheme="minorEastAsia"/>
                <w:i/>
                <w:sz w:val="24"/>
                <w:szCs w:val="24"/>
              </w:rPr>
              <w:t>CaMV35</w:t>
            </w:r>
            <w:r w:rsidRPr="009B3834">
              <w:rPr>
                <w:rFonts w:asciiTheme="minorEastAsia" w:eastAsiaTheme="minorEastAsia" w:hAnsiTheme="minorEastAsia"/>
                <w:sz w:val="24"/>
                <w:szCs w:val="24"/>
              </w:rPr>
              <w:t>S启动子</w:t>
            </w:r>
            <w:r w:rsidRPr="009B3834">
              <w:rPr>
                <w:rFonts w:asciiTheme="minorEastAsia" w:eastAsiaTheme="minorEastAsia" w:hAnsiTheme="minorEastAsia" w:hint="eastAsia"/>
                <w:sz w:val="24"/>
                <w:szCs w:val="24"/>
              </w:rPr>
              <w:t>、</w:t>
            </w:r>
            <w:r w:rsidRPr="009B3834">
              <w:rPr>
                <w:rFonts w:asciiTheme="minorEastAsia" w:eastAsiaTheme="minorEastAsia" w:hAnsiTheme="minorEastAsia"/>
                <w:i/>
                <w:sz w:val="24"/>
                <w:szCs w:val="24"/>
              </w:rPr>
              <w:t>NOS</w:t>
            </w:r>
            <w:r w:rsidRPr="009B3834">
              <w:rPr>
                <w:rFonts w:asciiTheme="minorEastAsia" w:eastAsiaTheme="minorEastAsia" w:hAnsiTheme="minorEastAsia"/>
                <w:sz w:val="24"/>
                <w:szCs w:val="24"/>
              </w:rPr>
              <w:t>终止子</w:t>
            </w:r>
          </w:p>
        </w:tc>
      </w:tr>
      <w:tr w:rsidR="009B3834" w:rsidRPr="009B3834" w:rsidTr="009B3834">
        <w:trPr>
          <w:trHeight w:hRule="exact" w:val="624"/>
        </w:trPr>
        <w:tc>
          <w:tcPr>
            <w:tcW w:w="38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58</w:t>
            </w:r>
          </w:p>
        </w:tc>
        <w:tc>
          <w:tcPr>
            <w:tcW w:w="1204"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J163苜蓿</w:t>
            </w:r>
          </w:p>
        </w:tc>
        <w:tc>
          <w:tcPr>
            <w:tcW w:w="3413" w:type="pct"/>
            <w:shd w:val="clear" w:color="auto" w:fill="auto"/>
            <w:vAlign w:val="center"/>
          </w:tcPr>
          <w:p w:rsidR="009B3834" w:rsidRPr="009B3834" w:rsidRDefault="009B3834" w:rsidP="001716F5">
            <w:pPr>
              <w:spacing w:line="480" w:lineRule="auto"/>
              <w:jc w:val="center"/>
              <w:rPr>
                <w:rFonts w:asciiTheme="minorEastAsia" w:eastAsiaTheme="minorEastAsia" w:hAnsiTheme="minorEastAsia"/>
                <w:sz w:val="24"/>
                <w:szCs w:val="24"/>
              </w:rPr>
            </w:pPr>
            <w:r w:rsidRPr="009B3834">
              <w:rPr>
                <w:rFonts w:asciiTheme="minorEastAsia" w:eastAsiaTheme="minorEastAsia" w:hAnsiTheme="minorEastAsia"/>
                <w:sz w:val="24"/>
                <w:szCs w:val="24"/>
              </w:rPr>
              <w:t>J163</w:t>
            </w:r>
          </w:p>
        </w:tc>
      </w:tr>
    </w:tbl>
    <w:p w:rsidR="009B3834" w:rsidRDefault="009B3834" w:rsidP="00D85516">
      <w:pPr>
        <w:spacing w:line="520" w:lineRule="exact"/>
        <w:ind w:firstLineChars="200" w:firstLine="480"/>
        <w:rPr>
          <w:rFonts w:ascii="宋体" w:hAnsi="宋体"/>
          <w:sz w:val="24"/>
          <w:szCs w:val="24"/>
        </w:rPr>
      </w:pPr>
    </w:p>
    <w:p w:rsidR="00D85516" w:rsidRDefault="009B3834" w:rsidP="009B3834">
      <w:pPr>
        <w:spacing w:line="520" w:lineRule="exact"/>
        <w:ind w:firstLineChars="200" w:firstLine="480"/>
        <w:rPr>
          <w:rFonts w:ascii="宋体" w:hAnsi="宋体"/>
          <w:sz w:val="24"/>
          <w:szCs w:val="24"/>
        </w:rPr>
      </w:pPr>
      <w:r>
        <w:rPr>
          <w:rFonts w:ascii="宋体" w:hAnsi="宋体" w:hint="eastAsia"/>
          <w:sz w:val="24"/>
          <w:szCs w:val="24"/>
        </w:rPr>
        <w:t>利用表一中的转基因阳性的标准样品与标准品种进行混合，</w:t>
      </w:r>
      <w:r w:rsidR="00D85516">
        <w:rPr>
          <w:rFonts w:ascii="宋体" w:hAnsi="宋体" w:hint="eastAsia"/>
          <w:sz w:val="24"/>
          <w:szCs w:val="24"/>
        </w:rPr>
        <w:t>制作成</w:t>
      </w:r>
      <w:r>
        <w:rPr>
          <w:rFonts w:ascii="宋体" w:hAnsi="宋体" w:hint="eastAsia"/>
          <w:sz w:val="24"/>
          <w:szCs w:val="24"/>
        </w:rPr>
        <w:t>含有</w:t>
      </w:r>
      <w:r w:rsidR="00D85516">
        <w:rPr>
          <w:rFonts w:ascii="宋体" w:hAnsi="宋体" w:hint="eastAsia"/>
          <w:sz w:val="24"/>
          <w:szCs w:val="24"/>
        </w:rPr>
        <w:t>0.1%的</w:t>
      </w:r>
      <w:r>
        <w:rPr>
          <w:rFonts w:ascii="宋体" w:hAnsi="宋体" w:hint="eastAsia"/>
          <w:sz w:val="24"/>
          <w:szCs w:val="24"/>
        </w:rPr>
        <w:t>外源基因的</w:t>
      </w:r>
      <w:r w:rsidR="00D85516">
        <w:rPr>
          <w:rFonts w:ascii="宋体" w:hAnsi="宋体" w:hint="eastAsia"/>
          <w:sz w:val="24"/>
          <w:szCs w:val="24"/>
        </w:rPr>
        <w:t>转基因样品</w:t>
      </w:r>
      <w:r>
        <w:rPr>
          <w:rFonts w:ascii="宋体" w:hAnsi="宋体" w:hint="eastAsia"/>
          <w:sz w:val="24"/>
          <w:szCs w:val="24"/>
        </w:rPr>
        <w:t>，共计116个样品（含重复）</w:t>
      </w:r>
      <w:r w:rsidR="002E729B">
        <w:rPr>
          <w:rFonts w:ascii="宋体" w:hAnsi="宋体" w:hint="eastAsia"/>
          <w:sz w:val="24"/>
          <w:szCs w:val="24"/>
        </w:rPr>
        <w:t>。</w:t>
      </w:r>
      <w:r w:rsidR="00D85516">
        <w:rPr>
          <w:rFonts w:ascii="宋体" w:hAnsi="宋体" w:hint="eastAsia"/>
          <w:sz w:val="24"/>
          <w:szCs w:val="24"/>
        </w:rPr>
        <w:t>利用</w:t>
      </w:r>
      <w:r>
        <w:rPr>
          <w:rFonts w:ascii="宋体" w:hAnsi="宋体" w:hint="eastAsia"/>
          <w:sz w:val="24"/>
          <w:szCs w:val="24"/>
        </w:rPr>
        <w:t>本</w:t>
      </w:r>
      <w:r w:rsidR="002E729B">
        <w:rPr>
          <w:rFonts w:ascii="宋体" w:hAnsi="宋体" w:hint="eastAsia"/>
          <w:sz w:val="24"/>
          <w:szCs w:val="24"/>
        </w:rPr>
        <w:t>标准的方法</w:t>
      </w:r>
      <w:r w:rsidR="00D85516">
        <w:rPr>
          <w:rFonts w:ascii="宋体" w:hAnsi="宋体" w:hint="eastAsia"/>
          <w:sz w:val="24"/>
          <w:szCs w:val="24"/>
        </w:rPr>
        <w:t>，</w:t>
      </w:r>
      <w:r w:rsidR="002E729B">
        <w:rPr>
          <w:rFonts w:ascii="宋体" w:hAnsi="宋体" w:hint="eastAsia"/>
          <w:sz w:val="24"/>
          <w:szCs w:val="24"/>
        </w:rPr>
        <w:t>对获得的116个转基因阳性样品进行了检测，其中</w:t>
      </w:r>
      <w:r w:rsidR="00D85516">
        <w:rPr>
          <w:rFonts w:ascii="宋体" w:hAnsi="宋体" w:hint="eastAsia"/>
          <w:sz w:val="24"/>
          <w:szCs w:val="24"/>
        </w:rPr>
        <w:t>有112个样品被判定含有</w:t>
      </w:r>
      <w:r w:rsidR="002E729B">
        <w:rPr>
          <w:rFonts w:ascii="宋体" w:hAnsi="宋体" w:hint="eastAsia"/>
          <w:sz w:val="24"/>
          <w:szCs w:val="24"/>
        </w:rPr>
        <w:t>一种或多种</w:t>
      </w:r>
      <w:r w:rsidR="00D85516">
        <w:rPr>
          <w:rFonts w:ascii="宋体" w:hAnsi="宋体" w:hint="eastAsia"/>
          <w:sz w:val="24"/>
          <w:szCs w:val="24"/>
        </w:rPr>
        <w:t>转基因成份，</w:t>
      </w:r>
      <w:r w:rsidR="009432E5">
        <w:rPr>
          <w:rFonts w:ascii="宋体" w:hAnsi="宋体" w:hint="eastAsia"/>
          <w:sz w:val="24"/>
          <w:szCs w:val="24"/>
        </w:rPr>
        <w:t>正确</w:t>
      </w:r>
      <w:r w:rsidR="00D85516">
        <w:rPr>
          <w:rFonts w:ascii="宋体" w:hAnsi="宋体" w:hint="eastAsia"/>
          <w:sz w:val="24"/>
          <w:szCs w:val="24"/>
        </w:rPr>
        <w:t>率为96.56%</w:t>
      </w:r>
      <w:r w:rsidR="009432E5">
        <w:rPr>
          <w:rFonts w:ascii="宋体" w:hAnsi="宋体" w:hint="eastAsia"/>
          <w:sz w:val="24"/>
          <w:szCs w:val="24"/>
        </w:rPr>
        <w:t>。</w:t>
      </w:r>
      <w:r w:rsidR="002E729B">
        <w:rPr>
          <w:rFonts w:ascii="宋体" w:hAnsi="宋体" w:hint="eastAsia"/>
          <w:sz w:val="24"/>
          <w:szCs w:val="24"/>
        </w:rPr>
        <w:t>利用标准中的方法，</w:t>
      </w:r>
      <w:r w:rsidR="009432E5">
        <w:rPr>
          <w:rFonts w:ascii="宋体" w:hAnsi="宋体" w:hint="eastAsia"/>
          <w:sz w:val="24"/>
          <w:szCs w:val="24"/>
        </w:rPr>
        <w:t>我们</w:t>
      </w:r>
      <w:r>
        <w:rPr>
          <w:rFonts w:ascii="宋体" w:hAnsi="宋体" w:hint="eastAsia"/>
          <w:sz w:val="24"/>
          <w:szCs w:val="24"/>
        </w:rPr>
        <w:t>继续</w:t>
      </w:r>
      <w:r w:rsidR="009432E5">
        <w:rPr>
          <w:rFonts w:ascii="宋体" w:hAnsi="宋体" w:hint="eastAsia"/>
          <w:sz w:val="24"/>
          <w:szCs w:val="24"/>
        </w:rPr>
        <w:t>对100个</w:t>
      </w:r>
      <w:r>
        <w:rPr>
          <w:rFonts w:ascii="宋体" w:hAnsi="宋体" w:hint="eastAsia"/>
          <w:sz w:val="24"/>
          <w:szCs w:val="24"/>
        </w:rPr>
        <w:t>已知的</w:t>
      </w:r>
      <w:r w:rsidR="009432E5">
        <w:rPr>
          <w:rFonts w:ascii="宋体" w:hAnsi="宋体" w:hint="eastAsia"/>
          <w:sz w:val="24"/>
          <w:szCs w:val="24"/>
        </w:rPr>
        <w:t>非转基因</w:t>
      </w:r>
      <w:r>
        <w:rPr>
          <w:rFonts w:ascii="宋体" w:hAnsi="宋体" w:hint="eastAsia"/>
          <w:sz w:val="24"/>
          <w:szCs w:val="24"/>
        </w:rPr>
        <w:t>植物品种的样品进行了</w:t>
      </w:r>
      <w:r w:rsidR="009432E5">
        <w:rPr>
          <w:rFonts w:ascii="宋体" w:hAnsi="宋体" w:hint="eastAsia"/>
          <w:sz w:val="24"/>
          <w:szCs w:val="24"/>
        </w:rPr>
        <w:t>测试，没有发现</w:t>
      </w:r>
      <w:r w:rsidR="002E729B">
        <w:rPr>
          <w:rFonts w:ascii="宋体" w:hAnsi="宋体" w:hint="eastAsia"/>
          <w:sz w:val="24"/>
          <w:szCs w:val="24"/>
        </w:rPr>
        <w:t>任何</w:t>
      </w:r>
      <w:r w:rsidR="009432E5">
        <w:rPr>
          <w:rFonts w:ascii="宋体" w:hAnsi="宋体" w:hint="eastAsia"/>
          <w:sz w:val="24"/>
          <w:szCs w:val="24"/>
        </w:rPr>
        <w:t>转基因成份，</w:t>
      </w:r>
      <w:r w:rsidR="002E729B">
        <w:rPr>
          <w:rFonts w:ascii="宋体" w:hAnsi="宋体" w:hint="eastAsia"/>
          <w:sz w:val="24"/>
          <w:szCs w:val="24"/>
        </w:rPr>
        <w:t>结论</w:t>
      </w:r>
      <w:r w:rsidR="009432E5">
        <w:rPr>
          <w:rFonts w:ascii="宋体" w:hAnsi="宋体" w:hint="eastAsia"/>
          <w:sz w:val="24"/>
          <w:szCs w:val="24"/>
        </w:rPr>
        <w:t>的正确率为100%。因此，本标准</w:t>
      </w:r>
      <w:r w:rsidR="00D85516">
        <w:rPr>
          <w:rFonts w:ascii="宋体" w:hAnsi="宋体" w:hint="eastAsia"/>
          <w:sz w:val="24"/>
          <w:szCs w:val="24"/>
        </w:rPr>
        <w:t>在95%以上的概率保证下，可以检出0.1%的转基因成份。</w:t>
      </w:r>
    </w:p>
    <w:p w:rsidR="00D85516" w:rsidRDefault="00D85516" w:rsidP="001716F5">
      <w:pPr>
        <w:spacing w:line="276" w:lineRule="auto"/>
        <w:ind w:firstLineChars="200" w:firstLine="480"/>
        <w:rPr>
          <w:rFonts w:ascii="宋体" w:hAnsi="宋体"/>
          <w:sz w:val="24"/>
          <w:szCs w:val="24"/>
        </w:rPr>
      </w:pPr>
      <w:r>
        <w:rPr>
          <w:rFonts w:ascii="宋体" w:hAnsi="宋体" w:hint="eastAsia"/>
          <w:sz w:val="24"/>
          <w:szCs w:val="24"/>
        </w:rPr>
        <w:t>当转基因成份含量为10%时，</w:t>
      </w:r>
      <w:r w:rsidR="00995A80">
        <w:rPr>
          <w:rFonts w:ascii="宋体" w:hAnsi="宋体" w:hint="eastAsia"/>
          <w:sz w:val="24"/>
          <w:szCs w:val="24"/>
        </w:rPr>
        <w:t>依旧按以上参数进行计算，</w:t>
      </w:r>
      <w:r>
        <w:rPr>
          <w:rFonts w:ascii="宋体" w:hAnsi="宋体" w:hint="eastAsia"/>
          <w:sz w:val="24"/>
          <w:szCs w:val="24"/>
        </w:rPr>
        <w:t>平均可以检出的外源基因的模板</w:t>
      </w:r>
      <w:r w:rsidR="009432E5">
        <w:rPr>
          <w:rFonts w:ascii="宋体" w:hAnsi="宋体" w:hint="eastAsia"/>
          <w:sz w:val="24"/>
          <w:szCs w:val="24"/>
        </w:rPr>
        <w:t>片段的</w:t>
      </w:r>
      <w:r>
        <w:rPr>
          <w:rFonts w:ascii="宋体" w:hAnsi="宋体" w:hint="eastAsia"/>
          <w:sz w:val="24"/>
          <w:szCs w:val="24"/>
        </w:rPr>
        <w:t>数量为2046个，那么，按二项分布，在95%的置信区间内，检出的转基因成份的理论模板</w:t>
      </w:r>
      <w:r w:rsidR="009432E5">
        <w:rPr>
          <w:rFonts w:ascii="宋体" w:hAnsi="宋体" w:hint="eastAsia"/>
          <w:sz w:val="24"/>
          <w:szCs w:val="24"/>
        </w:rPr>
        <w:t>片段的</w:t>
      </w:r>
      <w:r>
        <w:rPr>
          <w:rFonts w:ascii="宋体" w:hAnsi="宋体" w:hint="eastAsia"/>
          <w:sz w:val="24"/>
          <w:szCs w:val="24"/>
        </w:rPr>
        <w:t>数量为2006个到2148个，转基因含量的理论变异不超过</w:t>
      </w:r>
      <w:r w:rsidR="001716F5">
        <w:rPr>
          <w:rFonts w:ascii="宋体" w:hAnsi="宋体" w:hint="eastAsia"/>
          <w:sz w:val="24"/>
          <w:szCs w:val="24"/>
        </w:rPr>
        <w:t>10</w:t>
      </w:r>
      <w:r>
        <w:rPr>
          <w:rFonts w:ascii="宋体" w:hAnsi="宋体" w:hint="eastAsia"/>
          <w:sz w:val="24"/>
          <w:szCs w:val="24"/>
        </w:rPr>
        <w:t>%。事实上，我们利用3个</w:t>
      </w:r>
      <w:r w:rsidR="00356D6E">
        <w:rPr>
          <w:rFonts w:ascii="宋体" w:hAnsi="宋体" w:hint="eastAsia"/>
          <w:sz w:val="24"/>
          <w:szCs w:val="24"/>
        </w:rPr>
        <w:t>已知的</w:t>
      </w:r>
      <w:r>
        <w:rPr>
          <w:rFonts w:ascii="宋体" w:hAnsi="宋体" w:hint="eastAsia"/>
          <w:sz w:val="24"/>
          <w:szCs w:val="24"/>
        </w:rPr>
        <w:t>100%的转基因</w:t>
      </w:r>
      <w:r w:rsidR="00356D6E">
        <w:rPr>
          <w:rFonts w:ascii="宋体" w:hAnsi="宋体" w:hint="eastAsia"/>
          <w:sz w:val="24"/>
          <w:szCs w:val="24"/>
        </w:rPr>
        <w:t>品种</w:t>
      </w:r>
      <w:r>
        <w:rPr>
          <w:rFonts w:ascii="宋体" w:hAnsi="宋体" w:hint="eastAsia"/>
          <w:sz w:val="24"/>
          <w:szCs w:val="24"/>
        </w:rPr>
        <w:t>的</w:t>
      </w:r>
      <w:r w:rsidR="00356D6E">
        <w:rPr>
          <w:rFonts w:ascii="宋体" w:hAnsi="宋体" w:hint="eastAsia"/>
          <w:sz w:val="24"/>
          <w:szCs w:val="24"/>
        </w:rPr>
        <w:t>粉未</w:t>
      </w:r>
      <w:r>
        <w:rPr>
          <w:rFonts w:ascii="宋体" w:hAnsi="宋体" w:hint="eastAsia"/>
          <w:sz w:val="24"/>
          <w:szCs w:val="24"/>
        </w:rPr>
        <w:t>（含有Bt基因的水稻与玉米品种各1个，含有Bar基因的水稻品种1个），与</w:t>
      </w:r>
      <w:r w:rsidR="00356D6E">
        <w:rPr>
          <w:rFonts w:ascii="宋体" w:hAnsi="宋体" w:hint="eastAsia"/>
          <w:sz w:val="24"/>
          <w:szCs w:val="24"/>
        </w:rPr>
        <w:t>已知的</w:t>
      </w:r>
      <w:r>
        <w:rPr>
          <w:rFonts w:ascii="宋体" w:hAnsi="宋体" w:hint="eastAsia"/>
          <w:sz w:val="24"/>
          <w:szCs w:val="24"/>
        </w:rPr>
        <w:t>非转基因</w:t>
      </w:r>
      <w:r w:rsidR="00356D6E">
        <w:rPr>
          <w:rFonts w:ascii="宋体" w:hAnsi="宋体" w:hint="eastAsia"/>
          <w:sz w:val="24"/>
          <w:szCs w:val="24"/>
        </w:rPr>
        <w:t>品种</w:t>
      </w:r>
      <w:r>
        <w:rPr>
          <w:rFonts w:ascii="宋体" w:hAnsi="宋体" w:hint="eastAsia"/>
          <w:sz w:val="24"/>
          <w:szCs w:val="24"/>
        </w:rPr>
        <w:t>的</w:t>
      </w:r>
      <w:r w:rsidR="00356D6E">
        <w:rPr>
          <w:rFonts w:ascii="宋体" w:hAnsi="宋体" w:hint="eastAsia"/>
          <w:sz w:val="24"/>
          <w:szCs w:val="24"/>
        </w:rPr>
        <w:t>样品混合 ，制作了2</w:t>
      </w:r>
      <w:r>
        <w:rPr>
          <w:rFonts w:ascii="宋体" w:hAnsi="宋体" w:hint="eastAsia"/>
          <w:sz w:val="24"/>
          <w:szCs w:val="24"/>
        </w:rPr>
        <w:t>00个</w:t>
      </w:r>
      <w:r w:rsidR="00356D6E">
        <w:rPr>
          <w:rFonts w:ascii="宋体" w:hAnsi="宋体" w:hint="eastAsia"/>
          <w:sz w:val="24"/>
          <w:szCs w:val="24"/>
        </w:rPr>
        <w:t>含有</w:t>
      </w:r>
      <w:r>
        <w:rPr>
          <w:rFonts w:ascii="宋体" w:hAnsi="宋体" w:hint="eastAsia"/>
          <w:sz w:val="24"/>
          <w:szCs w:val="24"/>
        </w:rPr>
        <w:t>10%的</w:t>
      </w:r>
      <w:r w:rsidR="00356D6E">
        <w:rPr>
          <w:rFonts w:ascii="宋体" w:hAnsi="宋体" w:hint="eastAsia"/>
          <w:sz w:val="24"/>
          <w:szCs w:val="24"/>
        </w:rPr>
        <w:t>外源基因的</w:t>
      </w:r>
      <w:r>
        <w:rPr>
          <w:rFonts w:ascii="宋体" w:hAnsi="宋体" w:hint="eastAsia"/>
          <w:sz w:val="24"/>
          <w:szCs w:val="24"/>
        </w:rPr>
        <w:t>转基因样品，利用本标准</w:t>
      </w:r>
      <w:r w:rsidR="00356D6E">
        <w:rPr>
          <w:rFonts w:ascii="宋体" w:hAnsi="宋体" w:hint="eastAsia"/>
          <w:sz w:val="24"/>
          <w:szCs w:val="24"/>
        </w:rPr>
        <w:t>对这200个样品</w:t>
      </w:r>
      <w:r>
        <w:rPr>
          <w:rFonts w:ascii="宋体" w:hAnsi="宋体" w:hint="eastAsia"/>
          <w:sz w:val="24"/>
          <w:szCs w:val="24"/>
        </w:rPr>
        <w:t>进行检测，</w:t>
      </w:r>
      <w:r w:rsidR="00356D6E">
        <w:rPr>
          <w:rFonts w:ascii="宋体" w:hAnsi="宋体" w:hint="eastAsia"/>
          <w:sz w:val="24"/>
          <w:szCs w:val="24"/>
        </w:rPr>
        <w:t>获得第</w:t>
      </w:r>
      <m:oMath>
        <m:r>
          <m:rPr>
            <m:sty m:val="p"/>
          </m:rPr>
          <w:rPr>
            <w:rFonts w:ascii="Cambria Math" w:hAnsi="Cambria Math"/>
            <w:sz w:val="24"/>
            <w:szCs w:val="24"/>
          </w:rPr>
          <m:t>i</m:t>
        </m:r>
      </m:oMath>
      <w:r w:rsidR="00356D6E">
        <w:rPr>
          <w:rFonts w:ascii="宋体" w:hAnsi="宋体" w:hint="eastAsia"/>
          <w:sz w:val="24"/>
          <w:szCs w:val="24"/>
        </w:rPr>
        <w:t>个样品检出的外源基因的含量</w:t>
      </w:r>
      <m:oMath>
        <m:sSub>
          <m:sSubPr>
            <m:ctrlPr>
              <w:rPr>
                <w:rFonts w:ascii="Cambria Math" w:hAnsi="Cambria Math"/>
                <w:sz w:val="24"/>
                <w:szCs w:val="24"/>
              </w:rPr>
            </m:ctrlPr>
          </m:sSubPr>
          <m:e>
            <m:r>
              <m:rPr>
                <m:sty m:val="p"/>
              </m:rPr>
              <w:rPr>
                <w:rFonts w:ascii="Cambria Math" w:hAnsi="Cambria Math" w:hint="eastAsia"/>
                <w:sz w:val="24"/>
                <w:szCs w:val="24"/>
              </w:rPr>
              <m:t>C</m:t>
            </m:r>
          </m:e>
          <m:sub>
            <m:r>
              <m:rPr>
                <m:sty m:val="p"/>
              </m:rPr>
              <w:rPr>
                <w:rFonts w:ascii="Cambria Math" w:hAnsi="Cambria Math"/>
                <w:sz w:val="24"/>
                <w:szCs w:val="24"/>
              </w:rPr>
              <m:t>i</m:t>
            </m:r>
          </m:sub>
        </m:sSub>
      </m:oMath>
      <w:r w:rsidR="00356D6E">
        <w:rPr>
          <w:rFonts w:ascii="宋体" w:hAnsi="宋体" w:hint="eastAsia"/>
          <w:sz w:val="24"/>
          <w:szCs w:val="24"/>
        </w:rPr>
        <w:t>，计算</w:t>
      </w:r>
      <w:r w:rsidR="001716F5">
        <w:rPr>
          <w:rFonts w:ascii="宋体" w:hAnsi="宋体" w:hint="eastAsia"/>
          <w:sz w:val="24"/>
          <w:szCs w:val="24"/>
        </w:rPr>
        <w:t>第</w:t>
      </w:r>
      <m:oMath>
        <m:r>
          <m:rPr>
            <m:sty m:val="p"/>
          </m:rPr>
          <w:rPr>
            <w:rFonts w:ascii="Cambria Math" w:hAnsi="Cambria Math"/>
            <w:sz w:val="24"/>
            <w:szCs w:val="24"/>
          </w:rPr>
          <m:t>i</m:t>
        </m:r>
      </m:oMath>
      <w:r w:rsidR="001716F5">
        <w:rPr>
          <w:rFonts w:ascii="宋体" w:hAnsi="宋体" w:hint="eastAsia"/>
          <w:sz w:val="24"/>
          <w:szCs w:val="24"/>
        </w:rPr>
        <w:t>个样品呷</w:t>
      </w:r>
      <w:r w:rsidR="00356D6E">
        <w:rPr>
          <w:rFonts w:ascii="宋体" w:hAnsi="宋体" w:hint="eastAsia"/>
          <w:sz w:val="24"/>
          <w:szCs w:val="24"/>
        </w:rPr>
        <w:t>检出的外源基因的</w:t>
      </w:r>
      <m:oMath>
        <m:sSub>
          <m:sSubPr>
            <m:ctrlPr>
              <w:rPr>
                <w:rFonts w:ascii="Cambria Math" w:hAnsi="Cambria Math"/>
                <w:sz w:val="24"/>
                <w:szCs w:val="24"/>
              </w:rPr>
            </m:ctrlPr>
          </m:sSubPr>
          <m:e>
            <m:r>
              <m:rPr>
                <m:sty m:val="p"/>
              </m:rPr>
              <w:rPr>
                <w:rFonts w:ascii="Cambria Math" w:hAnsi="Cambria Math" w:hint="eastAsia"/>
                <w:sz w:val="24"/>
                <w:szCs w:val="24"/>
              </w:rPr>
              <m:t>C</m:t>
            </m:r>
          </m:e>
          <m:sub>
            <m:r>
              <m:rPr>
                <m:sty m:val="p"/>
              </m:rPr>
              <w:rPr>
                <w:rFonts w:ascii="Cambria Math" w:hAnsi="Cambria Math"/>
                <w:sz w:val="24"/>
                <w:szCs w:val="24"/>
              </w:rPr>
              <m:t>i</m:t>
            </m:r>
          </m:sub>
        </m:sSub>
      </m:oMath>
      <w:r w:rsidR="00356D6E">
        <w:rPr>
          <w:rFonts w:ascii="宋体" w:hAnsi="宋体" w:hint="eastAsia"/>
          <w:sz w:val="24"/>
          <w:szCs w:val="24"/>
        </w:rPr>
        <w:t>与</w:t>
      </w:r>
      <w:r>
        <w:rPr>
          <w:rFonts w:ascii="宋体" w:hAnsi="宋体" w:hint="eastAsia"/>
          <w:sz w:val="24"/>
          <w:szCs w:val="24"/>
        </w:rPr>
        <w:t>参考值</w:t>
      </w:r>
      <w:r w:rsidR="00356D6E">
        <w:rPr>
          <w:rFonts w:ascii="宋体" w:hAnsi="宋体" w:hint="eastAsia"/>
          <w:sz w:val="24"/>
          <w:szCs w:val="24"/>
        </w:rPr>
        <w:t>10%的偏差</w:t>
      </w:r>
      <m:oMath>
        <m:sSub>
          <m:sSubPr>
            <m:ctrlPr>
              <w:rPr>
                <w:rFonts w:ascii="Cambria Math" w:hAnsi="Cambria Math"/>
                <w:sz w:val="24"/>
                <w:szCs w:val="24"/>
              </w:rPr>
            </m:ctrlPr>
          </m:sSubPr>
          <m:e>
            <m:r>
              <m:rPr>
                <m:sty m:val="p"/>
              </m:rPr>
              <w:rPr>
                <w:rFonts w:ascii="Cambria Math" w:hAnsi="Cambria Math"/>
                <w:sz w:val="24"/>
                <w:szCs w:val="24"/>
              </w:rPr>
              <m:t>RSD</m:t>
            </m:r>
          </m:e>
          <m:sub>
            <m:r>
              <m:rPr>
                <m:sty m:val="p"/>
              </m:rPr>
              <w:rPr>
                <w:rFonts w:ascii="Cambria Math" w:hAnsi="Cambria Math"/>
                <w:sz w:val="24"/>
                <w:szCs w:val="24"/>
              </w:rPr>
              <m:t>i</m:t>
            </m:r>
          </m:sub>
        </m:sSub>
        <m:r>
          <m:rPr>
            <m:sty m:val="p"/>
          </m:rPr>
          <w:rPr>
            <w:rFonts w:ascii="Cambria Math" w:hAnsi="Cambria Math"/>
            <w:sz w:val="24"/>
            <w:szCs w:val="24"/>
          </w:rPr>
          <m:t>=</m:t>
        </m:r>
        <m:f>
          <m:fPr>
            <m:ctrlPr>
              <w:rPr>
                <w:rFonts w:ascii="Cambria Math" w:hAnsi="Cambria Math"/>
                <w:sz w:val="24"/>
                <w:szCs w:val="24"/>
              </w:rPr>
            </m:ctrlPr>
          </m:fPr>
          <m:num>
            <m:d>
              <m:dPr>
                <m:begChr m:val="|"/>
                <m:endChr m:val="|"/>
                <m:ctrlPr>
                  <w:rPr>
                    <w:rFonts w:ascii="Cambria Math" w:hAnsi="Cambria Math"/>
                    <w:sz w:val="24"/>
                    <w:szCs w:val="24"/>
                  </w:rPr>
                </m:ctrlPr>
              </m:dPr>
              <m:e>
                <m:sSub>
                  <m:sSubPr>
                    <m:ctrlPr>
                      <w:rPr>
                        <w:rFonts w:ascii="Cambria Math" w:hAnsi="Cambria Math"/>
                        <w:sz w:val="24"/>
                        <w:szCs w:val="24"/>
                      </w:rPr>
                    </m:ctrlPr>
                  </m:sSubPr>
                  <m:e>
                    <m:r>
                      <m:rPr>
                        <m:sty m:val="p"/>
                      </m:rPr>
                      <w:rPr>
                        <w:rFonts w:ascii="Cambria Math" w:hAnsi="Cambria Math" w:hint="eastAsia"/>
                        <w:sz w:val="24"/>
                        <w:szCs w:val="24"/>
                      </w:rPr>
                      <m:t>C</m:t>
                    </m:r>
                  </m:e>
                  <m:sub>
                    <m:r>
                      <m:rPr>
                        <m:sty m:val="p"/>
                      </m:rPr>
                      <w:rPr>
                        <w:rFonts w:ascii="Cambria Math" w:hAnsi="Cambria Math"/>
                        <w:sz w:val="24"/>
                        <w:szCs w:val="24"/>
                      </w:rPr>
                      <m:t>i</m:t>
                    </m:r>
                  </m:sub>
                </m:sSub>
                <m:r>
                  <m:rPr>
                    <m:sty m:val="p"/>
                  </m:rPr>
                  <w:rPr>
                    <w:rFonts w:ascii="Cambria Math" w:hAnsi="Cambria Math"/>
                    <w:sz w:val="24"/>
                    <w:szCs w:val="24"/>
                  </w:rPr>
                  <m:t>-10%</m:t>
                </m:r>
              </m:e>
            </m:d>
          </m:num>
          <m:den>
            <m:r>
              <m:rPr>
                <m:sty m:val="p"/>
              </m:rPr>
              <w:rPr>
                <w:rFonts w:ascii="Cambria Math" w:hAnsi="Cambria Math"/>
                <w:sz w:val="24"/>
                <w:szCs w:val="24"/>
              </w:rPr>
              <m:t>10%</m:t>
            </m:r>
          </m:den>
        </m:f>
        <m:r>
          <m:rPr>
            <m:sty m:val="p"/>
          </m:rPr>
          <w:rPr>
            <w:rFonts w:ascii="Cambria Math" w:hAnsi="Cambria Math"/>
            <w:sz w:val="24"/>
            <w:szCs w:val="24"/>
          </w:rPr>
          <m:t>×100%</m:t>
        </m:r>
      </m:oMath>
      <w:r w:rsidR="001716F5">
        <w:rPr>
          <w:rFonts w:ascii="宋体" w:hAnsi="宋体" w:hint="eastAsia"/>
          <w:sz w:val="24"/>
          <w:szCs w:val="24"/>
        </w:rPr>
        <w:t>。结果表明，在200个样品中，只有8个样品的RSD的值超过了10</w:t>
      </w:r>
      <w:r>
        <w:rPr>
          <w:rFonts w:ascii="宋体" w:hAnsi="宋体" w:hint="eastAsia"/>
          <w:sz w:val="24"/>
          <w:szCs w:val="24"/>
        </w:rPr>
        <w:t>%</w:t>
      </w:r>
      <w:r w:rsidR="001716F5">
        <w:rPr>
          <w:rFonts w:ascii="宋体" w:hAnsi="宋体" w:hint="eastAsia"/>
          <w:sz w:val="24"/>
          <w:szCs w:val="24"/>
        </w:rPr>
        <w:t>，</w:t>
      </w:r>
      <w:r>
        <w:rPr>
          <w:rFonts w:ascii="宋体" w:hAnsi="宋体" w:hint="eastAsia"/>
          <w:sz w:val="24"/>
          <w:szCs w:val="24"/>
        </w:rPr>
        <w:t>因此，确定了本标准在9</w:t>
      </w:r>
      <w:r w:rsidR="001716F5">
        <w:rPr>
          <w:rFonts w:ascii="宋体" w:hAnsi="宋体" w:hint="eastAsia"/>
          <w:sz w:val="24"/>
          <w:szCs w:val="24"/>
        </w:rPr>
        <w:t>6</w:t>
      </w:r>
      <w:r>
        <w:rPr>
          <w:rFonts w:ascii="宋体" w:hAnsi="宋体" w:hint="eastAsia"/>
          <w:sz w:val="24"/>
          <w:szCs w:val="24"/>
        </w:rPr>
        <w:t>%的概率保障下，定量检测下限为10%。</w:t>
      </w:r>
    </w:p>
    <w:p w:rsidR="00E07209" w:rsidRDefault="000F1768">
      <w:pPr>
        <w:spacing w:line="520" w:lineRule="exact"/>
        <w:ind w:firstLineChars="200" w:firstLine="482"/>
        <w:rPr>
          <w:rFonts w:ascii="宋体" w:hAnsi="宋体"/>
          <w:b/>
          <w:bCs/>
          <w:sz w:val="24"/>
          <w:szCs w:val="24"/>
        </w:rPr>
      </w:pPr>
      <w:r>
        <w:rPr>
          <w:rFonts w:ascii="宋体" w:hAnsi="宋体" w:hint="eastAsia"/>
          <w:b/>
          <w:bCs/>
          <w:sz w:val="24"/>
          <w:szCs w:val="24"/>
        </w:rPr>
        <w:t>（二）</w:t>
      </w:r>
      <w:r w:rsidR="007D1019">
        <w:rPr>
          <w:rFonts w:ascii="宋体" w:hAnsi="宋体" w:hint="eastAsia"/>
          <w:b/>
          <w:bCs/>
          <w:sz w:val="24"/>
          <w:szCs w:val="24"/>
        </w:rPr>
        <w:t>关于片段化的大小</w:t>
      </w:r>
    </w:p>
    <w:p w:rsidR="00E07209" w:rsidRDefault="007D1019">
      <w:pPr>
        <w:spacing w:line="520" w:lineRule="exact"/>
        <w:ind w:firstLineChars="200" w:firstLine="480"/>
        <w:rPr>
          <w:rFonts w:ascii="宋体" w:hAnsi="宋体"/>
          <w:sz w:val="24"/>
          <w:szCs w:val="24"/>
        </w:rPr>
      </w:pPr>
      <w:r>
        <w:rPr>
          <w:rFonts w:ascii="宋体" w:hAnsi="宋体" w:hint="eastAsia"/>
          <w:sz w:val="24"/>
          <w:szCs w:val="24"/>
        </w:rPr>
        <w:t>对于高通量测序的文库构建来说，文库中DNA片段大小一般为300bp左右。对于植物</w:t>
      </w:r>
      <w:r w:rsidR="001716F5">
        <w:rPr>
          <w:rFonts w:ascii="宋体" w:hAnsi="宋体" w:hint="eastAsia"/>
          <w:sz w:val="24"/>
          <w:szCs w:val="24"/>
        </w:rPr>
        <w:t>样品</w:t>
      </w:r>
      <w:r>
        <w:rPr>
          <w:rFonts w:ascii="宋体" w:hAnsi="宋体" w:hint="eastAsia"/>
          <w:sz w:val="24"/>
          <w:szCs w:val="24"/>
        </w:rPr>
        <w:t>来说，提取的DNA一般来说是比较完整的，因此，大于300bp</w:t>
      </w:r>
      <w:r w:rsidR="00995A80">
        <w:rPr>
          <w:rFonts w:ascii="宋体" w:hAnsi="宋体" w:hint="eastAsia"/>
          <w:sz w:val="24"/>
          <w:szCs w:val="24"/>
        </w:rPr>
        <w:t>是可以实现的。</w:t>
      </w:r>
      <w:r>
        <w:rPr>
          <w:rFonts w:ascii="宋体" w:hAnsi="宋体" w:hint="eastAsia"/>
          <w:sz w:val="24"/>
          <w:szCs w:val="24"/>
        </w:rPr>
        <w:t>对于食品</w:t>
      </w:r>
      <w:r w:rsidR="001716F5">
        <w:rPr>
          <w:rFonts w:ascii="宋体" w:hAnsi="宋体" w:hint="eastAsia"/>
          <w:sz w:val="24"/>
          <w:szCs w:val="24"/>
        </w:rPr>
        <w:t>样品</w:t>
      </w:r>
      <w:r>
        <w:rPr>
          <w:rFonts w:ascii="宋体" w:hAnsi="宋体" w:hint="eastAsia"/>
          <w:sz w:val="24"/>
          <w:szCs w:val="24"/>
        </w:rPr>
        <w:t>来说，DNA可能在食品的加工过程中已经降解，平均长度不足300bp。因此，为了</w:t>
      </w:r>
      <w:r>
        <w:rPr>
          <w:rFonts w:ascii="宋体" w:hAnsi="宋体" w:hint="eastAsia"/>
          <w:sz w:val="24"/>
          <w:szCs w:val="24"/>
        </w:rPr>
        <w:lastRenderedPageBreak/>
        <w:t>满足多种情况，</w:t>
      </w:r>
      <w:r w:rsidR="0025639E">
        <w:rPr>
          <w:rFonts w:ascii="宋体" w:hAnsi="宋体" w:hint="eastAsia"/>
          <w:sz w:val="24"/>
          <w:szCs w:val="24"/>
        </w:rPr>
        <w:t>本标准</w:t>
      </w:r>
      <w:r>
        <w:rPr>
          <w:rFonts w:ascii="宋体" w:hAnsi="宋体" w:hint="eastAsia"/>
          <w:sz w:val="24"/>
          <w:szCs w:val="24"/>
        </w:rPr>
        <w:t>中，规定片段化大小为100 bp至1000 bp。</w:t>
      </w:r>
    </w:p>
    <w:p w:rsidR="00E07209" w:rsidRDefault="000F1768" w:rsidP="00195444">
      <w:pPr>
        <w:spacing w:line="520" w:lineRule="exact"/>
        <w:ind w:firstLineChars="200" w:firstLine="482"/>
        <w:rPr>
          <w:rFonts w:ascii="宋体" w:hAnsi="宋体"/>
          <w:b/>
          <w:bCs/>
          <w:sz w:val="24"/>
          <w:szCs w:val="24"/>
        </w:rPr>
      </w:pPr>
      <w:r>
        <w:rPr>
          <w:rFonts w:ascii="宋体" w:hAnsi="宋体" w:hint="eastAsia"/>
          <w:b/>
          <w:bCs/>
          <w:sz w:val="24"/>
          <w:szCs w:val="24"/>
        </w:rPr>
        <w:t>（</w:t>
      </w:r>
      <w:r w:rsidR="00D70B4C">
        <w:rPr>
          <w:rFonts w:ascii="宋体" w:hAnsi="宋体" w:hint="eastAsia"/>
          <w:b/>
          <w:bCs/>
          <w:sz w:val="24"/>
          <w:szCs w:val="24"/>
        </w:rPr>
        <w:t>三</w:t>
      </w:r>
      <w:r>
        <w:rPr>
          <w:rFonts w:ascii="宋体" w:hAnsi="宋体" w:hint="eastAsia"/>
          <w:b/>
          <w:bCs/>
          <w:sz w:val="24"/>
          <w:szCs w:val="24"/>
        </w:rPr>
        <w:t>）</w:t>
      </w:r>
      <w:r w:rsidR="002E78AF">
        <w:rPr>
          <w:rFonts w:ascii="宋体" w:hAnsi="宋体" w:hint="eastAsia"/>
          <w:b/>
          <w:bCs/>
          <w:sz w:val="24"/>
          <w:szCs w:val="24"/>
        </w:rPr>
        <w:t>关于</w:t>
      </w:r>
      <w:r w:rsidR="007D1019">
        <w:rPr>
          <w:rFonts w:ascii="宋体" w:hAnsi="宋体" w:hint="eastAsia"/>
          <w:b/>
          <w:bCs/>
          <w:sz w:val="24"/>
          <w:szCs w:val="24"/>
        </w:rPr>
        <w:t>实验操作</w:t>
      </w:r>
    </w:p>
    <w:p w:rsidR="000F1768" w:rsidRDefault="007D1019">
      <w:pPr>
        <w:spacing w:line="520" w:lineRule="exact"/>
        <w:ind w:firstLineChars="200" w:firstLine="480"/>
        <w:rPr>
          <w:rFonts w:ascii="宋体" w:hAnsi="宋体"/>
          <w:sz w:val="24"/>
          <w:szCs w:val="24"/>
        </w:rPr>
      </w:pPr>
      <w:r>
        <w:rPr>
          <w:rFonts w:ascii="宋体" w:hAnsi="宋体" w:hint="eastAsia"/>
          <w:sz w:val="24"/>
          <w:szCs w:val="24"/>
        </w:rPr>
        <w:t>由于</w:t>
      </w:r>
      <w:r w:rsidR="0025639E">
        <w:rPr>
          <w:rFonts w:ascii="宋体" w:hAnsi="宋体" w:hint="eastAsia"/>
          <w:sz w:val="24"/>
          <w:szCs w:val="24"/>
        </w:rPr>
        <w:t>本标准</w:t>
      </w:r>
      <w:r>
        <w:rPr>
          <w:rFonts w:ascii="宋体" w:hAnsi="宋体" w:hint="eastAsia"/>
          <w:sz w:val="24"/>
          <w:szCs w:val="24"/>
        </w:rPr>
        <w:t>中，多重扩增循环数在20个以下，处于线性增长期，</w:t>
      </w:r>
      <w:r w:rsidR="009310FA">
        <w:rPr>
          <w:rFonts w:ascii="宋体" w:hAnsi="宋体" w:hint="eastAsia"/>
          <w:sz w:val="24"/>
          <w:szCs w:val="24"/>
        </w:rPr>
        <w:t>采用二代高通量测序对扩增的线性产物进行检测，可以在不同基因间进行比较，获得准确的</w:t>
      </w:r>
      <w:r>
        <w:rPr>
          <w:rFonts w:ascii="宋体" w:hAnsi="宋体" w:hint="eastAsia"/>
          <w:sz w:val="24"/>
          <w:szCs w:val="24"/>
        </w:rPr>
        <w:t>定量</w:t>
      </w:r>
      <w:r w:rsidR="009310FA">
        <w:rPr>
          <w:rFonts w:ascii="宋体" w:hAnsi="宋体" w:hint="eastAsia"/>
          <w:sz w:val="24"/>
          <w:szCs w:val="24"/>
        </w:rPr>
        <w:t>。</w:t>
      </w:r>
      <w:r>
        <w:rPr>
          <w:rFonts w:ascii="宋体" w:hAnsi="宋体" w:hint="eastAsia"/>
          <w:sz w:val="24"/>
          <w:szCs w:val="24"/>
        </w:rPr>
        <w:t>实验室的气溶胶污染</w:t>
      </w:r>
      <w:r w:rsidR="009310FA">
        <w:rPr>
          <w:rFonts w:ascii="宋体" w:hAnsi="宋体" w:hint="eastAsia"/>
          <w:sz w:val="24"/>
          <w:szCs w:val="24"/>
        </w:rPr>
        <w:t>样本条形码在</w:t>
      </w:r>
      <w:r>
        <w:rPr>
          <w:rFonts w:ascii="宋体" w:hAnsi="宋体" w:hint="eastAsia"/>
          <w:sz w:val="24"/>
          <w:szCs w:val="24"/>
        </w:rPr>
        <w:t>分析中被排除。因此，</w:t>
      </w:r>
      <w:r w:rsidR="0025639E">
        <w:rPr>
          <w:rFonts w:ascii="宋体" w:hAnsi="宋体" w:hint="eastAsia"/>
          <w:sz w:val="24"/>
          <w:szCs w:val="24"/>
        </w:rPr>
        <w:t>本标准</w:t>
      </w:r>
      <w:r w:rsidR="001716F5">
        <w:rPr>
          <w:rFonts w:ascii="宋体" w:hAnsi="宋体" w:hint="eastAsia"/>
          <w:sz w:val="24"/>
          <w:szCs w:val="24"/>
        </w:rPr>
        <w:t>的方法</w:t>
      </w:r>
      <w:r>
        <w:rPr>
          <w:rFonts w:ascii="宋体" w:hAnsi="宋体" w:hint="eastAsia"/>
          <w:sz w:val="24"/>
          <w:szCs w:val="24"/>
        </w:rPr>
        <w:t>对</w:t>
      </w:r>
      <w:r w:rsidR="001716F5">
        <w:rPr>
          <w:rFonts w:ascii="宋体" w:hAnsi="宋体" w:hint="eastAsia"/>
          <w:sz w:val="24"/>
          <w:szCs w:val="24"/>
        </w:rPr>
        <w:t>于加上条形码后的样品，</w:t>
      </w:r>
      <w:r>
        <w:rPr>
          <w:rFonts w:ascii="宋体" w:hAnsi="宋体" w:hint="eastAsia"/>
          <w:sz w:val="24"/>
          <w:szCs w:val="24"/>
        </w:rPr>
        <w:t>防止气溶胶污染</w:t>
      </w:r>
      <w:r w:rsidR="001716F5">
        <w:rPr>
          <w:rFonts w:ascii="宋体" w:hAnsi="宋体" w:hint="eastAsia"/>
          <w:sz w:val="24"/>
          <w:szCs w:val="24"/>
        </w:rPr>
        <w:t>的</w:t>
      </w:r>
      <w:r>
        <w:rPr>
          <w:rFonts w:ascii="宋体" w:hAnsi="宋体" w:hint="eastAsia"/>
          <w:sz w:val="24"/>
          <w:szCs w:val="24"/>
        </w:rPr>
        <w:t>要求并不是十分严格，只要求实验分区、单向流动、设备器具专用且保持通风，这些要求在普通实验室可以满足</w:t>
      </w:r>
      <w:r w:rsidR="001716F5">
        <w:rPr>
          <w:rFonts w:ascii="宋体" w:hAnsi="宋体" w:hint="eastAsia"/>
          <w:sz w:val="24"/>
          <w:szCs w:val="24"/>
        </w:rPr>
        <w:t>，</w:t>
      </w:r>
      <w:r>
        <w:rPr>
          <w:rFonts w:ascii="宋体" w:hAnsi="宋体" w:hint="eastAsia"/>
          <w:sz w:val="24"/>
          <w:szCs w:val="24"/>
        </w:rPr>
        <w:t>使得本标准可以在</w:t>
      </w:r>
      <w:r w:rsidR="001716F5">
        <w:rPr>
          <w:rFonts w:ascii="宋体" w:hAnsi="宋体" w:hint="eastAsia"/>
          <w:sz w:val="24"/>
          <w:szCs w:val="24"/>
        </w:rPr>
        <w:t>多数</w:t>
      </w:r>
      <w:r>
        <w:rPr>
          <w:rFonts w:ascii="宋体" w:hAnsi="宋体" w:hint="eastAsia"/>
          <w:sz w:val="24"/>
          <w:szCs w:val="24"/>
        </w:rPr>
        <w:t>实验室</w:t>
      </w:r>
      <w:r w:rsidR="001716F5">
        <w:rPr>
          <w:rFonts w:ascii="宋体" w:hAnsi="宋体" w:hint="eastAsia"/>
          <w:sz w:val="24"/>
          <w:szCs w:val="24"/>
        </w:rPr>
        <w:t>中</w:t>
      </w:r>
      <w:r>
        <w:rPr>
          <w:rFonts w:ascii="宋体" w:hAnsi="宋体" w:hint="eastAsia"/>
          <w:sz w:val="24"/>
          <w:szCs w:val="24"/>
        </w:rPr>
        <w:t>实施。</w:t>
      </w:r>
    </w:p>
    <w:p w:rsidR="002E78AF" w:rsidRDefault="002E78AF" w:rsidP="002E78AF">
      <w:pPr>
        <w:spacing w:line="520" w:lineRule="exact"/>
        <w:ind w:firstLineChars="200" w:firstLine="480"/>
        <w:rPr>
          <w:rFonts w:ascii="宋体" w:hAnsi="宋体"/>
          <w:sz w:val="24"/>
          <w:szCs w:val="24"/>
        </w:rPr>
      </w:pPr>
      <w:r>
        <w:rPr>
          <w:rFonts w:ascii="宋体" w:hAnsi="宋体" w:hint="eastAsia"/>
          <w:sz w:val="24"/>
          <w:szCs w:val="24"/>
        </w:rPr>
        <w:t>本标准采用二代高通量测序进行检测。与传统的基于实时PCR或者电泳检测的标准方法</w:t>
      </w:r>
      <w:r w:rsidR="001716F5">
        <w:rPr>
          <w:rFonts w:ascii="宋体" w:hAnsi="宋体" w:hint="eastAsia"/>
          <w:sz w:val="24"/>
          <w:szCs w:val="24"/>
        </w:rPr>
        <w:t>比较，二代高通量测序的在定量检测的动态范围只取决于测序深度，并</w:t>
      </w:r>
      <w:r>
        <w:rPr>
          <w:rFonts w:ascii="宋体" w:hAnsi="宋体" w:hint="eastAsia"/>
          <w:sz w:val="24"/>
          <w:szCs w:val="24"/>
        </w:rPr>
        <w:t>没有检测的下限与上限的限制，因此，不需要根据标准曲线确定定量检测的动态范围。</w:t>
      </w:r>
    </w:p>
    <w:p w:rsidR="002E78AF" w:rsidRDefault="002E78AF" w:rsidP="002E78AF">
      <w:pPr>
        <w:spacing w:line="520" w:lineRule="exact"/>
        <w:ind w:firstLineChars="200" w:firstLine="480"/>
        <w:rPr>
          <w:rFonts w:ascii="宋体" w:hAnsi="宋体"/>
          <w:sz w:val="24"/>
          <w:szCs w:val="24"/>
        </w:rPr>
      </w:pPr>
      <w:r>
        <w:rPr>
          <w:rFonts w:ascii="宋体" w:hAnsi="宋体" w:hint="eastAsia"/>
          <w:sz w:val="24"/>
          <w:szCs w:val="24"/>
        </w:rPr>
        <w:t>本标准中，不同样本采用不同的样本条形码且样本条形码在30天内不重复，在实验室通风良好的要求下，30天内足够进行一轮实验室内外的气体交换。因此，在实验室的气溶胶中，不存在相同的样本条形码，可以根据样本条形码，从测序数据中将气溶胶的数据排除在外，因此，不需要实验PCR反应的空白对照。</w:t>
      </w:r>
    </w:p>
    <w:p w:rsidR="002E78AF" w:rsidRDefault="002E78AF" w:rsidP="002E78AF">
      <w:pPr>
        <w:spacing w:line="520" w:lineRule="exact"/>
        <w:ind w:firstLineChars="200" w:firstLine="480"/>
        <w:rPr>
          <w:rFonts w:ascii="宋体" w:hAnsi="宋体"/>
          <w:sz w:val="24"/>
          <w:szCs w:val="24"/>
        </w:rPr>
      </w:pPr>
      <w:r>
        <w:rPr>
          <w:rFonts w:ascii="宋体" w:hAnsi="宋体" w:hint="eastAsia"/>
          <w:sz w:val="24"/>
          <w:szCs w:val="24"/>
        </w:rPr>
        <w:t>本标准中，内标准基因与外源基因在相同的反应管中进行反应，因此，误差小。根据我们的</w:t>
      </w:r>
      <w:r w:rsidR="001716F5">
        <w:rPr>
          <w:rFonts w:ascii="宋体" w:hAnsi="宋体" w:hint="eastAsia"/>
          <w:sz w:val="24"/>
          <w:szCs w:val="24"/>
        </w:rPr>
        <w:t>2</w:t>
      </w:r>
      <w:r>
        <w:rPr>
          <w:rFonts w:ascii="宋体" w:hAnsi="宋体" w:hint="eastAsia"/>
          <w:sz w:val="24"/>
          <w:szCs w:val="24"/>
        </w:rPr>
        <w:t>00个转基因含量为10%的转基因样品的检测结果，在9</w:t>
      </w:r>
      <w:r w:rsidR="001716F5">
        <w:rPr>
          <w:rFonts w:ascii="宋体" w:hAnsi="宋体" w:hint="eastAsia"/>
          <w:sz w:val="24"/>
          <w:szCs w:val="24"/>
        </w:rPr>
        <w:t>6</w:t>
      </w:r>
      <w:r>
        <w:rPr>
          <w:rFonts w:ascii="宋体" w:hAnsi="宋体" w:hint="eastAsia"/>
          <w:sz w:val="24"/>
          <w:szCs w:val="24"/>
        </w:rPr>
        <w:t>%的概率保证下，定量误差不超过10%，因此，不需要设置平行实验，以校正不同反应管中的误差。同样由于同一管中的检测误差较小，因此，</w:t>
      </w:r>
      <w:r w:rsidR="003A7BA1">
        <w:rPr>
          <w:rFonts w:ascii="宋体" w:hAnsi="宋体" w:hint="eastAsia"/>
          <w:sz w:val="24"/>
          <w:szCs w:val="24"/>
        </w:rPr>
        <w:t>当建库试剂盒固定下来后，</w:t>
      </w:r>
      <w:r>
        <w:rPr>
          <w:rFonts w:ascii="宋体" w:hAnsi="宋体" w:hint="eastAsia"/>
          <w:sz w:val="24"/>
          <w:szCs w:val="24"/>
        </w:rPr>
        <w:t>外源基因与标准基因间检测</w:t>
      </w:r>
      <w:r w:rsidR="003A7BA1">
        <w:rPr>
          <w:rFonts w:ascii="宋体" w:hAnsi="宋体" w:hint="eastAsia"/>
          <w:sz w:val="24"/>
          <w:szCs w:val="24"/>
        </w:rPr>
        <w:t>效</w:t>
      </w:r>
      <w:r>
        <w:rPr>
          <w:rFonts w:ascii="宋体" w:hAnsi="宋体" w:hint="eastAsia"/>
          <w:sz w:val="24"/>
          <w:szCs w:val="24"/>
        </w:rPr>
        <w:t>率</w:t>
      </w:r>
      <w:r w:rsidR="003A7BA1">
        <w:rPr>
          <w:rFonts w:ascii="宋体" w:hAnsi="宋体" w:hint="eastAsia"/>
          <w:sz w:val="24"/>
          <w:szCs w:val="24"/>
        </w:rPr>
        <w:t>在不同反应中的差异较小。根据我们的200个转基因含量为10%的转基因样品的检测结果，外源基因与标准基因间检测校率在不同反应中</w:t>
      </w:r>
      <w:r>
        <w:rPr>
          <w:rFonts w:ascii="宋体" w:hAnsi="宋体" w:hint="eastAsia"/>
          <w:sz w:val="24"/>
          <w:szCs w:val="24"/>
        </w:rPr>
        <w:t>变异</w:t>
      </w:r>
      <w:r w:rsidR="003A7BA1">
        <w:rPr>
          <w:rFonts w:ascii="宋体" w:hAnsi="宋体" w:hint="eastAsia"/>
          <w:sz w:val="24"/>
          <w:szCs w:val="24"/>
        </w:rPr>
        <w:t>超过10%只有2次。因此，不必在每一次检测中，计算外源基因与标准基因间检测效率的差异，</w:t>
      </w:r>
      <w:r>
        <w:rPr>
          <w:rFonts w:ascii="宋体" w:hAnsi="宋体" w:hint="eastAsia"/>
          <w:sz w:val="24"/>
          <w:szCs w:val="24"/>
        </w:rPr>
        <w:t>可以</w:t>
      </w:r>
      <w:r w:rsidR="003A7BA1">
        <w:rPr>
          <w:rFonts w:ascii="宋体" w:hAnsi="宋体" w:hint="eastAsia"/>
          <w:sz w:val="24"/>
          <w:szCs w:val="24"/>
        </w:rPr>
        <w:t>将检测效率的差异整合在</w:t>
      </w:r>
      <w:r>
        <w:rPr>
          <w:rFonts w:ascii="宋体" w:hAnsi="宋体" w:hint="eastAsia"/>
          <w:sz w:val="24"/>
          <w:szCs w:val="24"/>
        </w:rPr>
        <w:t>转基因分析软件中。</w:t>
      </w:r>
    </w:p>
    <w:p w:rsidR="00E07209" w:rsidRDefault="007D1019" w:rsidP="008F5904">
      <w:pPr>
        <w:spacing w:before="156" w:line="520" w:lineRule="exact"/>
        <w:rPr>
          <w:rFonts w:ascii="黑体" w:eastAsia="黑体" w:hAnsi="金山简标宋"/>
          <w:b/>
          <w:sz w:val="24"/>
        </w:rPr>
      </w:pPr>
      <w:r>
        <w:rPr>
          <w:rFonts w:ascii="黑体" w:eastAsia="黑体" w:hAnsi="金山简标宋" w:hint="eastAsia"/>
          <w:b/>
          <w:sz w:val="24"/>
        </w:rPr>
        <w:t>五、主要工作过程</w:t>
      </w:r>
    </w:p>
    <w:p w:rsidR="00E07209" w:rsidRDefault="007D1019">
      <w:pPr>
        <w:spacing w:line="360" w:lineRule="auto"/>
        <w:ind w:firstLineChars="200" w:firstLine="480"/>
        <w:rPr>
          <w:rFonts w:ascii="宋体" w:hAnsi="金山简标宋"/>
          <w:sz w:val="24"/>
        </w:rPr>
      </w:pPr>
      <w:r>
        <w:rPr>
          <w:rFonts w:ascii="宋体" w:hAnsi="金山简标宋" w:hint="eastAsia"/>
          <w:sz w:val="24"/>
        </w:rPr>
        <w:t>1、组成标准起草小组</w:t>
      </w:r>
      <w:bookmarkStart w:id="0" w:name="_GoBack"/>
      <w:bookmarkEnd w:id="0"/>
    </w:p>
    <w:p w:rsidR="00E07209" w:rsidRDefault="007D1019">
      <w:pPr>
        <w:spacing w:line="360" w:lineRule="auto"/>
        <w:ind w:firstLine="492"/>
        <w:rPr>
          <w:rFonts w:ascii="宋体" w:hAnsi="宋体"/>
          <w:sz w:val="24"/>
        </w:rPr>
      </w:pPr>
      <w:r>
        <w:rPr>
          <w:rFonts w:ascii="宋体" w:hAnsi="宋体" w:hint="eastAsia"/>
          <w:sz w:val="24"/>
        </w:rPr>
        <w:t>标准制定任务下达后，2017年1月，组成了标准起草工作组，明确了任务要求，</w:t>
      </w:r>
      <w:r>
        <w:rPr>
          <w:rFonts w:ascii="宋体" w:hAnsi="宋体" w:hint="eastAsia"/>
          <w:bCs/>
          <w:sz w:val="24"/>
        </w:rPr>
        <w:t>安排了工作进度，</w:t>
      </w:r>
      <w:r>
        <w:rPr>
          <w:rFonts w:ascii="宋体" w:hAnsi="宋体" w:hint="eastAsia"/>
          <w:sz w:val="24"/>
        </w:rPr>
        <w:t>会议研究讨论了标准制定的原则与方法，标准验证的方式与方法，标准中要研究的物种的类别与数量。</w:t>
      </w:r>
    </w:p>
    <w:p w:rsidR="00E07209" w:rsidRDefault="007D1019">
      <w:pPr>
        <w:spacing w:line="360" w:lineRule="auto"/>
        <w:ind w:firstLine="492"/>
        <w:rPr>
          <w:rFonts w:ascii="宋体" w:hAnsi="宋体"/>
          <w:sz w:val="24"/>
        </w:rPr>
      </w:pPr>
      <w:r>
        <w:rPr>
          <w:rFonts w:ascii="宋体" w:hAnsi="宋体" w:hint="eastAsia"/>
          <w:sz w:val="24"/>
        </w:rPr>
        <w:lastRenderedPageBreak/>
        <w:t>2、开展相关调研情况</w:t>
      </w:r>
    </w:p>
    <w:p w:rsidR="00E07209" w:rsidRDefault="007D1019">
      <w:pPr>
        <w:spacing w:line="360" w:lineRule="auto"/>
        <w:ind w:firstLine="492"/>
        <w:rPr>
          <w:rFonts w:ascii="宋体" w:hAnsi="宋体"/>
          <w:sz w:val="24"/>
        </w:rPr>
      </w:pPr>
      <w:r>
        <w:rPr>
          <w:rFonts w:ascii="宋体" w:hAnsi="宋体" w:hint="eastAsia"/>
          <w:sz w:val="24"/>
        </w:rPr>
        <w:t>到农业农村部分科技发展中心及</w:t>
      </w:r>
      <w:r w:rsidR="00233D36">
        <w:rPr>
          <w:rFonts w:ascii="宋体" w:hAnsi="宋体" w:hint="eastAsia"/>
          <w:sz w:val="24"/>
        </w:rPr>
        <w:t>湖北省油料所等多家机构进行了多次调研</w:t>
      </w:r>
      <w:r>
        <w:rPr>
          <w:rFonts w:ascii="宋体" w:hAnsi="宋体" w:hint="eastAsia"/>
          <w:sz w:val="24"/>
        </w:rPr>
        <w:t>，调研内容包括</w:t>
      </w:r>
      <w:r w:rsidR="00E630C1">
        <w:rPr>
          <w:rFonts w:ascii="宋体" w:hAnsi="宋体" w:hint="eastAsia"/>
          <w:sz w:val="24"/>
        </w:rPr>
        <w:t>转基因鉴定</w:t>
      </w:r>
      <w:r>
        <w:rPr>
          <w:rFonts w:ascii="宋体" w:hAnsi="宋体" w:hint="eastAsia"/>
          <w:sz w:val="24"/>
        </w:rPr>
        <w:t>的政策</w:t>
      </w:r>
      <w:r w:rsidR="00233D36">
        <w:rPr>
          <w:rFonts w:ascii="宋体" w:hAnsi="宋体" w:hint="eastAsia"/>
          <w:sz w:val="24"/>
        </w:rPr>
        <w:t>、</w:t>
      </w:r>
      <w:r>
        <w:rPr>
          <w:rFonts w:ascii="宋体" w:hAnsi="宋体" w:hint="eastAsia"/>
          <w:sz w:val="24"/>
        </w:rPr>
        <w:t>法规</w:t>
      </w:r>
      <w:r w:rsidR="00233D36">
        <w:rPr>
          <w:rFonts w:ascii="宋体" w:hAnsi="宋体" w:hint="eastAsia"/>
          <w:sz w:val="24"/>
        </w:rPr>
        <w:t>、检测方法和检测实验室要求</w:t>
      </w:r>
      <w:r>
        <w:rPr>
          <w:rFonts w:ascii="宋体" w:hAnsi="宋体" w:hint="eastAsia"/>
          <w:sz w:val="24"/>
        </w:rPr>
        <w:t>等内容。</w:t>
      </w:r>
    </w:p>
    <w:p w:rsidR="00E07209" w:rsidRDefault="007D1019">
      <w:pPr>
        <w:spacing w:line="360" w:lineRule="auto"/>
        <w:ind w:firstLine="492"/>
        <w:rPr>
          <w:rFonts w:ascii="宋体" w:hAnsi="宋体"/>
          <w:sz w:val="24"/>
        </w:rPr>
      </w:pPr>
      <w:r>
        <w:rPr>
          <w:rFonts w:ascii="宋体" w:hAnsi="宋体" w:hint="eastAsia"/>
          <w:sz w:val="24"/>
        </w:rPr>
        <w:t>3、标准起草完善过程</w:t>
      </w:r>
    </w:p>
    <w:p w:rsidR="00E07209" w:rsidRDefault="007D1019">
      <w:pPr>
        <w:spacing w:line="360" w:lineRule="auto"/>
        <w:ind w:firstLineChars="200" w:firstLine="480"/>
        <w:rPr>
          <w:rFonts w:ascii="宋体" w:hAnsi="宋体"/>
          <w:sz w:val="24"/>
        </w:rPr>
      </w:pPr>
      <w:r>
        <w:rPr>
          <w:rFonts w:ascii="宋体" w:hAnsi="宋体" w:hint="eastAsia"/>
          <w:sz w:val="24"/>
        </w:rPr>
        <w:t>依据GB/T 1.1—2000《标准化工作导则  第1部分：标准的结构和编写规则》、GB/T 1.2—2002《标准化工作导则  第2部分：标准中规范性技术要素内容的确定方法》等标准编制要求，对《</w:t>
      </w:r>
      <w:r w:rsidR="00233D36">
        <w:rPr>
          <w:rFonts w:ascii="宋体" w:hAnsi="宋体" w:hint="eastAsia"/>
          <w:sz w:val="24"/>
        </w:rPr>
        <w:t>植物转基因鉴定　目标区域测序法</w:t>
      </w:r>
      <w:r>
        <w:rPr>
          <w:rFonts w:ascii="宋体" w:hAnsi="宋体" w:hint="eastAsia"/>
          <w:sz w:val="24"/>
        </w:rPr>
        <w:t>》标准开展了研制工作。起草工作小组完成了《</w:t>
      </w:r>
      <w:r w:rsidR="00233D36">
        <w:rPr>
          <w:rFonts w:ascii="宋体" w:hAnsi="宋体" w:hint="eastAsia"/>
          <w:sz w:val="24"/>
        </w:rPr>
        <w:t>植物转基因鉴定　目标区域测序法</w:t>
      </w:r>
      <w:r>
        <w:rPr>
          <w:rFonts w:ascii="宋体" w:hAnsi="宋体" w:hint="eastAsia"/>
          <w:sz w:val="24"/>
        </w:rPr>
        <w:t>》国家标准（草案）。2016年完成了标准的调研工作；201</w:t>
      </w:r>
      <w:r w:rsidR="00233D36">
        <w:rPr>
          <w:rFonts w:ascii="宋体" w:hAnsi="宋体" w:hint="eastAsia"/>
          <w:sz w:val="24"/>
        </w:rPr>
        <w:t>8</w:t>
      </w:r>
      <w:r>
        <w:rPr>
          <w:rFonts w:ascii="宋体" w:hAnsi="宋体" w:hint="eastAsia"/>
          <w:sz w:val="24"/>
        </w:rPr>
        <w:t>年标准在国家标准委正式立项；2019年完成了标准的研制与验证工作。在此基础上，2019年3月征求了专家意见，起草组按照专家意见对标准内容进行了修改完善，形成了标准征求意见稿。</w:t>
      </w:r>
    </w:p>
    <w:p w:rsidR="00E07209" w:rsidRDefault="007D1019" w:rsidP="00025526">
      <w:pPr>
        <w:spacing w:beforeLines="50" w:line="360" w:lineRule="auto"/>
        <w:rPr>
          <w:rFonts w:ascii="黑体" w:eastAsia="黑体" w:hAnsi="金山简标宋"/>
          <w:b/>
          <w:sz w:val="24"/>
        </w:rPr>
      </w:pPr>
      <w:r>
        <w:rPr>
          <w:rFonts w:ascii="黑体" w:eastAsia="黑体" w:hAnsi="金山简标宋" w:hint="eastAsia"/>
          <w:b/>
          <w:sz w:val="24"/>
        </w:rPr>
        <w:t>六、方法验证及结果</w:t>
      </w:r>
    </w:p>
    <w:p w:rsidR="00E07209" w:rsidRDefault="0025639E" w:rsidP="00233D36">
      <w:pPr>
        <w:tabs>
          <w:tab w:val="left" w:pos="2445"/>
        </w:tabs>
        <w:spacing w:line="360" w:lineRule="auto"/>
        <w:ind w:firstLineChars="200" w:firstLine="480"/>
        <w:rPr>
          <w:rFonts w:ascii="宋体" w:hAnsi="宋体"/>
          <w:sz w:val="24"/>
        </w:rPr>
      </w:pPr>
      <w:r>
        <w:rPr>
          <w:rFonts w:ascii="宋体" w:hAnsi="宋体" w:hint="eastAsia"/>
          <w:sz w:val="24"/>
        </w:rPr>
        <w:t>本标准</w:t>
      </w:r>
      <w:r w:rsidR="007D1019">
        <w:rPr>
          <w:rFonts w:ascii="宋体" w:hAnsi="宋体" w:hint="eastAsia"/>
          <w:sz w:val="24"/>
        </w:rPr>
        <w:t>的验证单位包括湖清华大学化学工程系、</w:t>
      </w:r>
      <w:r w:rsidR="00233D36">
        <w:rPr>
          <w:rFonts w:ascii="宋体" w:hAnsi="宋体" w:hint="eastAsia"/>
          <w:sz w:val="24"/>
        </w:rPr>
        <w:t>四川农业大学水稻研究所</w:t>
      </w:r>
      <w:r w:rsidR="007D1019">
        <w:rPr>
          <w:rFonts w:ascii="宋体" w:hAnsi="宋体" w:hint="eastAsia"/>
          <w:sz w:val="24"/>
        </w:rPr>
        <w:t>和郑州大学生命科学学院。三家单位</w:t>
      </w:r>
      <w:r w:rsidR="00233D36">
        <w:rPr>
          <w:rFonts w:ascii="宋体" w:hAnsi="宋体" w:hint="eastAsia"/>
          <w:sz w:val="24"/>
        </w:rPr>
        <w:t>认为</w:t>
      </w:r>
      <w:r w:rsidR="00233D36" w:rsidRPr="00233D36">
        <w:rPr>
          <w:rFonts w:ascii="宋体" w:hAnsi="宋体" w:hint="eastAsia"/>
          <w:sz w:val="24"/>
        </w:rPr>
        <w:t>《植物转基因鉴定 目标区域测序法》标准草案中的方法可以鉴定出标准样品中的转基因品系和外源基因，定量检测误差不超过10%，具有定性定量准确的特点</w:t>
      </w:r>
      <w:r w:rsidR="007D1019">
        <w:rPr>
          <w:rFonts w:ascii="宋体" w:hAnsi="宋体" w:hint="eastAsia"/>
          <w:sz w:val="24"/>
        </w:rPr>
        <w:t>。</w:t>
      </w:r>
    </w:p>
    <w:p w:rsidR="00E07209" w:rsidRDefault="007D1019" w:rsidP="00025526">
      <w:pPr>
        <w:spacing w:beforeLines="50" w:line="360" w:lineRule="auto"/>
        <w:rPr>
          <w:rFonts w:ascii="黑体" w:eastAsia="黑体" w:hAnsi="金山简标宋"/>
          <w:b/>
          <w:sz w:val="24"/>
        </w:rPr>
      </w:pPr>
      <w:r>
        <w:rPr>
          <w:rFonts w:ascii="黑体" w:eastAsia="黑体" w:hAnsi="金山简标宋" w:hint="eastAsia"/>
          <w:b/>
          <w:sz w:val="24"/>
        </w:rPr>
        <w:t>七、与有关的现行法律、法规和强制性国家标准的关系</w:t>
      </w:r>
    </w:p>
    <w:p w:rsidR="00E07209" w:rsidRDefault="00233D36">
      <w:pPr>
        <w:spacing w:line="360" w:lineRule="auto"/>
        <w:ind w:firstLineChars="200" w:firstLine="480"/>
        <w:rPr>
          <w:rFonts w:ascii="宋体" w:hAnsi="宋体"/>
          <w:sz w:val="24"/>
        </w:rPr>
      </w:pPr>
      <w:r>
        <w:rPr>
          <w:rFonts w:ascii="宋体" w:hAnsi="宋体" w:hint="eastAsia"/>
          <w:sz w:val="24"/>
        </w:rPr>
        <w:t>本标准符合国家现行法律、法规、规章和强制性国家标准的要求</w:t>
      </w:r>
      <w:r w:rsidR="007D1019">
        <w:rPr>
          <w:rFonts w:ascii="宋体" w:hAnsi="宋体" w:hint="eastAsia"/>
          <w:sz w:val="24"/>
        </w:rPr>
        <w:t>。本标准的实施不涉及对现行标准的废止情况。</w:t>
      </w:r>
    </w:p>
    <w:p w:rsidR="00E07209" w:rsidRDefault="007D1019" w:rsidP="00025526">
      <w:pPr>
        <w:spacing w:beforeLines="50" w:line="360" w:lineRule="auto"/>
        <w:rPr>
          <w:rFonts w:ascii="黑体" w:eastAsia="黑体" w:hAnsi="金山简标宋"/>
          <w:b/>
          <w:sz w:val="24"/>
        </w:rPr>
      </w:pPr>
      <w:r>
        <w:rPr>
          <w:rFonts w:ascii="黑体" w:eastAsia="黑体" w:hAnsi="金山简标宋" w:hint="eastAsia"/>
          <w:b/>
          <w:sz w:val="24"/>
        </w:rPr>
        <w:t>八、标准属性的建议</w:t>
      </w:r>
    </w:p>
    <w:p w:rsidR="00E07209" w:rsidRDefault="007D1019">
      <w:pPr>
        <w:pStyle w:val="a4"/>
        <w:widowControl w:val="0"/>
        <w:spacing w:before="0" w:beforeAutospacing="0" w:after="0" w:afterAutospacing="0" w:line="520" w:lineRule="exact"/>
        <w:ind w:firstLineChars="200" w:firstLine="480"/>
        <w:rPr>
          <w:sz w:val="24"/>
          <w:szCs w:val="24"/>
        </w:rPr>
      </w:pPr>
      <w:r>
        <w:rPr>
          <w:rFonts w:hAnsi="金山简标宋" w:hint="eastAsia"/>
          <w:sz w:val="24"/>
          <w:szCs w:val="24"/>
        </w:rPr>
        <w:t>本标准属于基础管理标准，</w:t>
      </w:r>
      <w:r>
        <w:rPr>
          <w:rFonts w:hint="eastAsia"/>
          <w:sz w:val="24"/>
          <w:szCs w:val="24"/>
        </w:rPr>
        <w:t>建议作为推荐性标准批准发布。</w:t>
      </w:r>
    </w:p>
    <w:p w:rsidR="00E07209" w:rsidRDefault="007D1019" w:rsidP="00025526">
      <w:pPr>
        <w:spacing w:beforeLines="50" w:line="360" w:lineRule="auto"/>
        <w:rPr>
          <w:rFonts w:ascii="黑体" w:eastAsia="黑体" w:hAnsi="金山简标宋"/>
          <w:b/>
          <w:sz w:val="24"/>
        </w:rPr>
      </w:pPr>
      <w:r>
        <w:rPr>
          <w:rFonts w:ascii="黑体" w:eastAsia="黑体" w:hAnsi="金山简标宋" w:hint="eastAsia"/>
          <w:b/>
          <w:sz w:val="24"/>
        </w:rPr>
        <w:t>九、贯彻国家标准的要求和措施建议</w:t>
      </w:r>
    </w:p>
    <w:p w:rsidR="00E07209" w:rsidRPr="00F94FF3" w:rsidRDefault="00F94FF3" w:rsidP="00025526">
      <w:pPr>
        <w:pStyle w:val="a4"/>
        <w:widowControl w:val="0"/>
        <w:spacing w:before="0" w:beforeAutospacing="0" w:after="0" w:afterAutospacing="0" w:line="520" w:lineRule="exact"/>
        <w:ind w:firstLineChars="200" w:firstLine="480"/>
      </w:pPr>
      <w:r>
        <w:rPr>
          <w:rFonts w:hint="eastAsia"/>
          <w:sz w:val="24"/>
          <w:szCs w:val="24"/>
        </w:rPr>
        <w:t>本标准相对于已有的标准具有准确、定量、通用等优势，建议加强宣传和推广应用</w:t>
      </w:r>
      <w:r w:rsidR="007D1019">
        <w:rPr>
          <w:rFonts w:hint="eastAsia"/>
          <w:sz w:val="24"/>
          <w:szCs w:val="24"/>
        </w:rPr>
        <w:t>。</w:t>
      </w:r>
    </w:p>
    <w:sectPr w:rsidR="00E07209" w:rsidRPr="00F94FF3" w:rsidSect="00A341BE">
      <w:footerReference w:type="even" r:id="rId8"/>
      <w:footerReference w:type="default" r:id="rId9"/>
      <w:pgSz w:w="11906" w:h="16838"/>
      <w:pgMar w:top="1418" w:right="1134" w:bottom="1418" w:left="1418" w:header="851" w:footer="851"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2CDD" w:rsidRDefault="00932CDD">
      <w:r>
        <w:separator/>
      </w:r>
    </w:p>
  </w:endnote>
  <w:endnote w:type="continuationSeparator" w:id="1">
    <w:p w:rsidR="00932CDD" w:rsidRDefault="00932C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金山简标宋">
    <w:altName w:val="宋体"/>
    <w:charset w:val="86"/>
    <w:family w:val="modern"/>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16F5" w:rsidRDefault="0012290C">
    <w:pPr>
      <w:pStyle w:val="a3"/>
      <w:framePr w:wrap="around" w:vAnchor="text" w:hAnchor="margin" w:xAlign="center" w:y="1"/>
      <w:rPr>
        <w:rStyle w:val="a5"/>
      </w:rPr>
    </w:pPr>
    <w:r>
      <w:fldChar w:fldCharType="begin"/>
    </w:r>
    <w:r w:rsidR="001716F5">
      <w:rPr>
        <w:rStyle w:val="a5"/>
      </w:rPr>
      <w:instrText xml:space="preserve">PAGE  </w:instrText>
    </w:r>
    <w:r>
      <w:fldChar w:fldCharType="separate"/>
    </w:r>
    <w:r w:rsidR="001716F5">
      <w:rPr>
        <w:rStyle w:val="a5"/>
      </w:rPr>
      <w:t>1</w:t>
    </w:r>
    <w:r>
      <w:fldChar w:fldCharType="end"/>
    </w:r>
  </w:p>
  <w:p w:rsidR="001716F5" w:rsidRDefault="001716F5">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16F5" w:rsidRDefault="0012290C">
    <w:pPr>
      <w:pStyle w:val="a3"/>
      <w:framePr w:wrap="around" w:vAnchor="text" w:hAnchor="margin" w:xAlign="center" w:y="1"/>
      <w:rPr>
        <w:rStyle w:val="a5"/>
      </w:rPr>
    </w:pPr>
    <w:r>
      <w:fldChar w:fldCharType="begin"/>
    </w:r>
    <w:r w:rsidR="001716F5">
      <w:rPr>
        <w:rStyle w:val="a5"/>
      </w:rPr>
      <w:instrText xml:space="preserve">PAGE  </w:instrText>
    </w:r>
    <w:r>
      <w:fldChar w:fldCharType="separate"/>
    </w:r>
    <w:r w:rsidR="00025526">
      <w:rPr>
        <w:rStyle w:val="a5"/>
        <w:noProof/>
      </w:rPr>
      <w:t>10</w:t>
    </w:r>
    <w:r>
      <w:fldChar w:fldCharType="end"/>
    </w:r>
  </w:p>
  <w:p w:rsidR="001716F5" w:rsidRDefault="001716F5">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2CDD" w:rsidRDefault="00932CDD">
      <w:r>
        <w:separator/>
      </w:r>
    </w:p>
  </w:footnote>
  <w:footnote w:type="continuationSeparator" w:id="1">
    <w:p w:rsidR="00932CDD" w:rsidRDefault="00932CD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E66C20D"/>
    <w:multiLevelType w:val="singleLevel"/>
    <w:tmpl w:val="8E66C20D"/>
    <w:lvl w:ilvl="0">
      <w:start w:val="1"/>
      <w:numFmt w:val="decimal"/>
      <w:lvlText w:val="%1."/>
      <w:lvlJc w:val="left"/>
      <w:pPr>
        <w:ind w:left="425" w:hanging="425"/>
      </w:pPr>
      <w:rPr>
        <w:rFonts w:hint="default"/>
      </w:rPr>
    </w:lvl>
  </w:abstractNum>
  <w:abstractNum w:abstractNumId="1">
    <w:nsid w:val="A7DF4673"/>
    <w:multiLevelType w:val="singleLevel"/>
    <w:tmpl w:val="A7DF4673"/>
    <w:lvl w:ilvl="0">
      <w:start w:val="1"/>
      <w:numFmt w:val="decimal"/>
      <w:suff w:val="nothing"/>
      <w:lvlText w:val="（%1）"/>
      <w:lvlJc w:val="left"/>
    </w:lvl>
  </w:abstractNum>
  <w:abstractNum w:abstractNumId="2">
    <w:nsid w:val="F7F02C5D"/>
    <w:multiLevelType w:val="singleLevel"/>
    <w:tmpl w:val="C0B6C22C"/>
    <w:lvl w:ilvl="0">
      <w:start w:val="1"/>
      <w:numFmt w:val="chineseCounting"/>
      <w:suff w:val="nothing"/>
      <w:lvlText w:val="（%1）"/>
      <w:lvlJc w:val="left"/>
      <w:pPr>
        <w:ind w:left="-420" w:firstLine="420"/>
      </w:pPr>
      <w:rPr>
        <w:rFonts w:hint="eastAsia"/>
        <w:lang w:val="en-US"/>
      </w:rPr>
    </w:lvl>
  </w:abstractNum>
  <w:abstractNum w:abstractNumId="3">
    <w:nsid w:val="03C736F1"/>
    <w:multiLevelType w:val="multilevel"/>
    <w:tmpl w:val="7D9AEECC"/>
    <w:lvl w:ilvl="0">
      <w:start w:val="1"/>
      <w:numFmt w:val="decimal"/>
      <w:lvlText w:val="%1."/>
      <w:lvlJc w:val="left"/>
      <w:pPr>
        <w:ind w:left="425" w:hanging="425"/>
      </w:pPr>
      <w:rPr>
        <w:rFonts w:hint="default"/>
      </w:rPr>
    </w:lvl>
    <w:lvl w:ilvl="1">
      <w:start w:val="1"/>
      <w:numFmt w:val="decimal"/>
      <w:lvlText w:val="9.%2"/>
      <w:lvlJc w:val="left"/>
      <w:pPr>
        <w:ind w:left="850" w:hanging="453"/>
      </w:pPr>
      <w:rPr>
        <w:rFonts w:hint="eastAsia"/>
      </w:rPr>
    </w:lvl>
    <w:lvl w:ilvl="2">
      <w:start w:val="1"/>
      <w:numFmt w:val="decimal"/>
      <w:lvlText w:val="%1.%2.%3."/>
      <w:lvlJc w:val="left"/>
      <w:pPr>
        <w:ind w:left="1508" w:hanging="708"/>
      </w:pPr>
      <w:rPr>
        <w:rFonts w:hint="default"/>
      </w:rPr>
    </w:lvl>
    <w:lvl w:ilvl="3">
      <w:start w:val="1"/>
      <w:numFmt w:val="decimal"/>
      <w:lvlText w:val="%1.%2.%3.%4."/>
      <w:lvlJc w:val="left"/>
      <w:pPr>
        <w:ind w:left="2053" w:hanging="853"/>
      </w:pPr>
      <w:rPr>
        <w:rFonts w:hint="default"/>
      </w:rPr>
    </w:lvl>
    <w:lvl w:ilvl="4">
      <w:start w:val="1"/>
      <w:numFmt w:val="decimal"/>
      <w:lvlText w:val="%1.%2.%3.%4.%5."/>
      <w:lvlJc w:val="left"/>
      <w:pPr>
        <w:ind w:left="2495" w:hanging="895"/>
      </w:pPr>
      <w:rPr>
        <w:rFonts w:hint="default"/>
      </w:rPr>
    </w:lvl>
    <w:lvl w:ilvl="5">
      <w:start w:val="1"/>
      <w:numFmt w:val="decimal"/>
      <w:lvlText w:val="%1.%2.%3.%4.%5.%6."/>
      <w:lvlJc w:val="left"/>
      <w:pPr>
        <w:ind w:left="3136" w:hanging="1136"/>
      </w:pPr>
      <w:rPr>
        <w:rFonts w:hint="default"/>
      </w:rPr>
    </w:lvl>
    <w:lvl w:ilvl="6">
      <w:start w:val="1"/>
      <w:numFmt w:val="decimal"/>
      <w:lvlText w:val="%1.%2.%3.%4.%5.%6.%7."/>
      <w:lvlJc w:val="left"/>
      <w:pPr>
        <w:ind w:left="3673" w:hanging="1273"/>
      </w:pPr>
      <w:rPr>
        <w:rFonts w:hint="default"/>
      </w:rPr>
    </w:lvl>
    <w:lvl w:ilvl="7">
      <w:start w:val="1"/>
      <w:numFmt w:val="decimal"/>
      <w:lvlText w:val="%1.%2.%3.%4.%5.%6.%7.%8."/>
      <w:lvlJc w:val="left"/>
      <w:pPr>
        <w:ind w:left="4218" w:hanging="1418"/>
      </w:pPr>
      <w:rPr>
        <w:rFonts w:hint="default"/>
      </w:rPr>
    </w:lvl>
    <w:lvl w:ilvl="8">
      <w:start w:val="1"/>
      <w:numFmt w:val="decimal"/>
      <w:lvlText w:val="%1.%2.%3.%4.%5.%6.%7.%8.%9."/>
      <w:lvlJc w:val="left"/>
      <w:pPr>
        <w:ind w:left="4648" w:hanging="1448"/>
      </w:pPr>
      <w:rPr>
        <w:rFonts w:hint="default"/>
      </w:rPr>
    </w:lvl>
  </w:abstractNum>
  <w:abstractNum w:abstractNumId="4">
    <w:nsid w:val="129335DE"/>
    <w:multiLevelType w:val="hybridMultilevel"/>
    <w:tmpl w:val="64D4AA7A"/>
    <w:lvl w:ilvl="0" w:tplc="A4024A86">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
    <w:nsid w:val="6A160929"/>
    <w:multiLevelType w:val="hybridMultilevel"/>
    <w:tmpl w:val="472E24DA"/>
    <w:lvl w:ilvl="0" w:tplc="1BB20370">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 w:numId="2">
    <w:abstractNumId w:val="2"/>
  </w:num>
  <w:num w:numId="3">
    <w:abstractNumId w:val="1"/>
  </w:num>
  <w:num w:numId="4">
    <w:abstractNumId w:val="3"/>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0"/>
  <w:drawingGridVerticalSpacing w:val="156"/>
  <w:noPunctuationKerning/>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694EE6"/>
    <w:rsid w:val="00006D72"/>
    <w:rsid w:val="00025526"/>
    <w:rsid w:val="00061588"/>
    <w:rsid w:val="000656F2"/>
    <w:rsid w:val="0009391D"/>
    <w:rsid w:val="000A5AD3"/>
    <w:rsid w:val="000B396F"/>
    <w:rsid w:val="000F1768"/>
    <w:rsid w:val="00104B8F"/>
    <w:rsid w:val="0012290C"/>
    <w:rsid w:val="0016737C"/>
    <w:rsid w:val="001716F5"/>
    <w:rsid w:val="00195444"/>
    <w:rsid w:val="001D3DAA"/>
    <w:rsid w:val="001F4983"/>
    <w:rsid w:val="00207D02"/>
    <w:rsid w:val="00233D36"/>
    <w:rsid w:val="00235A6D"/>
    <w:rsid w:val="00240217"/>
    <w:rsid w:val="00250E98"/>
    <w:rsid w:val="00252008"/>
    <w:rsid w:val="0025639E"/>
    <w:rsid w:val="002C5CC7"/>
    <w:rsid w:val="002E729B"/>
    <w:rsid w:val="002E78AF"/>
    <w:rsid w:val="00303B03"/>
    <w:rsid w:val="00316C8A"/>
    <w:rsid w:val="00356D6E"/>
    <w:rsid w:val="00382AE9"/>
    <w:rsid w:val="003A7BA1"/>
    <w:rsid w:val="00421F49"/>
    <w:rsid w:val="00447F9F"/>
    <w:rsid w:val="004A7C1F"/>
    <w:rsid w:val="004E68A8"/>
    <w:rsid w:val="00510434"/>
    <w:rsid w:val="0051121D"/>
    <w:rsid w:val="005C1F39"/>
    <w:rsid w:val="005F33BC"/>
    <w:rsid w:val="0068278E"/>
    <w:rsid w:val="00694EE6"/>
    <w:rsid w:val="006962F5"/>
    <w:rsid w:val="006C7D4D"/>
    <w:rsid w:val="006D66B9"/>
    <w:rsid w:val="006F1C7A"/>
    <w:rsid w:val="006F68E7"/>
    <w:rsid w:val="0070404C"/>
    <w:rsid w:val="007B49B7"/>
    <w:rsid w:val="007D1019"/>
    <w:rsid w:val="00895801"/>
    <w:rsid w:val="008A558A"/>
    <w:rsid w:val="008A799A"/>
    <w:rsid w:val="008F5904"/>
    <w:rsid w:val="00915FF6"/>
    <w:rsid w:val="009310FA"/>
    <w:rsid w:val="00932CDD"/>
    <w:rsid w:val="009432E5"/>
    <w:rsid w:val="00995A80"/>
    <w:rsid w:val="009A0777"/>
    <w:rsid w:val="009B3834"/>
    <w:rsid w:val="009E753B"/>
    <w:rsid w:val="00A341BE"/>
    <w:rsid w:val="00A843A6"/>
    <w:rsid w:val="00A97F7F"/>
    <w:rsid w:val="00AF45FC"/>
    <w:rsid w:val="00B36F0E"/>
    <w:rsid w:val="00B734EB"/>
    <w:rsid w:val="00C937CC"/>
    <w:rsid w:val="00CD7A01"/>
    <w:rsid w:val="00CE0513"/>
    <w:rsid w:val="00D20E0A"/>
    <w:rsid w:val="00D32D38"/>
    <w:rsid w:val="00D32EA4"/>
    <w:rsid w:val="00D47FE8"/>
    <w:rsid w:val="00D70B4C"/>
    <w:rsid w:val="00D83975"/>
    <w:rsid w:val="00D85516"/>
    <w:rsid w:val="00DD45A3"/>
    <w:rsid w:val="00DF0ED5"/>
    <w:rsid w:val="00DF130C"/>
    <w:rsid w:val="00E029CA"/>
    <w:rsid w:val="00E07209"/>
    <w:rsid w:val="00E630C1"/>
    <w:rsid w:val="00E7509A"/>
    <w:rsid w:val="00ED5EAB"/>
    <w:rsid w:val="00F255F9"/>
    <w:rsid w:val="00F672C6"/>
    <w:rsid w:val="00F94FF3"/>
    <w:rsid w:val="01C40F8C"/>
    <w:rsid w:val="03A64CC0"/>
    <w:rsid w:val="0B577CA9"/>
    <w:rsid w:val="0F8760B6"/>
    <w:rsid w:val="0FD424C7"/>
    <w:rsid w:val="13647A62"/>
    <w:rsid w:val="15576D2A"/>
    <w:rsid w:val="159D17C2"/>
    <w:rsid w:val="18923CCE"/>
    <w:rsid w:val="18A5129C"/>
    <w:rsid w:val="19834F66"/>
    <w:rsid w:val="1E814037"/>
    <w:rsid w:val="210B4D29"/>
    <w:rsid w:val="211E7605"/>
    <w:rsid w:val="21711619"/>
    <w:rsid w:val="24446A2A"/>
    <w:rsid w:val="24D4644C"/>
    <w:rsid w:val="283854DD"/>
    <w:rsid w:val="35FD1472"/>
    <w:rsid w:val="3CEE61FF"/>
    <w:rsid w:val="3CF1227C"/>
    <w:rsid w:val="3D7F7701"/>
    <w:rsid w:val="401D3160"/>
    <w:rsid w:val="447D1B61"/>
    <w:rsid w:val="453D0DB2"/>
    <w:rsid w:val="47936DEC"/>
    <w:rsid w:val="496D4D0F"/>
    <w:rsid w:val="4A2B4663"/>
    <w:rsid w:val="4AED48FB"/>
    <w:rsid w:val="4CE5376B"/>
    <w:rsid w:val="4D454608"/>
    <w:rsid w:val="4D9E3FB0"/>
    <w:rsid w:val="4E1E5CBC"/>
    <w:rsid w:val="4E30504E"/>
    <w:rsid w:val="4F212DFE"/>
    <w:rsid w:val="52967C47"/>
    <w:rsid w:val="53777961"/>
    <w:rsid w:val="541C29F2"/>
    <w:rsid w:val="574A4A35"/>
    <w:rsid w:val="57A06084"/>
    <w:rsid w:val="5ACA17FE"/>
    <w:rsid w:val="5DB4586F"/>
    <w:rsid w:val="5E746B38"/>
    <w:rsid w:val="62BE0D89"/>
    <w:rsid w:val="637C030E"/>
    <w:rsid w:val="64BD7687"/>
    <w:rsid w:val="66935C7E"/>
    <w:rsid w:val="675F2415"/>
    <w:rsid w:val="687742E9"/>
    <w:rsid w:val="6E107509"/>
    <w:rsid w:val="76335474"/>
    <w:rsid w:val="763438A6"/>
    <w:rsid w:val="78700DD1"/>
    <w:rsid w:val="79C140A9"/>
    <w:rsid w:val="7A0C6291"/>
    <w:rsid w:val="7A267573"/>
    <w:rsid w:val="7ABD137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uiPriority="0" w:unhideWhenUsed="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41BE"/>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rsid w:val="00A341BE"/>
    <w:pPr>
      <w:tabs>
        <w:tab w:val="center" w:pos="4153"/>
        <w:tab w:val="right" w:pos="8306"/>
      </w:tabs>
      <w:snapToGrid w:val="0"/>
      <w:jc w:val="left"/>
    </w:pPr>
    <w:rPr>
      <w:sz w:val="18"/>
    </w:rPr>
  </w:style>
  <w:style w:type="paragraph" w:styleId="a4">
    <w:name w:val="Normal (Web)"/>
    <w:basedOn w:val="a"/>
    <w:qFormat/>
    <w:rsid w:val="00A341BE"/>
    <w:pPr>
      <w:widowControl/>
      <w:spacing w:before="100" w:beforeAutospacing="1" w:after="100" w:afterAutospacing="1"/>
      <w:jc w:val="left"/>
    </w:pPr>
    <w:rPr>
      <w:rFonts w:ascii="宋体" w:hAnsi="宋体" w:cs="宋体"/>
      <w:kern w:val="0"/>
      <w:sz w:val="18"/>
      <w:szCs w:val="18"/>
    </w:rPr>
  </w:style>
  <w:style w:type="character" w:styleId="a5">
    <w:name w:val="page number"/>
    <w:basedOn w:val="a0"/>
    <w:qFormat/>
    <w:rsid w:val="00A341BE"/>
  </w:style>
  <w:style w:type="character" w:customStyle="1" w:styleId="Char">
    <w:name w:val="页脚 Char"/>
    <w:basedOn w:val="a0"/>
    <w:link w:val="a3"/>
    <w:qFormat/>
    <w:rsid w:val="00A341BE"/>
    <w:rPr>
      <w:rFonts w:ascii="Times New Roman" w:eastAsia="宋体" w:hAnsi="Times New Roman" w:cs="Times New Roman"/>
      <w:sz w:val="18"/>
      <w:szCs w:val="20"/>
    </w:rPr>
  </w:style>
  <w:style w:type="character" w:customStyle="1" w:styleId="font21">
    <w:name w:val="font21"/>
    <w:basedOn w:val="a0"/>
    <w:qFormat/>
    <w:rsid w:val="00A341BE"/>
    <w:rPr>
      <w:rFonts w:ascii="宋体" w:eastAsia="宋体" w:hAnsi="宋体" w:cs="宋体"/>
      <w:color w:val="000000"/>
      <w:sz w:val="22"/>
      <w:szCs w:val="22"/>
      <w:u w:val="none"/>
    </w:rPr>
  </w:style>
  <w:style w:type="character" w:customStyle="1" w:styleId="font11">
    <w:name w:val="font11"/>
    <w:basedOn w:val="a0"/>
    <w:qFormat/>
    <w:rsid w:val="00A341BE"/>
    <w:rPr>
      <w:rFonts w:ascii="宋体" w:eastAsia="宋体" w:hAnsi="宋体" w:cs="宋体" w:hint="eastAsia"/>
      <w:color w:val="000000"/>
      <w:sz w:val="22"/>
      <w:szCs w:val="22"/>
      <w:u w:val="none"/>
    </w:rPr>
  </w:style>
  <w:style w:type="character" w:customStyle="1" w:styleId="font01">
    <w:name w:val="font01"/>
    <w:basedOn w:val="a0"/>
    <w:qFormat/>
    <w:rsid w:val="00A341BE"/>
    <w:rPr>
      <w:rFonts w:ascii="宋体" w:eastAsia="宋体" w:hAnsi="宋体" w:cs="宋体" w:hint="eastAsia"/>
      <w:color w:val="000000"/>
      <w:sz w:val="22"/>
      <w:szCs w:val="22"/>
      <w:u w:val="none"/>
      <w:vertAlign w:val="subscript"/>
    </w:rPr>
  </w:style>
  <w:style w:type="character" w:customStyle="1" w:styleId="font31">
    <w:name w:val="font31"/>
    <w:basedOn w:val="a0"/>
    <w:qFormat/>
    <w:rsid w:val="00A341BE"/>
    <w:rPr>
      <w:rFonts w:ascii="Arial" w:hAnsi="Arial" w:cs="Arial"/>
      <w:color w:val="000000"/>
      <w:sz w:val="22"/>
      <w:szCs w:val="22"/>
      <w:u w:val="none"/>
    </w:rPr>
  </w:style>
  <w:style w:type="paragraph" w:customStyle="1" w:styleId="a6">
    <w:name w:val="段"/>
    <w:qFormat/>
    <w:rsid w:val="00A341BE"/>
    <w:pPr>
      <w:autoSpaceDE w:val="0"/>
      <w:autoSpaceDN w:val="0"/>
      <w:ind w:firstLineChars="200" w:firstLine="200"/>
      <w:jc w:val="both"/>
    </w:pPr>
    <w:rPr>
      <w:rFonts w:ascii="宋体"/>
      <w:sz w:val="21"/>
    </w:rPr>
  </w:style>
  <w:style w:type="paragraph" w:styleId="a7">
    <w:name w:val="Balloon Text"/>
    <w:basedOn w:val="a"/>
    <w:link w:val="Char0"/>
    <w:uiPriority w:val="99"/>
    <w:semiHidden/>
    <w:unhideWhenUsed/>
    <w:rsid w:val="007D1019"/>
    <w:rPr>
      <w:sz w:val="18"/>
      <w:szCs w:val="18"/>
    </w:rPr>
  </w:style>
  <w:style w:type="character" w:customStyle="1" w:styleId="Char0">
    <w:name w:val="批注框文本 Char"/>
    <w:basedOn w:val="a0"/>
    <w:link w:val="a7"/>
    <w:uiPriority w:val="99"/>
    <w:semiHidden/>
    <w:rsid w:val="007D1019"/>
    <w:rPr>
      <w:kern w:val="2"/>
      <w:sz w:val="18"/>
      <w:szCs w:val="18"/>
    </w:rPr>
  </w:style>
  <w:style w:type="paragraph" w:styleId="a8">
    <w:name w:val="header"/>
    <w:basedOn w:val="a"/>
    <w:link w:val="Char1"/>
    <w:uiPriority w:val="99"/>
    <w:semiHidden/>
    <w:unhideWhenUsed/>
    <w:rsid w:val="002C5CC7"/>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8"/>
    <w:uiPriority w:val="99"/>
    <w:semiHidden/>
    <w:rsid w:val="002C5CC7"/>
    <w:rPr>
      <w:kern w:val="2"/>
      <w:sz w:val="18"/>
      <w:szCs w:val="18"/>
    </w:rPr>
  </w:style>
  <w:style w:type="paragraph" w:styleId="a9">
    <w:name w:val="List Paragraph"/>
    <w:basedOn w:val="a"/>
    <w:uiPriority w:val="99"/>
    <w:unhideWhenUsed/>
    <w:rsid w:val="00B734EB"/>
    <w:pPr>
      <w:ind w:firstLineChars="200" w:firstLine="420"/>
    </w:pPr>
  </w:style>
  <w:style w:type="character" w:styleId="aa">
    <w:name w:val="Placeholder Text"/>
    <w:basedOn w:val="a0"/>
    <w:uiPriority w:val="99"/>
    <w:unhideWhenUsed/>
    <w:rsid w:val="00356D6E"/>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uiPriority="0" w:unhideWhenUsed="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pPr>
      <w:tabs>
        <w:tab w:val="center" w:pos="4153"/>
        <w:tab w:val="right" w:pos="8306"/>
      </w:tabs>
      <w:snapToGrid w:val="0"/>
      <w:jc w:val="left"/>
    </w:pPr>
    <w:rPr>
      <w:sz w:val="18"/>
    </w:rPr>
  </w:style>
  <w:style w:type="paragraph" w:styleId="a4">
    <w:name w:val="Normal (Web)"/>
    <w:basedOn w:val="a"/>
    <w:qFormat/>
    <w:pPr>
      <w:widowControl/>
      <w:spacing w:before="100" w:beforeAutospacing="1" w:after="100" w:afterAutospacing="1"/>
      <w:jc w:val="left"/>
    </w:pPr>
    <w:rPr>
      <w:rFonts w:ascii="宋体" w:hAnsi="宋体" w:cs="宋体"/>
      <w:kern w:val="0"/>
      <w:sz w:val="18"/>
      <w:szCs w:val="18"/>
    </w:rPr>
  </w:style>
  <w:style w:type="character" w:styleId="a5">
    <w:name w:val="page number"/>
    <w:basedOn w:val="a0"/>
    <w:qFormat/>
  </w:style>
  <w:style w:type="character" w:customStyle="1" w:styleId="Char">
    <w:name w:val="页脚 Char"/>
    <w:basedOn w:val="a0"/>
    <w:link w:val="a3"/>
    <w:qFormat/>
    <w:rPr>
      <w:rFonts w:ascii="Times New Roman" w:eastAsia="宋体" w:hAnsi="Times New Roman" w:cs="Times New Roman"/>
      <w:sz w:val="18"/>
      <w:szCs w:val="20"/>
    </w:rPr>
  </w:style>
  <w:style w:type="character" w:customStyle="1" w:styleId="font21">
    <w:name w:val="font21"/>
    <w:basedOn w:val="a0"/>
    <w:qFormat/>
    <w:rPr>
      <w:rFonts w:ascii="宋体" w:eastAsia="宋体" w:hAnsi="宋体" w:cs="宋体"/>
      <w:color w:val="000000"/>
      <w:sz w:val="22"/>
      <w:szCs w:val="22"/>
      <w:u w:val="none"/>
    </w:rPr>
  </w:style>
  <w:style w:type="character" w:customStyle="1" w:styleId="font11">
    <w:name w:val="font11"/>
    <w:basedOn w:val="a0"/>
    <w:qFormat/>
    <w:rPr>
      <w:rFonts w:ascii="宋体" w:eastAsia="宋体" w:hAnsi="宋体" w:cs="宋体" w:hint="eastAsia"/>
      <w:color w:val="000000"/>
      <w:sz w:val="22"/>
      <w:szCs w:val="22"/>
      <w:u w:val="none"/>
    </w:rPr>
  </w:style>
  <w:style w:type="character" w:customStyle="1" w:styleId="font01">
    <w:name w:val="font01"/>
    <w:basedOn w:val="a0"/>
    <w:qFormat/>
    <w:rPr>
      <w:rFonts w:ascii="宋体" w:eastAsia="宋体" w:hAnsi="宋体" w:cs="宋体" w:hint="eastAsia"/>
      <w:color w:val="000000"/>
      <w:sz w:val="22"/>
      <w:szCs w:val="22"/>
      <w:u w:val="none"/>
      <w:vertAlign w:val="subscript"/>
    </w:rPr>
  </w:style>
  <w:style w:type="character" w:customStyle="1" w:styleId="font31">
    <w:name w:val="font31"/>
    <w:basedOn w:val="a0"/>
    <w:qFormat/>
    <w:rPr>
      <w:rFonts w:ascii="Arial" w:hAnsi="Arial" w:cs="Arial"/>
      <w:color w:val="000000"/>
      <w:sz w:val="22"/>
      <w:szCs w:val="22"/>
      <w:u w:val="none"/>
    </w:rPr>
  </w:style>
  <w:style w:type="paragraph" w:customStyle="1" w:styleId="a6">
    <w:name w:val="段"/>
    <w:qFormat/>
    <w:pPr>
      <w:autoSpaceDE w:val="0"/>
      <w:autoSpaceDN w:val="0"/>
      <w:ind w:firstLineChars="200" w:firstLine="200"/>
      <w:jc w:val="both"/>
    </w:pPr>
    <w:rPr>
      <w:rFonts w:ascii="宋体"/>
      <w:sz w:val="21"/>
    </w:rPr>
  </w:style>
  <w:style w:type="paragraph" w:styleId="a7">
    <w:name w:val="Balloon Text"/>
    <w:basedOn w:val="a"/>
    <w:link w:val="Char0"/>
    <w:uiPriority w:val="99"/>
    <w:semiHidden/>
    <w:unhideWhenUsed/>
    <w:rsid w:val="007D1019"/>
    <w:rPr>
      <w:sz w:val="18"/>
      <w:szCs w:val="18"/>
    </w:rPr>
  </w:style>
  <w:style w:type="character" w:customStyle="1" w:styleId="Char0">
    <w:name w:val="批注框文本 Char"/>
    <w:basedOn w:val="a0"/>
    <w:link w:val="a7"/>
    <w:uiPriority w:val="99"/>
    <w:semiHidden/>
    <w:rsid w:val="007D1019"/>
    <w:rPr>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2686</TotalTime>
  <Pages>1</Pages>
  <Words>1217</Words>
  <Characters>6939</Characters>
  <Application>Microsoft Office Word</Application>
  <DocSecurity>0</DocSecurity>
  <Lines>57</Lines>
  <Paragraphs>16</Paragraphs>
  <ScaleCrop>false</ScaleCrop>
  <Company>Microsoft</Company>
  <LinksUpToDate>false</LinksUpToDate>
  <CharactersWithSpaces>8140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马爱进</dc:creator>
  <cp:lastModifiedBy>Administrator</cp:lastModifiedBy>
  <cp:revision>17</cp:revision>
  <dcterms:created xsi:type="dcterms:W3CDTF">2019-03-29T10:33:00Z</dcterms:created>
  <dcterms:modified xsi:type="dcterms:W3CDTF">2019-04-21T03:15:00Z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y fmtid="{D5CDD505-2E9C-101B-9397-08002B2CF9AE}" pid="3" name="KSORubyTemplateID" linkTarget="0">
    <vt:lpwstr>6</vt:lpwstr>
  </property>
</Properties>
</file>