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E6" w:rsidRDefault="00694EE6" w:rsidP="00694EE6">
      <w:pPr>
        <w:spacing w:line="360" w:lineRule="auto"/>
        <w:jc w:val="center"/>
        <w:rPr>
          <w:rFonts w:ascii="黑体" w:eastAsia="黑体" w:hAnsi="金山简标宋"/>
          <w:b/>
          <w:sz w:val="30"/>
        </w:rPr>
      </w:pPr>
      <w:r>
        <w:rPr>
          <w:rFonts w:ascii="黑体" w:eastAsia="黑体" w:hAnsi="金山简标宋" w:hint="eastAsia"/>
          <w:b/>
          <w:sz w:val="30"/>
        </w:rPr>
        <w:t>《</w:t>
      </w:r>
      <w:r w:rsidR="003D0199" w:rsidRPr="007D46D6">
        <w:rPr>
          <w:rFonts w:ascii="黑体" w:eastAsia="黑体" w:hAnsi="金山简标宋" w:hint="eastAsia"/>
          <w:b/>
          <w:sz w:val="30"/>
        </w:rPr>
        <w:t>工业微生物菌株质量评价</w:t>
      </w:r>
      <w:r w:rsidR="003D0199" w:rsidRPr="003D0199">
        <w:rPr>
          <w:rFonts w:ascii="黑体" w:eastAsia="黑体" w:hAnsi="金山简标宋" w:hint="eastAsia"/>
          <w:b/>
          <w:sz w:val="30"/>
        </w:rPr>
        <w:t>-</w:t>
      </w:r>
      <w:r w:rsidR="003D0199" w:rsidRPr="007D46D6">
        <w:rPr>
          <w:rFonts w:ascii="黑体" w:eastAsia="黑体" w:hAnsi="金山简标宋" w:hint="eastAsia"/>
          <w:b/>
          <w:sz w:val="30"/>
        </w:rPr>
        <w:t>拉曼光谱法</w:t>
      </w:r>
      <w:r>
        <w:rPr>
          <w:rFonts w:ascii="黑体" w:eastAsia="黑体" w:hAnsi="金山简标宋" w:hint="eastAsia"/>
          <w:b/>
          <w:sz w:val="30"/>
        </w:rPr>
        <w:t>》国家标准</w:t>
      </w:r>
    </w:p>
    <w:p w:rsidR="00694EE6" w:rsidRDefault="00694EE6" w:rsidP="00694EE6">
      <w:pPr>
        <w:spacing w:line="360" w:lineRule="auto"/>
        <w:jc w:val="center"/>
        <w:rPr>
          <w:rFonts w:ascii="宋体" w:hAnsi="金山简标宋"/>
          <w:b/>
          <w:sz w:val="36"/>
        </w:rPr>
      </w:pPr>
      <w:r>
        <w:rPr>
          <w:rFonts w:ascii="宋体" w:hAnsi="金山简标宋" w:hint="eastAsia"/>
          <w:b/>
          <w:sz w:val="36"/>
        </w:rPr>
        <w:t>编 制 说 明</w:t>
      </w:r>
    </w:p>
    <w:p w:rsidR="00694EE6" w:rsidRDefault="00694EE6" w:rsidP="00694EE6">
      <w:pPr>
        <w:spacing w:line="360" w:lineRule="auto"/>
        <w:jc w:val="center"/>
        <w:rPr>
          <w:rFonts w:ascii="宋体" w:hAnsi="金山简标宋"/>
          <w:b/>
          <w:sz w:val="24"/>
        </w:rPr>
      </w:pPr>
      <w:r>
        <w:rPr>
          <w:rFonts w:ascii="宋体" w:hAnsi="金山简标宋" w:hint="eastAsia"/>
          <w:bCs/>
          <w:sz w:val="24"/>
        </w:rPr>
        <w:t>（征求意见稿）</w:t>
      </w:r>
    </w:p>
    <w:p w:rsidR="00694EE6" w:rsidRDefault="00694EE6" w:rsidP="00694EE6">
      <w:pPr>
        <w:spacing w:line="360" w:lineRule="auto"/>
        <w:rPr>
          <w:rFonts w:ascii="宋体" w:hAnsi="金山简标宋"/>
          <w:b/>
          <w:sz w:val="24"/>
        </w:rPr>
      </w:pPr>
    </w:p>
    <w:p w:rsidR="00694EE6" w:rsidRDefault="00694EE6" w:rsidP="00694EE6">
      <w:pPr>
        <w:spacing w:line="360" w:lineRule="auto"/>
        <w:rPr>
          <w:rFonts w:ascii="宋体" w:hAnsi="宋体"/>
          <w:sz w:val="24"/>
        </w:rPr>
      </w:pPr>
      <w:r>
        <w:rPr>
          <w:rFonts w:ascii="黑体" w:eastAsia="黑体" w:hAnsi="金山简标宋" w:hint="eastAsia"/>
          <w:sz w:val="24"/>
        </w:rPr>
        <w:t>一、任务来源</w:t>
      </w:r>
    </w:p>
    <w:p w:rsidR="001E391A" w:rsidRPr="000405B7" w:rsidRDefault="00694EE6" w:rsidP="007D46D6">
      <w:pPr>
        <w:spacing w:beforeLines="50" w:line="360" w:lineRule="auto"/>
        <w:ind w:firstLineChars="200" w:firstLine="480"/>
        <w:rPr>
          <w:rFonts w:ascii="宋体" w:hAnsi="宋体"/>
          <w:sz w:val="24"/>
        </w:rPr>
      </w:pPr>
      <w:r w:rsidRPr="007331E8">
        <w:rPr>
          <w:rFonts w:ascii="宋体" w:hAnsi="宋体" w:hint="eastAsia"/>
          <w:sz w:val="24"/>
        </w:rPr>
        <w:t>本国家标准的制定任务列入国家标准化管理委员会《</w:t>
      </w:r>
      <w:r w:rsidR="007331E8" w:rsidRPr="007331E8">
        <w:rPr>
          <w:rFonts w:ascii="宋体" w:hAnsi="宋体" w:hint="eastAsia"/>
          <w:sz w:val="24"/>
        </w:rPr>
        <w:t>国家</w:t>
      </w:r>
      <w:r w:rsidR="007331E8" w:rsidRPr="007331E8">
        <w:rPr>
          <w:rFonts w:ascii="宋体" w:hAnsi="宋体"/>
          <w:sz w:val="24"/>
        </w:rPr>
        <w:t>标准</w:t>
      </w:r>
      <w:r w:rsidR="007331E8">
        <w:rPr>
          <w:rFonts w:ascii="宋体" w:hAnsi="宋体"/>
          <w:sz w:val="24"/>
        </w:rPr>
        <w:t>制定</w:t>
      </w:r>
      <w:bookmarkStart w:id="0" w:name="_GoBack"/>
      <w:bookmarkEnd w:id="0"/>
      <w:r w:rsidR="007331E8" w:rsidRPr="007331E8">
        <w:rPr>
          <w:rFonts w:ascii="宋体" w:hAnsi="宋体"/>
          <w:sz w:val="24"/>
        </w:rPr>
        <w:t>计划</w:t>
      </w:r>
      <w:r w:rsidRPr="007331E8">
        <w:rPr>
          <w:rFonts w:ascii="宋体" w:hAnsi="宋体" w:hint="eastAsia"/>
          <w:sz w:val="24"/>
        </w:rPr>
        <w:t>》，项目编号</w:t>
      </w:r>
      <w:r w:rsidRPr="002C1679">
        <w:rPr>
          <w:rFonts w:ascii="宋体" w:hAnsi="宋体" w:hint="eastAsia"/>
          <w:sz w:val="24"/>
        </w:rPr>
        <w:t>“</w:t>
      </w:r>
      <w:r w:rsidR="002C1679" w:rsidRPr="002C1679">
        <w:rPr>
          <w:rFonts w:ascii="宋体" w:hAnsi="宋体"/>
          <w:sz w:val="24"/>
        </w:rPr>
        <w:t>20171814-T-424</w:t>
      </w:r>
      <w:r w:rsidRPr="002C1679">
        <w:rPr>
          <w:rFonts w:ascii="宋体" w:hAnsi="宋体" w:hint="eastAsia"/>
          <w:sz w:val="24"/>
        </w:rPr>
        <w:t>”。本项任务由中国标准化研究院提出并归口，定于</w:t>
      </w:r>
      <w:r w:rsidR="007D7BD9" w:rsidRPr="002C1679">
        <w:rPr>
          <w:rFonts w:ascii="宋体" w:hAnsi="宋体" w:hint="eastAsia"/>
          <w:sz w:val="24"/>
        </w:rPr>
        <w:t>2019</w:t>
      </w:r>
      <w:r w:rsidRPr="002C1679">
        <w:rPr>
          <w:rFonts w:ascii="宋体" w:hAnsi="宋体" w:hint="eastAsia"/>
          <w:sz w:val="24"/>
        </w:rPr>
        <w:t>年完成。</w:t>
      </w:r>
      <w:r w:rsidRPr="000D4192">
        <w:rPr>
          <w:rFonts w:ascii="宋体" w:hAnsi="宋体" w:hint="eastAsia"/>
          <w:sz w:val="24"/>
        </w:rPr>
        <w:t>本标准由</w:t>
      </w:r>
      <w:r w:rsidR="002C1679" w:rsidRPr="002C1679">
        <w:rPr>
          <w:rFonts w:ascii="宋体" w:hAnsi="宋体"/>
          <w:sz w:val="24"/>
        </w:rPr>
        <w:t>中国标准化研究院</w:t>
      </w:r>
      <w:r w:rsidRPr="000D4192">
        <w:rPr>
          <w:rFonts w:ascii="宋体" w:hAnsi="宋体" w:hint="eastAsia"/>
          <w:sz w:val="24"/>
        </w:rPr>
        <w:t>等单位共同</w:t>
      </w:r>
      <w:r w:rsidR="007D46D6">
        <w:rPr>
          <w:rFonts w:ascii="宋体" w:hAnsi="宋体" w:hint="eastAsia"/>
          <w:sz w:val="24"/>
        </w:rPr>
        <w:t>完成</w:t>
      </w:r>
      <w:r w:rsidRPr="000D4192">
        <w:rPr>
          <w:rFonts w:ascii="宋体" w:hAnsi="宋体" w:hint="eastAsia"/>
          <w:sz w:val="24"/>
        </w:rPr>
        <w:t>。</w:t>
      </w:r>
    </w:p>
    <w:p w:rsidR="00694EE6" w:rsidRDefault="00694EE6" w:rsidP="007D46D6">
      <w:pPr>
        <w:spacing w:beforeLines="50" w:line="360" w:lineRule="auto"/>
        <w:rPr>
          <w:rFonts w:ascii="黑体" w:eastAsia="黑体" w:hAnsi="金山简标宋"/>
          <w:sz w:val="24"/>
        </w:rPr>
      </w:pPr>
      <w:r w:rsidRPr="0017605A">
        <w:rPr>
          <w:rFonts w:ascii="黑体" w:eastAsia="黑体" w:hAnsi="金山简标宋" w:hint="eastAsia"/>
          <w:sz w:val="24"/>
        </w:rPr>
        <w:t>二、目的和意义</w:t>
      </w:r>
    </w:p>
    <w:p w:rsidR="00906AA6" w:rsidRPr="00214714" w:rsidRDefault="009A2038" w:rsidP="00214714">
      <w:pPr>
        <w:spacing w:line="360" w:lineRule="auto"/>
        <w:ind w:firstLineChars="200" w:firstLine="480"/>
        <w:rPr>
          <w:rFonts w:ascii="宋体" w:hAnsi="宋体" w:cs="宋体"/>
          <w:sz w:val="24"/>
        </w:rPr>
      </w:pPr>
      <w:r w:rsidRPr="009A2038">
        <w:rPr>
          <w:rFonts w:ascii="宋体" w:hAnsi="宋体" w:hint="eastAsia"/>
          <w:sz w:val="24"/>
        </w:rPr>
        <w:t>本标准</w:t>
      </w:r>
      <w:r w:rsidR="006A2383">
        <w:rPr>
          <w:rFonts w:ascii="宋体" w:hAnsi="宋体" w:hint="eastAsia"/>
          <w:sz w:val="24"/>
        </w:rPr>
        <w:t>拟</w:t>
      </w:r>
      <w:r w:rsidRPr="009A2038">
        <w:rPr>
          <w:rFonts w:ascii="宋体" w:hAnsi="宋体" w:hint="eastAsia"/>
          <w:sz w:val="24"/>
        </w:rPr>
        <w:t>建立一种快速无损的活体工业</w:t>
      </w:r>
      <w:r>
        <w:rPr>
          <w:rFonts w:ascii="宋体" w:hAnsi="宋体" w:hint="eastAsia"/>
          <w:sz w:val="24"/>
        </w:rPr>
        <w:t>微生物菌株质量评</w:t>
      </w:r>
      <w:r w:rsidR="00214714">
        <w:rPr>
          <w:rFonts w:ascii="宋体" w:hAnsi="宋体" w:hint="eastAsia"/>
          <w:sz w:val="24"/>
        </w:rPr>
        <w:t>价</w:t>
      </w:r>
      <w:r>
        <w:rPr>
          <w:rFonts w:ascii="宋体" w:hAnsi="宋体" w:hint="eastAsia"/>
          <w:sz w:val="24"/>
        </w:rPr>
        <w:t>标准方法，</w:t>
      </w:r>
      <w:r w:rsidR="006A2383">
        <w:rPr>
          <w:rFonts w:ascii="宋体" w:hAnsi="宋体" w:hint="eastAsia"/>
          <w:sz w:val="24"/>
        </w:rPr>
        <w:t>在</w:t>
      </w:r>
      <w:r w:rsidR="006A2383" w:rsidRPr="009A2038">
        <w:rPr>
          <w:rFonts w:ascii="宋体" w:hAnsi="宋体" w:hint="eastAsia"/>
          <w:sz w:val="24"/>
        </w:rPr>
        <w:t>不破环细胞的条件下</w:t>
      </w:r>
      <w:r w:rsidR="006A2383">
        <w:rPr>
          <w:rFonts w:ascii="宋体" w:hAnsi="宋体" w:hint="eastAsia"/>
          <w:sz w:val="24"/>
        </w:rPr>
        <w:t>，快速测量单个细胞内所有化合物的指纹图谱信息，真实全面的反映细胞</w:t>
      </w:r>
      <w:r w:rsidR="00214714">
        <w:rPr>
          <w:rFonts w:ascii="宋体" w:hAnsi="宋体" w:hint="eastAsia"/>
          <w:sz w:val="24"/>
        </w:rPr>
        <w:t>所处</w:t>
      </w:r>
      <w:r w:rsidR="006A2383">
        <w:rPr>
          <w:rFonts w:ascii="宋体" w:hAnsi="宋体" w:hint="eastAsia"/>
          <w:sz w:val="24"/>
        </w:rPr>
        <w:t>的</w:t>
      </w:r>
      <w:r>
        <w:rPr>
          <w:rFonts w:ascii="宋体" w:hAnsi="宋体" w:hint="eastAsia"/>
          <w:sz w:val="24"/>
        </w:rPr>
        <w:t>生理状态</w:t>
      </w:r>
      <w:r w:rsidR="006A2383">
        <w:rPr>
          <w:rFonts w:ascii="宋体" w:hAnsi="宋体" w:hint="eastAsia"/>
          <w:sz w:val="24"/>
        </w:rPr>
        <w:t>，从而</w:t>
      </w:r>
      <w:r w:rsidR="00226EB3">
        <w:rPr>
          <w:rFonts w:ascii="宋体" w:hAnsi="宋体" w:hint="eastAsia"/>
          <w:sz w:val="24"/>
        </w:rPr>
        <w:t>满足工业发酵</w:t>
      </w:r>
      <w:r w:rsidR="00214714">
        <w:rPr>
          <w:rFonts w:ascii="宋体" w:hAnsi="宋体" w:hint="eastAsia"/>
          <w:sz w:val="24"/>
        </w:rPr>
        <w:t>领域对于菌株质量评价的需求</w:t>
      </w:r>
      <w:r w:rsidRPr="009A2038">
        <w:rPr>
          <w:rFonts w:ascii="宋体" w:hAnsi="宋体" w:hint="eastAsia"/>
          <w:sz w:val="24"/>
        </w:rPr>
        <w:t>。</w:t>
      </w:r>
    </w:p>
    <w:p w:rsidR="00214714" w:rsidRDefault="00214714" w:rsidP="00906AA6">
      <w:pPr>
        <w:spacing w:line="360" w:lineRule="auto"/>
        <w:ind w:firstLineChars="200" w:firstLine="480"/>
        <w:rPr>
          <w:sz w:val="24"/>
          <w:szCs w:val="30"/>
        </w:rPr>
      </w:pPr>
      <w:r w:rsidRPr="004533AD">
        <w:rPr>
          <w:sz w:val="24"/>
          <w:szCs w:val="30"/>
        </w:rPr>
        <w:t>随着</w:t>
      </w:r>
      <w:r>
        <w:rPr>
          <w:sz w:val="24"/>
          <w:szCs w:val="30"/>
        </w:rPr>
        <w:t>发酵工程和合成生物学等技术的发展</w:t>
      </w:r>
      <w:r>
        <w:rPr>
          <w:rFonts w:hint="eastAsia"/>
          <w:sz w:val="24"/>
          <w:szCs w:val="30"/>
        </w:rPr>
        <w:t>，</w:t>
      </w:r>
      <w:r>
        <w:rPr>
          <w:sz w:val="24"/>
          <w:szCs w:val="30"/>
        </w:rPr>
        <w:t>发酵工业的</w:t>
      </w:r>
      <w:r w:rsidRPr="004533AD">
        <w:rPr>
          <w:sz w:val="24"/>
          <w:szCs w:val="30"/>
        </w:rPr>
        <w:t>生产规模和</w:t>
      </w:r>
      <w:r>
        <w:rPr>
          <w:sz w:val="24"/>
          <w:szCs w:val="30"/>
        </w:rPr>
        <w:t>产品</w:t>
      </w:r>
      <w:r w:rsidRPr="004533AD">
        <w:rPr>
          <w:sz w:val="24"/>
          <w:szCs w:val="30"/>
        </w:rPr>
        <w:t>品种不断增加，</w:t>
      </w:r>
      <w:r w:rsidR="00154432">
        <w:rPr>
          <w:sz w:val="24"/>
          <w:szCs w:val="30"/>
        </w:rPr>
        <w:t>成为现代医药</w:t>
      </w:r>
      <w:r w:rsidR="00154432">
        <w:rPr>
          <w:rFonts w:hint="eastAsia"/>
          <w:sz w:val="24"/>
          <w:szCs w:val="30"/>
        </w:rPr>
        <w:t>、</w:t>
      </w:r>
      <w:r w:rsidR="00C86841">
        <w:rPr>
          <w:rFonts w:hint="eastAsia"/>
          <w:sz w:val="24"/>
          <w:szCs w:val="30"/>
        </w:rPr>
        <w:t>生物、</w:t>
      </w:r>
      <w:r w:rsidR="00154432">
        <w:rPr>
          <w:sz w:val="24"/>
          <w:szCs w:val="30"/>
        </w:rPr>
        <w:t>食品</w:t>
      </w:r>
      <w:r w:rsidR="00154432">
        <w:rPr>
          <w:rFonts w:hint="eastAsia"/>
          <w:sz w:val="24"/>
          <w:szCs w:val="30"/>
        </w:rPr>
        <w:t>、</w:t>
      </w:r>
      <w:r w:rsidR="00154432">
        <w:rPr>
          <w:sz w:val="24"/>
          <w:szCs w:val="30"/>
        </w:rPr>
        <w:t>环境</w:t>
      </w:r>
      <w:r w:rsidR="00154432">
        <w:rPr>
          <w:rFonts w:hint="eastAsia"/>
          <w:sz w:val="24"/>
          <w:szCs w:val="30"/>
        </w:rPr>
        <w:t>、</w:t>
      </w:r>
      <w:r w:rsidR="00154432">
        <w:rPr>
          <w:sz w:val="24"/>
          <w:szCs w:val="30"/>
        </w:rPr>
        <w:t>化工</w:t>
      </w:r>
      <w:r w:rsidR="00154432">
        <w:rPr>
          <w:rFonts w:hint="eastAsia"/>
          <w:sz w:val="24"/>
          <w:szCs w:val="30"/>
        </w:rPr>
        <w:t>、</w:t>
      </w:r>
      <w:r w:rsidR="00154432">
        <w:rPr>
          <w:sz w:val="24"/>
          <w:szCs w:val="30"/>
        </w:rPr>
        <w:t>农业等领域的重要生产方式</w:t>
      </w:r>
      <w:r w:rsidR="00C86841">
        <w:rPr>
          <w:rFonts w:hint="eastAsia"/>
          <w:sz w:val="24"/>
          <w:szCs w:val="30"/>
        </w:rPr>
        <w:t>。</w:t>
      </w:r>
      <w:r w:rsidR="005C333F">
        <w:rPr>
          <w:rFonts w:ascii="宋体" w:hAnsi="宋体" w:hint="eastAsia"/>
          <w:sz w:val="24"/>
        </w:rPr>
        <w:t>优质的</w:t>
      </w:r>
      <w:r w:rsidR="005C333F" w:rsidRPr="009A2038">
        <w:rPr>
          <w:rFonts w:ascii="宋体" w:hAnsi="宋体" w:hint="eastAsia"/>
          <w:sz w:val="24"/>
        </w:rPr>
        <w:t>工业菌株是工业</w:t>
      </w:r>
      <w:r w:rsidR="005C333F">
        <w:rPr>
          <w:rFonts w:ascii="宋体" w:hAnsi="宋体" w:hint="eastAsia"/>
          <w:sz w:val="24"/>
        </w:rPr>
        <w:t>发酵生产的灵魂和命脉，尽管</w:t>
      </w:r>
      <w:r w:rsidR="005C333F" w:rsidRPr="004533AD">
        <w:rPr>
          <w:sz w:val="24"/>
          <w:szCs w:val="30"/>
        </w:rPr>
        <w:t>现代生物技术在基因工程和代谢工程领域内</w:t>
      </w:r>
      <w:r w:rsidR="005C333F">
        <w:rPr>
          <w:rFonts w:hint="eastAsia"/>
          <w:sz w:val="24"/>
          <w:szCs w:val="30"/>
        </w:rPr>
        <w:t>的</w:t>
      </w:r>
      <w:r w:rsidR="005C333F">
        <w:rPr>
          <w:sz w:val="24"/>
          <w:szCs w:val="30"/>
        </w:rPr>
        <w:t>长足</w:t>
      </w:r>
      <w:r w:rsidR="005C333F" w:rsidRPr="004533AD">
        <w:rPr>
          <w:sz w:val="24"/>
          <w:szCs w:val="30"/>
        </w:rPr>
        <w:t>进展，通过诱发变异、基因重组和培养能够得到高产菌株，</w:t>
      </w:r>
      <w:r w:rsidR="005C333F">
        <w:rPr>
          <w:sz w:val="24"/>
          <w:szCs w:val="30"/>
        </w:rPr>
        <w:t>然而</w:t>
      </w:r>
      <w:r w:rsidR="005C333F" w:rsidRPr="004533AD">
        <w:rPr>
          <w:sz w:val="24"/>
          <w:szCs w:val="24"/>
        </w:rPr>
        <w:t>发酵是</w:t>
      </w:r>
      <w:r w:rsidR="005C333F">
        <w:rPr>
          <w:rFonts w:hint="eastAsia"/>
          <w:sz w:val="24"/>
          <w:szCs w:val="24"/>
        </w:rPr>
        <w:t>一个</w:t>
      </w:r>
      <w:r w:rsidR="005C333F">
        <w:rPr>
          <w:sz w:val="24"/>
          <w:szCs w:val="24"/>
        </w:rPr>
        <w:t>复杂的生化过程，除了工业微生物</w:t>
      </w:r>
      <w:r w:rsidR="005C333F" w:rsidRPr="004533AD">
        <w:rPr>
          <w:sz w:val="24"/>
          <w:szCs w:val="24"/>
        </w:rPr>
        <w:t>的生产性能，</w:t>
      </w:r>
      <w:r w:rsidR="005C333F" w:rsidRPr="004533AD">
        <w:rPr>
          <w:rFonts w:hint="eastAsia"/>
          <w:sz w:val="24"/>
          <w:szCs w:val="24"/>
        </w:rPr>
        <w:t>还</w:t>
      </w:r>
      <w:r w:rsidR="005C333F" w:rsidRPr="004533AD">
        <w:rPr>
          <w:sz w:val="24"/>
          <w:szCs w:val="24"/>
        </w:rPr>
        <w:t>与发酵条件和</w:t>
      </w:r>
      <w:r w:rsidR="005C333F">
        <w:rPr>
          <w:sz w:val="24"/>
          <w:szCs w:val="24"/>
        </w:rPr>
        <w:t>菌株</w:t>
      </w:r>
      <w:r w:rsidR="005C333F" w:rsidRPr="004533AD">
        <w:rPr>
          <w:sz w:val="24"/>
          <w:szCs w:val="24"/>
        </w:rPr>
        <w:t>状态等诸多因素密切相关，</w:t>
      </w:r>
      <w:r w:rsidR="005C333F">
        <w:rPr>
          <w:rFonts w:hint="eastAsia"/>
          <w:sz w:val="24"/>
          <w:szCs w:val="24"/>
        </w:rPr>
        <w:t>具有高度的非线性、</w:t>
      </w:r>
      <w:r w:rsidR="005C333F" w:rsidRPr="004533AD">
        <w:rPr>
          <w:rFonts w:hint="eastAsia"/>
          <w:sz w:val="24"/>
          <w:szCs w:val="24"/>
        </w:rPr>
        <w:t>时变性和复杂性，</w:t>
      </w:r>
      <w:r w:rsidR="005C333F" w:rsidRPr="004533AD">
        <w:rPr>
          <w:sz w:val="24"/>
          <w:szCs w:val="30"/>
        </w:rPr>
        <w:t>通过优化控制使发酵过程产品生产最优（即生产能力最大、成本消耗最低、</w:t>
      </w:r>
      <w:r w:rsidR="00C86841">
        <w:rPr>
          <w:sz w:val="24"/>
          <w:szCs w:val="30"/>
        </w:rPr>
        <w:t>产品质量最高）</w:t>
      </w:r>
      <w:r w:rsidR="00C86841">
        <w:rPr>
          <w:rFonts w:hint="eastAsia"/>
          <w:sz w:val="24"/>
          <w:szCs w:val="30"/>
        </w:rPr>
        <w:t>，</w:t>
      </w:r>
      <w:r w:rsidR="00C86841">
        <w:rPr>
          <w:sz w:val="24"/>
          <w:szCs w:val="30"/>
        </w:rPr>
        <w:t>仍然是发酵工业领域的瓶颈</w:t>
      </w:r>
      <w:r w:rsidR="005C333F">
        <w:rPr>
          <w:sz w:val="24"/>
          <w:szCs w:val="30"/>
        </w:rPr>
        <w:t>问题之一，因此对</w:t>
      </w:r>
      <w:r w:rsidR="005C333F" w:rsidRPr="004533AD">
        <w:rPr>
          <w:sz w:val="24"/>
          <w:szCs w:val="30"/>
        </w:rPr>
        <w:t>发酵过程</w:t>
      </w:r>
      <w:r w:rsidR="005C333F">
        <w:rPr>
          <w:sz w:val="24"/>
          <w:szCs w:val="30"/>
        </w:rPr>
        <w:t>中的微生物进行质量评价</w:t>
      </w:r>
      <w:r w:rsidR="005C333F" w:rsidRPr="004533AD">
        <w:rPr>
          <w:sz w:val="24"/>
          <w:szCs w:val="30"/>
        </w:rPr>
        <w:t>日益受到重视。</w:t>
      </w:r>
    </w:p>
    <w:p w:rsidR="00E36862" w:rsidRDefault="005C333F" w:rsidP="00906AA6">
      <w:pPr>
        <w:spacing w:line="360" w:lineRule="auto"/>
        <w:ind w:firstLineChars="200" w:firstLine="480"/>
        <w:rPr>
          <w:rFonts w:ascii="宋体" w:hAnsi="宋体"/>
          <w:sz w:val="24"/>
        </w:rPr>
      </w:pPr>
      <w:r w:rsidRPr="00FE0F6F">
        <w:rPr>
          <w:sz w:val="24"/>
          <w:szCs w:val="30"/>
        </w:rPr>
        <w:t>发酵过程的监控通常包括对</w:t>
      </w:r>
      <w:r w:rsidR="00E36862">
        <w:rPr>
          <w:sz w:val="24"/>
          <w:szCs w:val="30"/>
        </w:rPr>
        <w:t>发酵条件和菌株</w:t>
      </w:r>
      <w:r w:rsidR="00E36862">
        <w:rPr>
          <w:rFonts w:hint="eastAsia"/>
          <w:sz w:val="24"/>
          <w:szCs w:val="30"/>
        </w:rPr>
        <w:t>质量</w:t>
      </w:r>
      <w:r w:rsidRPr="00FE0F6F">
        <w:rPr>
          <w:sz w:val="24"/>
          <w:szCs w:val="30"/>
        </w:rPr>
        <w:t>等两大方面的考察。发酵条件包括温度、</w:t>
      </w:r>
      <w:r w:rsidRPr="00FE0F6F">
        <w:rPr>
          <w:sz w:val="24"/>
          <w:szCs w:val="30"/>
        </w:rPr>
        <w:t>pH</w:t>
      </w:r>
      <w:r w:rsidRPr="00FE0F6F">
        <w:rPr>
          <w:sz w:val="24"/>
          <w:szCs w:val="30"/>
        </w:rPr>
        <w:t>值、压力、搅拌速度、溶解氧浓度、营养成分等物化参数，发酵罐一般都集成了这些指标的在线式监控探头</w:t>
      </w:r>
      <w:r w:rsidR="00E36862">
        <w:rPr>
          <w:sz w:val="24"/>
          <w:szCs w:val="30"/>
        </w:rPr>
        <w:t>；菌株质量</w:t>
      </w:r>
      <w:r w:rsidRPr="00FE0F6F">
        <w:rPr>
          <w:sz w:val="24"/>
          <w:szCs w:val="30"/>
        </w:rPr>
        <w:t>方面，通常包括对生物质浓度、代谢产物浓度、底物浓度以及比生长速率、底物消耗速率和产物形成速率等方面的检测，目前存在三大主要问题：</w:t>
      </w:r>
      <w:r w:rsidRPr="00FE0F6F">
        <w:rPr>
          <w:sz w:val="24"/>
          <w:szCs w:val="30"/>
        </w:rPr>
        <w:t>1</w:t>
      </w:r>
      <w:r w:rsidRPr="00FE0F6F">
        <w:rPr>
          <w:sz w:val="24"/>
          <w:szCs w:val="30"/>
        </w:rPr>
        <w:t>）时间精度，无论在国内还是国外，在工业生产中对</w:t>
      </w:r>
      <w:r w:rsidR="00E36862">
        <w:rPr>
          <w:rFonts w:hint="eastAsia"/>
          <w:sz w:val="24"/>
          <w:szCs w:val="30"/>
        </w:rPr>
        <w:t>菌株</w:t>
      </w:r>
      <w:r w:rsidR="00E36862">
        <w:rPr>
          <w:sz w:val="24"/>
          <w:szCs w:val="30"/>
        </w:rPr>
        <w:t>质量</w:t>
      </w:r>
      <w:r w:rsidRPr="00FE0F6F">
        <w:rPr>
          <w:sz w:val="24"/>
          <w:szCs w:val="30"/>
        </w:rPr>
        <w:t>的实时在线测量仪器</w:t>
      </w:r>
      <w:r w:rsidR="00E36862">
        <w:rPr>
          <w:sz w:val="24"/>
          <w:szCs w:val="30"/>
        </w:rPr>
        <w:t>仍处于空白</w:t>
      </w:r>
      <w:r w:rsidRPr="00FE0F6F">
        <w:rPr>
          <w:sz w:val="24"/>
          <w:szCs w:val="30"/>
        </w:rPr>
        <w:t>，只能通过离线的方式对各种表型分别进行测定，正是由于样品处理和测量时间带来的滞后性，使得微生物发酵过程的控制比一般的工业生产难度更大；</w:t>
      </w:r>
      <w:r w:rsidRPr="00FE0F6F">
        <w:rPr>
          <w:sz w:val="24"/>
          <w:szCs w:val="30"/>
        </w:rPr>
        <w:t>2</w:t>
      </w:r>
      <w:r w:rsidRPr="00FE0F6F">
        <w:rPr>
          <w:sz w:val="24"/>
          <w:szCs w:val="30"/>
        </w:rPr>
        <w:t>）表型精度，由于缺乏综合表型表征手段，使得人们只能通过有限的表型检测去尽量刻画细胞状态，但</w:t>
      </w:r>
      <w:r w:rsidRPr="00FE0F6F">
        <w:rPr>
          <w:sz w:val="24"/>
          <w:szCs w:val="30"/>
        </w:rPr>
        <w:lastRenderedPageBreak/>
        <w:t>这样仅能反映细胞的部分状态，而大量没有被检测的表型可能对发酵过程的影响更加深远；</w:t>
      </w:r>
      <w:r w:rsidRPr="00FE0F6F">
        <w:rPr>
          <w:sz w:val="24"/>
          <w:szCs w:val="30"/>
        </w:rPr>
        <w:t>3</w:t>
      </w:r>
      <w:r w:rsidRPr="00FE0F6F">
        <w:rPr>
          <w:sz w:val="24"/>
          <w:szCs w:val="30"/>
        </w:rPr>
        <w:t>）测量精度，目前对现有表型的测量均基于群体水平大量细胞的平均性状，近年来随着单细胞分析技术的发展，科学家们发现群体水平并不能反映细胞在特定环境下的真实状态，在一个细胞群体中，即使是基因组信息完全相同的不同单细胞之间，其表型也具有极其显著的差异。</w:t>
      </w:r>
      <w:r w:rsidR="00A77288" w:rsidRPr="00FE0F6F">
        <w:rPr>
          <w:sz w:val="24"/>
          <w:szCs w:val="30"/>
        </w:rPr>
        <w:t>在高压、高浓、高密度、且营养物质不均</w:t>
      </w:r>
      <w:proofErr w:type="gramStart"/>
      <w:r w:rsidR="00A77288" w:rsidRPr="00FE0F6F">
        <w:rPr>
          <w:sz w:val="24"/>
          <w:szCs w:val="30"/>
        </w:rPr>
        <w:t>一</w:t>
      </w:r>
      <w:proofErr w:type="gramEnd"/>
      <w:r w:rsidR="00A77288" w:rsidRPr="00FE0F6F">
        <w:rPr>
          <w:sz w:val="24"/>
          <w:szCs w:val="30"/>
        </w:rPr>
        <w:t>的发酵过程中，细胞之间的差异被累积并级联放大，这种异质性现象比自然状态下更加明显，且在罐体的不同空间表现不同，从而最终导致了发酵结果的迥异，而群体水平的平均性状掩盖了这种差异的发生</w:t>
      </w:r>
      <w:r w:rsidR="00A77288" w:rsidRPr="00FE0F6F">
        <w:rPr>
          <w:sz w:val="24"/>
          <w:szCs w:val="30"/>
        </w:rPr>
        <w:t>/</w:t>
      </w:r>
      <w:r w:rsidR="00A77288" w:rsidRPr="00FE0F6F">
        <w:rPr>
          <w:sz w:val="24"/>
          <w:szCs w:val="30"/>
        </w:rPr>
        <w:t>发展和变化规律，无法反映细胞的真实状态。因此，只有在</w:t>
      </w:r>
      <w:r w:rsidR="00A77288">
        <w:rPr>
          <w:sz w:val="24"/>
          <w:szCs w:val="30"/>
        </w:rPr>
        <w:t>单细胞水平</w:t>
      </w:r>
      <w:r w:rsidR="00A77288" w:rsidRPr="00FE0F6F">
        <w:rPr>
          <w:sz w:val="24"/>
          <w:szCs w:val="30"/>
        </w:rPr>
        <w:t>基于综合表型判别的在线式检测平台，才能克服现有方法的滞后性、检测表型的有限性，以及因自身</w:t>
      </w:r>
      <w:r w:rsidR="00A77288" w:rsidRPr="00FE0F6F">
        <w:rPr>
          <w:sz w:val="24"/>
          <w:szCs w:val="30"/>
        </w:rPr>
        <w:t>/</w:t>
      </w:r>
      <w:r w:rsidR="00A77288" w:rsidRPr="00FE0F6F">
        <w:rPr>
          <w:sz w:val="24"/>
          <w:szCs w:val="30"/>
        </w:rPr>
        <w:t>环境因素造成的细胞异质性，从而真正实现发酵过程</w:t>
      </w:r>
      <w:r w:rsidR="00A77288">
        <w:rPr>
          <w:sz w:val="24"/>
          <w:szCs w:val="30"/>
        </w:rPr>
        <w:t>中菌株质量</w:t>
      </w:r>
      <w:r w:rsidR="00A77288" w:rsidRPr="00FE0F6F">
        <w:rPr>
          <w:sz w:val="24"/>
          <w:szCs w:val="30"/>
        </w:rPr>
        <w:t>的实时</w:t>
      </w:r>
      <w:r w:rsidR="00A77288" w:rsidRPr="00FE0F6F">
        <w:rPr>
          <w:sz w:val="24"/>
          <w:szCs w:val="30"/>
        </w:rPr>
        <w:t>/</w:t>
      </w:r>
      <w:r w:rsidR="00A77288" w:rsidRPr="00FE0F6F">
        <w:rPr>
          <w:sz w:val="24"/>
          <w:szCs w:val="30"/>
        </w:rPr>
        <w:t>精准监控。</w:t>
      </w:r>
    </w:p>
    <w:p w:rsidR="00694EE6" w:rsidRDefault="00694EE6" w:rsidP="007D46D6">
      <w:pPr>
        <w:spacing w:beforeLines="50" w:line="360" w:lineRule="auto"/>
        <w:rPr>
          <w:rFonts w:ascii="黑体" w:eastAsia="黑体" w:hAnsi="金山简标宋"/>
          <w:sz w:val="24"/>
        </w:rPr>
      </w:pPr>
      <w:r w:rsidRPr="001E391A">
        <w:rPr>
          <w:rFonts w:ascii="黑体" w:eastAsia="黑体" w:hAnsi="金山简标宋" w:hint="eastAsia"/>
          <w:sz w:val="24"/>
        </w:rPr>
        <w:t>三、标准制定原则</w:t>
      </w:r>
    </w:p>
    <w:p w:rsidR="00694EE6" w:rsidRDefault="00694EE6" w:rsidP="00694EE6">
      <w:pPr>
        <w:spacing w:line="520" w:lineRule="exact"/>
        <w:ind w:firstLine="480"/>
        <w:rPr>
          <w:rFonts w:ascii="宋体" w:hAnsi="宋体"/>
          <w:b/>
          <w:bCs/>
          <w:sz w:val="24"/>
          <w:szCs w:val="24"/>
        </w:rPr>
      </w:pPr>
      <w:r>
        <w:rPr>
          <w:rFonts w:ascii="宋体" w:hAnsi="宋体" w:hint="eastAsia"/>
          <w:b/>
          <w:bCs/>
          <w:sz w:val="24"/>
          <w:szCs w:val="24"/>
        </w:rPr>
        <w:t>（一）标准编制原则</w:t>
      </w:r>
    </w:p>
    <w:p w:rsidR="00EF3C92" w:rsidRPr="00703DBC" w:rsidRDefault="00073468" w:rsidP="001B2B8C">
      <w:pPr>
        <w:spacing w:line="520" w:lineRule="exact"/>
        <w:ind w:firstLineChars="200" w:firstLine="480"/>
        <w:rPr>
          <w:rFonts w:ascii="宋体" w:hAnsi="金山简标宋"/>
          <w:sz w:val="24"/>
        </w:rPr>
      </w:pPr>
      <w:r>
        <w:rPr>
          <w:rFonts w:ascii="宋体" w:hAnsi="金山简标宋" w:hint="eastAsia"/>
          <w:sz w:val="24"/>
        </w:rPr>
        <w:t>本标准</w:t>
      </w:r>
      <w:r w:rsidR="00EF3C92">
        <w:rPr>
          <w:rFonts w:ascii="宋体" w:hAnsi="金山简标宋" w:hint="eastAsia"/>
          <w:sz w:val="24"/>
        </w:rPr>
        <w:t>以现有国内外相关标准规范为基础，与现行国家标准和行业标准相衔接</w:t>
      </w:r>
      <w:r>
        <w:rPr>
          <w:rFonts w:ascii="宋体" w:hAnsi="金山简标宋" w:hint="eastAsia"/>
          <w:sz w:val="24"/>
        </w:rPr>
        <w:t>，主要对</w:t>
      </w:r>
      <w:r w:rsidR="00E90873" w:rsidRPr="00E90873">
        <w:rPr>
          <w:rFonts w:ascii="宋体" w:hAnsi="宋体" w:hint="eastAsia"/>
          <w:sz w:val="24"/>
          <w:szCs w:val="24"/>
        </w:rPr>
        <w:t>采用拉曼光谱评价工业微生物菌株质量的标准方法和流程</w:t>
      </w:r>
      <w:r>
        <w:rPr>
          <w:rFonts w:ascii="宋体" w:hAnsi="宋体" w:hint="eastAsia"/>
          <w:sz w:val="24"/>
          <w:szCs w:val="24"/>
        </w:rPr>
        <w:t>进行规范，</w:t>
      </w:r>
      <w:r w:rsidR="005F4C58">
        <w:rPr>
          <w:rFonts w:ascii="宋体" w:hAnsi="宋体" w:hint="eastAsia"/>
          <w:sz w:val="24"/>
          <w:szCs w:val="24"/>
        </w:rPr>
        <w:t>选择既利于光谱测量，又能满足分析要求的</w:t>
      </w:r>
      <w:r w:rsidR="00E90873">
        <w:rPr>
          <w:rFonts w:ascii="宋体" w:hAnsi="宋体" w:hint="eastAsia"/>
          <w:sz w:val="24"/>
          <w:szCs w:val="24"/>
        </w:rPr>
        <w:t>条件</w:t>
      </w:r>
      <w:r w:rsidR="005F4C58" w:rsidRPr="00703DBC">
        <w:rPr>
          <w:rFonts w:ascii="宋体" w:hAnsi="金山简标宋" w:hint="eastAsia"/>
          <w:sz w:val="24"/>
        </w:rPr>
        <w:t>指标</w:t>
      </w:r>
      <w:r w:rsidR="00703DBC" w:rsidRPr="00703DBC">
        <w:rPr>
          <w:rFonts w:ascii="宋体" w:hAnsi="金山简标宋" w:hint="eastAsia"/>
          <w:sz w:val="24"/>
        </w:rPr>
        <w:t>，使不同企业工业微生物菌株质量评价</w:t>
      </w:r>
      <w:r w:rsidR="00703DBC">
        <w:rPr>
          <w:rFonts w:ascii="宋体" w:hAnsi="金山简标宋" w:hint="eastAsia"/>
          <w:sz w:val="24"/>
        </w:rPr>
        <w:t>具有统一性</w:t>
      </w:r>
      <w:r w:rsidR="00EF3C92">
        <w:rPr>
          <w:rFonts w:ascii="宋体" w:hAnsi="金山简标宋" w:hint="eastAsia"/>
          <w:sz w:val="24"/>
        </w:rPr>
        <w:t>。</w:t>
      </w:r>
    </w:p>
    <w:p w:rsidR="00694EE6" w:rsidRDefault="00694EE6" w:rsidP="00694EE6">
      <w:pPr>
        <w:spacing w:line="520" w:lineRule="exact"/>
        <w:ind w:firstLine="480"/>
        <w:rPr>
          <w:rFonts w:ascii="宋体" w:hAnsi="宋体"/>
          <w:b/>
          <w:bCs/>
          <w:sz w:val="24"/>
          <w:szCs w:val="24"/>
        </w:rPr>
      </w:pPr>
      <w:r>
        <w:rPr>
          <w:rFonts w:ascii="宋体" w:hAnsi="宋体" w:hint="eastAsia"/>
          <w:b/>
          <w:bCs/>
          <w:sz w:val="24"/>
          <w:szCs w:val="24"/>
        </w:rPr>
        <w:t>（二）标准制订主要依据</w:t>
      </w:r>
    </w:p>
    <w:p w:rsidR="00694EE6" w:rsidRDefault="00694EE6" w:rsidP="00694EE6">
      <w:pPr>
        <w:spacing w:line="360" w:lineRule="auto"/>
        <w:ind w:firstLineChars="200" w:firstLine="480"/>
        <w:rPr>
          <w:rFonts w:ascii="宋体" w:hAnsi="宋体"/>
          <w:sz w:val="24"/>
          <w:szCs w:val="24"/>
        </w:rPr>
      </w:pPr>
      <w:r>
        <w:rPr>
          <w:rFonts w:ascii="宋体" w:hAnsi="宋体" w:hint="eastAsia"/>
          <w:sz w:val="24"/>
          <w:szCs w:val="24"/>
        </w:rPr>
        <w:t>1、标准编写遵循GB1.1-2009《标准化工作导则 第1部分：标准的结构和编写规则》的有关要求。</w:t>
      </w:r>
    </w:p>
    <w:p w:rsidR="00694EE6" w:rsidRDefault="00694EE6" w:rsidP="00694EE6">
      <w:pPr>
        <w:spacing w:line="360" w:lineRule="auto"/>
        <w:ind w:firstLineChars="200" w:firstLine="480"/>
        <w:rPr>
          <w:rFonts w:ascii="宋体" w:hAnsi="宋体"/>
          <w:sz w:val="24"/>
          <w:szCs w:val="24"/>
        </w:rPr>
      </w:pPr>
      <w:r>
        <w:rPr>
          <w:rFonts w:ascii="宋体" w:hAnsi="宋体" w:hint="eastAsia"/>
          <w:sz w:val="24"/>
          <w:szCs w:val="24"/>
        </w:rPr>
        <w:t>2、标准编写内容参考我国与农产品相关的法规、标准，包括</w:t>
      </w:r>
      <w:r w:rsidR="00DE7512">
        <w:rPr>
          <w:rFonts w:ascii="宋体" w:hAnsi="宋体" w:hint="eastAsia"/>
          <w:sz w:val="24"/>
          <w:szCs w:val="24"/>
        </w:rPr>
        <w:t>《</w:t>
      </w:r>
      <w:r w:rsidR="00DE7512" w:rsidRPr="00DE7512">
        <w:rPr>
          <w:rFonts w:ascii="宋体" w:hAnsi="宋体" w:hint="eastAsia"/>
          <w:sz w:val="24"/>
          <w:szCs w:val="24"/>
        </w:rPr>
        <w:t>中华人民共和国农产品质量安全法</w:t>
      </w:r>
      <w:r w:rsidR="00DE7512">
        <w:rPr>
          <w:rFonts w:ascii="宋体" w:hAnsi="宋体" w:hint="eastAsia"/>
          <w:sz w:val="24"/>
          <w:szCs w:val="24"/>
        </w:rPr>
        <w:t>》</w:t>
      </w:r>
      <w:r>
        <w:rPr>
          <w:rFonts w:ascii="宋体" w:hAnsi="宋体" w:hint="eastAsia"/>
          <w:sz w:val="24"/>
          <w:szCs w:val="24"/>
        </w:rPr>
        <w:t>等等。</w:t>
      </w:r>
    </w:p>
    <w:p w:rsidR="00694EE6" w:rsidRPr="00906AA6" w:rsidRDefault="00694EE6" w:rsidP="007D46D6">
      <w:pPr>
        <w:spacing w:beforeLines="50" w:line="360" w:lineRule="auto"/>
        <w:rPr>
          <w:rFonts w:ascii="黑体" w:eastAsia="黑体" w:hAnsi="金山简标宋"/>
          <w:sz w:val="24"/>
        </w:rPr>
      </w:pPr>
      <w:r w:rsidRPr="00CF3FD0">
        <w:rPr>
          <w:rFonts w:ascii="黑体" w:eastAsia="黑体" w:hAnsi="金山简标宋" w:hint="eastAsia"/>
          <w:sz w:val="24"/>
        </w:rPr>
        <w:t>四、标准主要技术内容</w:t>
      </w:r>
    </w:p>
    <w:p w:rsidR="005A7A6C" w:rsidRDefault="005E3043" w:rsidP="00E90873">
      <w:pPr>
        <w:spacing w:line="520" w:lineRule="exact"/>
        <w:ind w:firstLineChars="200" w:firstLine="480"/>
        <w:rPr>
          <w:rFonts w:ascii="宋体" w:hAnsi="宋体"/>
          <w:sz w:val="24"/>
          <w:szCs w:val="24"/>
        </w:rPr>
      </w:pPr>
      <w:r w:rsidRPr="005E3043">
        <w:rPr>
          <w:rFonts w:ascii="宋体" w:hAnsi="宋体" w:hint="eastAsia"/>
          <w:sz w:val="24"/>
          <w:szCs w:val="24"/>
        </w:rPr>
        <w:t>本标准规定了采用拉曼光谱评价工业微生物菌株质量的标准方法和流程。</w:t>
      </w:r>
    </w:p>
    <w:p w:rsidR="005A7A6C" w:rsidRDefault="00EF3C92" w:rsidP="00906AA6">
      <w:pPr>
        <w:spacing w:line="520" w:lineRule="exact"/>
        <w:rPr>
          <w:rFonts w:ascii="宋体" w:hAnsi="宋体"/>
          <w:sz w:val="24"/>
          <w:szCs w:val="24"/>
        </w:rPr>
      </w:pPr>
      <w:r>
        <w:rPr>
          <w:rFonts w:ascii="宋体" w:hAnsi="宋体"/>
          <w:noProof/>
          <w:sz w:val="24"/>
          <w:szCs w:val="24"/>
        </w:rPr>
        <w:drawing>
          <wp:anchor distT="0" distB="0" distL="114300" distR="114300" simplePos="0" relativeHeight="251659264" behindDoc="0" locked="0" layoutInCell="1" allowOverlap="1">
            <wp:simplePos x="0" y="0"/>
            <wp:positionH relativeFrom="column">
              <wp:posOffset>759460</wp:posOffset>
            </wp:positionH>
            <wp:positionV relativeFrom="paragraph">
              <wp:posOffset>42545</wp:posOffset>
            </wp:positionV>
            <wp:extent cx="4685665" cy="1895475"/>
            <wp:effectExtent l="0" t="0" r="63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5665" cy="1895475"/>
                    </a:xfrm>
                    <a:prstGeom prst="rect">
                      <a:avLst/>
                    </a:prstGeom>
                    <a:noFill/>
                  </pic:spPr>
                </pic:pic>
              </a:graphicData>
            </a:graphic>
          </wp:anchor>
        </w:drawing>
      </w:r>
    </w:p>
    <w:p w:rsidR="005A7A6C" w:rsidRDefault="005A7A6C" w:rsidP="00906AA6">
      <w:pPr>
        <w:spacing w:line="520" w:lineRule="exact"/>
        <w:rPr>
          <w:rFonts w:ascii="宋体" w:hAnsi="宋体"/>
          <w:sz w:val="24"/>
          <w:szCs w:val="24"/>
        </w:rPr>
      </w:pPr>
    </w:p>
    <w:p w:rsidR="005A7A6C" w:rsidRDefault="005A7A6C" w:rsidP="00906AA6">
      <w:pPr>
        <w:spacing w:line="520" w:lineRule="exact"/>
        <w:rPr>
          <w:rFonts w:ascii="宋体" w:hAnsi="宋体"/>
          <w:sz w:val="24"/>
          <w:szCs w:val="24"/>
        </w:rPr>
      </w:pPr>
    </w:p>
    <w:p w:rsidR="005A7A6C" w:rsidRDefault="005A7A6C" w:rsidP="00906AA6">
      <w:pPr>
        <w:spacing w:line="520" w:lineRule="exact"/>
        <w:rPr>
          <w:rFonts w:ascii="宋体" w:hAnsi="宋体"/>
          <w:sz w:val="24"/>
          <w:szCs w:val="24"/>
        </w:rPr>
      </w:pPr>
    </w:p>
    <w:p w:rsidR="005A7A6C" w:rsidRDefault="005A7A6C" w:rsidP="00906AA6">
      <w:pPr>
        <w:spacing w:line="520" w:lineRule="exact"/>
        <w:rPr>
          <w:rFonts w:ascii="宋体" w:hAnsi="宋体"/>
          <w:sz w:val="24"/>
          <w:szCs w:val="24"/>
        </w:rPr>
      </w:pPr>
    </w:p>
    <w:p w:rsidR="00EF3C92" w:rsidRDefault="00EF3C92" w:rsidP="00906AA6">
      <w:pPr>
        <w:spacing w:line="520" w:lineRule="exact"/>
        <w:rPr>
          <w:rFonts w:ascii="宋体" w:hAnsi="宋体"/>
          <w:sz w:val="24"/>
          <w:szCs w:val="24"/>
        </w:rPr>
      </w:pPr>
    </w:p>
    <w:p w:rsidR="005A7A6C" w:rsidRPr="005A7A6C" w:rsidRDefault="005A7A6C" w:rsidP="005A7A6C">
      <w:pPr>
        <w:pStyle w:val="a8"/>
        <w:spacing w:line="360" w:lineRule="auto"/>
        <w:ind w:left="420" w:firstLineChars="0" w:firstLine="0"/>
        <w:jc w:val="center"/>
        <w:rPr>
          <w:rFonts w:ascii="Times New Roman" w:eastAsia="黑体"/>
          <w:noProof w:val="0"/>
          <w:kern w:val="44"/>
          <w:szCs w:val="22"/>
        </w:rPr>
      </w:pPr>
      <w:r w:rsidRPr="000248A6">
        <w:rPr>
          <w:rFonts w:hAnsi="宋体" w:cs="宋体" w:hint="eastAsia"/>
          <w:noProof w:val="0"/>
          <w:kern w:val="44"/>
          <w:szCs w:val="22"/>
        </w:rPr>
        <w:t>图</w:t>
      </w:r>
      <w:r w:rsidRPr="000248A6">
        <w:rPr>
          <w:rFonts w:ascii="Times New Roman" w:eastAsia="黑体"/>
          <w:noProof w:val="0"/>
          <w:kern w:val="44"/>
          <w:szCs w:val="22"/>
        </w:rPr>
        <w:t>1</w:t>
      </w:r>
      <w:r w:rsidRPr="000248A6">
        <w:rPr>
          <w:rFonts w:ascii="Times New Roman" w:eastAsia="黑体"/>
          <w:noProof w:val="0"/>
          <w:kern w:val="44"/>
          <w:szCs w:val="22"/>
        </w:rPr>
        <w:t>、</w:t>
      </w:r>
      <w:r w:rsidR="00E83DC5">
        <w:rPr>
          <w:rFonts w:hAnsi="宋体" w:cs="宋体" w:hint="eastAsia"/>
          <w:noProof w:val="0"/>
          <w:kern w:val="44"/>
          <w:szCs w:val="22"/>
        </w:rPr>
        <w:t>工业菌株质量</w:t>
      </w:r>
      <w:r w:rsidRPr="000248A6">
        <w:rPr>
          <w:rFonts w:hAnsi="宋体" w:cs="宋体" w:hint="eastAsia"/>
          <w:noProof w:val="0"/>
          <w:kern w:val="44"/>
          <w:szCs w:val="22"/>
        </w:rPr>
        <w:t>评价流程</w:t>
      </w:r>
    </w:p>
    <w:p w:rsidR="007D46D6" w:rsidRPr="00DE7512" w:rsidRDefault="007D46D6" w:rsidP="007D46D6">
      <w:pPr>
        <w:spacing w:line="360" w:lineRule="auto"/>
        <w:rPr>
          <w:rFonts w:ascii="宋体" w:hAnsi="金山简标宋"/>
          <w:sz w:val="24"/>
        </w:rPr>
      </w:pPr>
      <w:r>
        <w:rPr>
          <w:rFonts w:ascii="宋体" w:hAnsi="金山简标宋" w:hint="eastAsia"/>
          <w:sz w:val="24"/>
        </w:rPr>
        <w:t>拉曼光谱分析</w:t>
      </w:r>
      <w:r w:rsidRPr="00DE7512">
        <w:rPr>
          <w:rFonts w:ascii="宋体" w:hAnsi="金山简标宋" w:hint="eastAsia"/>
          <w:sz w:val="24"/>
        </w:rPr>
        <w:t>主要参数的选择</w:t>
      </w:r>
      <w:r>
        <w:rPr>
          <w:rFonts w:ascii="宋体" w:hAnsi="金山简标宋" w:hint="eastAsia"/>
          <w:sz w:val="24"/>
        </w:rPr>
        <w:t>：</w:t>
      </w:r>
    </w:p>
    <w:p w:rsidR="007D46D6" w:rsidRPr="007D46D6" w:rsidRDefault="007D46D6" w:rsidP="007D46D6">
      <w:pPr>
        <w:spacing w:line="360" w:lineRule="auto"/>
        <w:ind w:firstLineChars="200" w:firstLine="480"/>
        <w:rPr>
          <w:rFonts w:ascii="宋体" w:hAnsi="金山简标宋"/>
          <w:sz w:val="24"/>
        </w:rPr>
      </w:pPr>
      <w:r w:rsidRPr="007D46D6">
        <w:rPr>
          <w:rFonts w:ascii="宋体" w:hAnsi="金山简标宋" w:hint="eastAsia"/>
          <w:sz w:val="24"/>
        </w:rPr>
        <w:t>激光波长：拉曼光谱是一种化合物的指纹图谱，拉</w:t>
      </w:r>
      <w:proofErr w:type="gramStart"/>
      <w:r w:rsidRPr="007D46D6">
        <w:rPr>
          <w:rFonts w:ascii="宋体" w:hAnsi="金山简标宋" w:hint="eastAsia"/>
          <w:sz w:val="24"/>
        </w:rPr>
        <w:t>曼</w:t>
      </w:r>
      <w:proofErr w:type="gramEnd"/>
      <w:r w:rsidRPr="007D46D6">
        <w:rPr>
          <w:rFonts w:ascii="宋体" w:hAnsi="金山简标宋" w:hint="eastAsia"/>
          <w:sz w:val="24"/>
        </w:rPr>
        <w:t>位移与激光波长的选择无关，因此可以使用不破坏细胞的任何激光波长，市面上常见的激光器按照波长分为紫外区、可见区和近红外区，推荐使用可见区激光，如532nm激光，具有细胞破坏</w:t>
      </w:r>
      <w:r w:rsidRPr="007D46D6">
        <w:rPr>
          <w:rFonts w:ascii="宋体" w:hAnsi="金山简标宋"/>
          <w:sz w:val="24"/>
        </w:rPr>
        <w:t>性小</w:t>
      </w:r>
      <w:r w:rsidRPr="007D46D6">
        <w:rPr>
          <w:rFonts w:ascii="宋体" w:hAnsi="金山简标宋" w:hint="eastAsia"/>
          <w:sz w:val="24"/>
        </w:rPr>
        <w:t>（与紫外区激光比较），光谱采集时间短（与</w:t>
      </w:r>
      <w:proofErr w:type="gramStart"/>
      <w:r w:rsidRPr="007D46D6">
        <w:rPr>
          <w:rFonts w:ascii="宋体" w:hAnsi="金山简标宋" w:hint="eastAsia"/>
          <w:sz w:val="24"/>
        </w:rPr>
        <w:t>红外区</w:t>
      </w:r>
      <w:proofErr w:type="gramEnd"/>
      <w:r w:rsidRPr="007D46D6">
        <w:rPr>
          <w:rFonts w:ascii="宋体" w:hAnsi="金山简标宋" w:hint="eastAsia"/>
          <w:sz w:val="24"/>
        </w:rPr>
        <w:t>激光比较）等优势。</w:t>
      </w:r>
    </w:p>
    <w:p w:rsidR="007D46D6" w:rsidRPr="007D46D6" w:rsidRDefault="007D46D6" w:rsidP="007D46D6">
      <w:pPr>
        <w:spacing w:line="360" w:lineRule="auto"/>
        <w:ind w:firstLineChars="200" w:firstLine="480"/>
        <w:rPr>
          <w:rFonts w:ascii="宋体" w:hAnsi="金山简标宋"/>
          <w:sz w:val="24"/>
        </w:rPr>
      </w:pPr>
      <w:r w:rsidRPr="007D46D6">
        <w:rPr>
          <w:rFonts w:ascii="宋体" w:hAnsi="金山简标宋" w:hint="eastAsia"/>
          <w:sz w:val="24"/>
        </w:rPr>
        <w:t xml:space="preserve">激光功率：激光功率过高会烧毁细胞，得不到细胞的拉曼光谱信号，激光功率过低会降低光谱质量（相同采集时间），具体功率按照实际样品测试结果进行调整，选择不烧毁细胞的最大功率，以532nm激光为例，到达样品上的功率为5-10mw为宜， </w:t>
      </w:r>
    </w:p>
    <w:p w:rsidR="007D46D6" w:rsidRPr="007D46D6" w:rsidRDefault="007D46D6" w:rsidP="007D46D6">
      <w:pPr>
        <w:spacing w:line="360" w:lineRule="auto"/>
        <w:ind w:firstLineChars="200" w:firstLine="480"/>
        <w:rPr>
          <w:rFonts w:ascii="宋体" w:hAnsi="金山简标宋"/>
          <w:sz w:val="24"/>
        </w:rPr>
      </w:pPr>
      <w:r w:rsidRPr="007D46D6">
        <w:rPr>
          <w:rFonts w:ascii="宋体" w:hAnsi="金山简标宋" w:hint="eastAsia"/>
          <w:sz w:val="24"/>
        </w:rPr>
        <w:t>光谱采集时间：采集时间过长会降低检测效率，采集时间过短会降低光谱质量，对后续的数据分析造成影响，具体采集时间，保证实际样品光谱信号信噪比大于3，以532nm激光，到达样品功率10mw为例，采集时间5-10s为宜。</w:t>
      </w:r>
    </w:p>
    <w:p w:rsidR="007D46D6" w:rsidRPr="007D46D6" w:rsidRDefault="007D46D6" w:rsidP="007D46D6">
      <w:pPr>
        <w:spacing w:line="360" w:lineRule="auto"/>
        <w:ind w:firstLineChars="200" w:firstLine="480"/>
        <w:rPr>
          <w:rFonts w:ascii="宋体" w:hAnsi="金山简标宋"/>
          <w:sz w:val="24"/>
        </w:rPr>
      </w:pPr>
      <w:r w:rsidRPr="007D46D6">
        <w:rPr>
          <w:rFonts w:ascii="宋体" w:hAnsi="金山简标宋" w:hint="eastAsia"/>
          <w:sz w:val="24"/>
        </w:rPr>
        <w:t>光栅：单细胞拉曼光谱由指纹区（400-1850 cm</w:t>
      </w:r>
      <w:r w:rsidRPr="007D46D6">
        <w:rPr>
          <w:rFonts w:ascii="宋体" w:hAnsi="金山简标宋" w:hint="eastAsia"/>
          <w:sz w:val="24"/>
          <w:vertAlign w:val="superscript"/>
        </w:rPr>
        <w:t>-1</w:t>
      </w:r>
      <w:r w:rsidRPr="007D46D6">
        <w:rPr>
          <w:rFonts w:ascii="宋体" w:hAnsi="金山简标宋" w:hint="eastAsia"/>
          <w:sz w:val="24"/>
        </w:rPr>
        <w:t>）、静默区(1850-2850 cm</w:t>
      </w:r>
      <w:r w:rsidRPr="007D46D6">
        <w:rPr>
          <w:rFonts w:ascii="宋体" w:hAnsi="金山简标宋" w:hint="eastAsia"/>
          <w:sz w:val="24"/>
          <w:vertAlign w:val="superscript"/>
        </w:rPr>
        <w:t>-1</w:t>
      </w:r>
      <w:r w:rsidRPr="007D46D6">
        <w:rPr>
          <w:rFonts w:ascii="宋体" w:hAnsi="金山简标宋" w:hint="eastAsia"/>
          <w:sz w:val="24"/>
        </w:rPr>
        <w:t>)和C-H峰区(2850-3100cm</w:t>
      </w:r>
      <w:r w:rsidRPr="007D46D6">
        <w:rPr>
          <w:rFonts w:ascii="宋体" w:hAnsi="金山简标宋" w:hint="eastAsia"/>
          <w:sz w:val="24"/>
          <w:vertAlign w:val="superscript"/>
        </w:rPr>
        <w:t>-1</w:t>
      </w:r>
      <w:r w:rsidRPr="007D46D6">
        <w:rPr>
          <w:rFonts w:ascii="宋体" w:hAnsi="金山简标宋" w:hint="eastAsia"/>
          <w:sz w:val="24"/>
        </w:rPr>
        <w:t>)组成，选择光栅时，为避免</w:t>
      </w:r>
      <w:proofErr w:type="gramStart"/>
      <w:r w:rsidRPr="007D46D6">
        <w:rPr>
          <w:rFonts w:ascii="宋体" w:hAnsi="金山简标宋" w:hint="eastAsia"/>
          <w:sz w:val="24"/>
        </w:rPr>
        <w:t>接谱造成</w:t>
      </w:r>
      <w:proofErr w:type="gramEnd"/>
      <w:r w:rsidRPr="007D46D6">
        <w:rPr>
          <w:rFonts w:ascii="宋体" w:hAnsi="金山简标宋" w:hint="eastAsia"/>
          <w:sz w:val="24"/>
        </w:rPr>
        <w:t>的基线不平等问题，以一次采集即可获取指纹区（如600刻线光栅）或指纹区加C-H峰区（如300刻线光栅）光谱所需要的光栅刻痕进行选择。</w:t>
      </w:r>
    </w:p>
    <w:p w:rsidR="007D46D6" w:rsidRPr="007D46D6" w:rsidRDefault="007D46D6" w:rsidP="007D46D6">
      <w:pPr>
        <w:spacing w:line="360" w:lineRule="auto"/>
        <w:ind w:firstLineChars="200" w:firstLine="480"/>
        <w:rPr>
          <w:rFonts w:ascii="宋体" w:hAnsi="金山简标宋"/>
          <w:sz w:val="24"/>
        </w:rPr>
      </w:pPr>
      <w:r w:rsidRPr="007D46D6">
        <w:rPr>
          <w:rFonts w:ascii="宋体" w:hAnsi="金山简标宋" w:hint="eastAsia"/>
          <w:sz w:val="24"/>
        </w:rPr>
        <w:t>细胞数：采集过少的细胞光谱会增大分析误差，采集过多的细胞光谱会降低检测效率，以细胞数与组内距离SD的饱和曲线为依据，每个平行样本至少随机选取20个细胞进行采集。</w:t>
      </w:r>
    </w:p>
    <w:p w:rsidR="007D46D6" w:rsidRPr="007D46D6" w:rsidRDefault="007D46D6" w:rsidP="007D46D6">
      <w:pPr>
        <w:spacing w:line="360" w:lineRule="auto"/>
        <w:ind w:firstLineChars="200" w:firstLine="480"/>
        <w:rPr>
          <w:rFonts w:ascii="宋体" w:hAnsi="金山简标宋"/>
          <w:sz w:val="24"/>
        </w:rPr>
      </w:pPr>
      <w:r w:rsidRPr="007D46D6">
        <w:rPr>
          <w:rFonts w:ascii="宋体" w:hAnsi="金山简标宋" w:hint="eastAsia"/>
          <w:sz w:val="24"/>
        </w:rPr>
        <w:t>数据预处理：为减少对后续数据分析造成的误差，需要对数据进行预处理，包括减背景、基线校正和基于面积的归一化处理等步骤。</w:t>
      </w:r>
    </w:p>
    <w:p w:rsidR="007D46D6" w:rsidRPr="007D46D6" w:rsidRDefault="007D46D6" w:rsidP="007D46D6">
      <w:pPr>
        <w:spacing w:line="360" w:lineRule="auto"/>
        <w:ind w:firstLineChars="200" w:firstLine="480"/>
        <w:rPr>
          <w:rFonts w:ascii="宋体" w:hAnsi="金山简标宋"/>
          <w:sz w:val="24"/>
        </w:rPr>
      </w:pPr>
      <w:r w:rsidRPr="007D46D6">
        <w:rPr>
          <w:rFonts w:ascii="宋体" w:hAnsi="宋体" w:hint="eastAsia"/>
          <w:sz w:val="24"/>
          <w:szCs w:val="24"/>
        </w:rPr>
        <w:t>相似性分析：通过比较组内差异以及与对照组的组间差异，评价样本间表型的相似程度，以ANOSIM算法为例，R值越小越相似。</w:t>
      </w:r>
    </w:p>
    <w:p w:rsidR="00694EE6" w:rsidRDefault="00694EE6" w:rsidP="007D46D6">
      <w:pPr>
        <w:spacing w:beforeLines="50" w:line="360" w:lineRule="auto"/>
        <w:rPr>
          <w:rFonts w:ascii="黑体" w:eastAsia="黑体" w:hAnsi="金山简标宋"/>
          <w:b/>
          <w:sz w:val="24"/>
        </w:rPr>
      </w:pPr>
      <w:r>
        <w:rPr>
          <w:rFonts w:ascii="黑体" w:eastAsia="黑体" w:hAnsi="金山简标宋" w:hint="eastAsia"/>
          <w:b/>
          <w:sz w:val="24"/>
        </w:rPr>
        <w:t>五、主要工作过程</w:t>
      </w:r>
    </w:p>
    <w:p w:rsidR="00694EE6" w:rsidRDefault="00694EE6" w:rsidP="00694EE6">
      <w:pPr>
        <w:spacing w:line="360" w:lineRule="auto"/>
        <w:ind w:firstLineChars="200" w:firstLine="480"/>
        <w:rPr>
          <w:rFonts w:ascii="宋体" w:hAnsi="金山简标宋"/>
          <w:sz w:val="24"/>
        </w:rPr>
      </w:pPr>
      <w:r>
        <w:rPr>
          <w:rFonts w:ascii="宋体" w:hAnsi="金山简标宋" w:hint="eastAsia"/>
          <w:sz w:val="24"/>
        </w:rPr>
        <w:t>1、组成标准起草小组</w:t>
      </w:r>
    </w:p>
    <w:p w:rsidR="00694EE6" w:rsidRDefault="00694EE6" w:rsidP="00694EE6">
      <w:pPr>
        <w:spacing w:line="360" w:lineRule="auto"/>
        <w:ind w:firstLine="492"/>
        <w:rPr>
          <w:rFonts w:ascii="宋体" w:hAnsi="宋体"/>
          <w:sz w:val="24"/>
        </w:rPr>
      </w:pPr>
      <w:r>
        <w:rPr>
          <w:rFonts w:ascii="宋体" w:hAnsi="宋体" w:hint="eastAsia"/>
          <w:sz w:val="24"/>
        </w:rPr>
        <w:t>标准制定任务下达后，2018年6月，组成了标准起草工作组，明确了任务要求，</w:t>
      </w:r>
      <w:r>
        <w:rPr>
          <w:rFonts w:ascii="宋体" w:hAnsi="宋体" w:hint="eastAsia"/>
          <w:bCs/>
          <w:sz w:val="24"/>
        </w:rPr>
        <w:t>安排了工作进度，</w:t>
      </w:r>
      <w:r>
        <w:rPr>
          <w:rFonts w:ascii="宋体" w:hAnsi="宋体" w:hint="eastAsia"/>
          <w:sz w:val="24"/>
        </w:rPr>
        <w:t>成立了标准起草工作小组，会议研究讨论了</w:t>
      </w:r>
      <w:r w:rsidR="00616DDF">
        <w:rPr>
          <w:rFonts w:ascii="宋体" w:hAnsi="宋体" w:hint="eastAsia"/>
          <w:sz w:val="24"/>
        </w:rPr>
        <w:t>工作小组的工作目标</w:t>
      </w:r>
      <w:r w:rsidR="0073456A">
        <w:rPr>
          <w:rFonts w:ascii="宋体" w:hAnsi="宋体" w:hint="eastAsia"/>
          <w:sz w:val="24"/>
        </w:rPr>
        <w:t>、任务分解、可量化的考核指标，以及通过召开调研会、行业需求征集会、专家论证会和行业用户推广</w:t>
      </w:r>
      <w:r w:rsidR="0073456A">
        <w:rPr>
          <w:rFonts w:ascii="宋体" w:hAnsi="宋体" w:hint="eastAsia"/>
          <w:sz w:val="24"/>
        </w:rPr>
        <w:lastRenderedPageBreak/>
        <w:t>会等，</w:t>
      </w:r>
      <w:r w:rsidR="00DF49ED">
        <w:rPr>
          <w:rFonts w:ascii="宋体" w:hAnsi="宋体" w:hint="eastAsia"/>
          <w:sz w:val="24"/>
        </w:rPr>
        <w:t>旨在</w:t>
      </w:r>
      <w:r w:rsidR="0073456A">
        <w:rPr>
          <w:rFonts w:ascii="宋体" w:hAnsi="宋体" w:hint="eastAsia"/>
          <w:sz w:val="24"/>
        </w:rPr>
        <w:t>制定服务于</w:t>
      </w:r>
      <w:r w:rsidR="00DF49ED">
        <w:rPr>
          <w:rFonts w:ascii="宋体" w:hAnsi="宋体" w:hint="eastAsia"/>
          <w:sz w:val="24"/>
        </w:rPr>
        <w:t>发酵</w:t>
      </w:r>
      <w:r w:rsidR="0073456A">
        <w:rPr>
          <w:rFonts w:ascii="宋体" w:hAnsi="宋体" w:hint="eastAsia"/>
          <w:sz w:val="24"/>
        </w:rPr>
        <w:t>行业发展，且可以有效推行的国家标准。</w:t>
      </w:r>
    </w:p>
    <w:p w:rsidR="00694EE6" w:rsidRDefault="00694EE6" w:rsidP="00694EE6">
      <w:pPr>
        <w:spacing w:line="360" w:lineRule="auto"/>
        <w:ind w:firstLine="492"/>
        <w:rPr>
          <w:rFonts w:ascii="宋体" w:hAnsi="宋体"/>
          <w:sz w:val="24"/>
        </w:rPr>
      </w:pPr>
      <w:r>
        <w:rPr>
          <w:rFonts w:ascii="宋体" w:hAnsi="宋体" w:hint="eastAsia"/>
          <w:sz w:val="24"/>
        </w:rPr>
        <w:t>2、开展相关调研情况</w:t>
      </w:r>
    </w:p>
    <w:p w:rsidR="00694EE6" w:rsidRPr="00F06CEA" w:rsidRDefault="00694EE6" w:rsidP="00694EE6">
      <w:pPr>
        <w:spacing w:line="360" w:lineRule="auto"/>
        <w:ind w:firstLine="492"/>
        <w:rPr>
          <w:rFonts w:ascii="宋体" w:hAnsi="宋体"/>
          <w:sz w:val="24"/>
        </w:rPr>
      </w:pPr>
      <w:r>
        <w:rPr>
          <w:rFonts w:ascii="宋体" w:hAnsi="宋体" w:hint="eastAsia"/>
          <w:sz w:val="24"/>
        </w:rPr>
        <w:t>为了更好地</w:t>
      </w:r>
      <w:r w:rsidR="00616DDF">
        <w:rPr>
          <w:rFonts w:ascii="宋体" w:hAnsi="宋体" w:hint="eastAsia"/>
          <w:sz w:val="24"/>
        </w:rPr>
        <w:t>制定</w:t>
      </w:r>
      <w:r w:rsidR="00616DDF">
        <w:rPr>
          <w:rFonts w:ascii="宋体" w:hAnsi="宋体"/>
          <w:sz w:val="24"/>
        </w:rPr>
        <w:t>标准</w:t>
      </w:r>
      <w:r w:rsidR="00616DDF">
        <w:rPr>
          <w:rFonts w:ascii="宋体" w:hAnsi="宋体" w:hint="eastAsia"/>
          <w:sz w:val="24"/>
        </w:rPr>
        <w:t>，</w:t>
      </w:r>
      <w:r w:rsidR="00616DDF">
        <w:rPr>
          <w:rFonts w:ascii="宋体" w:hAnsi="宋体"/>
          <w:sz w:val="24"/>
        </w:rPr>
        <w:t>进行了</w:t>
      </w:r>
      <w:r w:rsidR="0073456A">
        <w:rPr>
          <w:rFonts w:ascii="宋体" w:hAnsi="宋体"/>
          <w:sz w:val="24"/>
        </w:rPr>
        <w:t>方法</w:t>
      </w:r>
      <w:r w:rsidR="00616DDF">
        <w:rPr>
          <w:rFonts w:ascii="宋体" w:hAnsi="宋体"/>
          <w:sz w:val="24"/>
        </w:rPr>
        <w:t>调研</w:t>
      </w:r>
      <w:r w:rsidR="0073456A">
        <w:rPr>
          <w:rFonts w:ascii="宋体" w:hAnsi="宋体" w:hint="eastAsia"/>
          <w:sz w:val="24"/>
        </w:rPr>
        <w:t>、</w:t>
      </w:r>
      <w:r w:rsidR="0073456A">
        <w:rPr>
          <w:rFonts w:ascii="宋体" w:hAnsi="宋体"/>
          <w:sz w:val="24"/>
        </w:rPr>
        <w:t>可行性</w:t>
      </w:r>
      <w:r w:rsidR="00616DDF">
        <w:rPr>
          <w:rFonts w:ascii="宋体" w:hAnsi="宋体"/>
          <w:sz w:val="24"/>
        </w:rPr>
        <w:t>调研</w:t>
      </w:r>
      <w:r w:rsidR="0073456A">
        <w:rPr>
          <w:rFonts w:ascii="宋体" w:hAnsi="宋体" w:hint="eastAsia"/>
          <w:sz w:val="24"/>
        </w:rPr>
        <w:t>，</w:t>
      </w:r>
      <w:r w:rsidR="0073456A">
        <w:rPr>
          <w:rFonts w:ascii="宋体" w:hAnsi="宋体"/>
          <w:sz w:val="24"/>
        </w:rPr>
        <w:t>以及用户需求</w:t>
      </w:r>
      <w:r w:rsidR="00FD34F8">
        <w:rPr>
          <w:rFonts w:ascii="宋体" w:hAnsi="宋体"/>
          <w:sz w:val="24"/>
        </w:rPr>
        <w:t>调研等活动</w:t>
      </w:r>
      <w:r w:rsidR="00616DDF">
        <w:rPr>
          <w:rFonts w:ascii="宋体" w:hAnsi="宋体" w:hint="eastAsia"/>
          <w:sz w:val="24"/>
        </w:rPr>
        <w:t>，</w:t>
      </w:r>
      <w:r w:rsidR="00616DDF">
        <w:rPr>
          <w:rFonts w:ascii="宋体" w:hAnsi="宋体"/>
          <w:sz w:val="24"/>
        </w:rPr>
        <w:t>从</w:t>
      </w:r>
      <w:r w:rsidR="00FD34F8">
        <w:rPr>
          <w:rFonts w:ascii="宋体" w:hAnsi="宋体"/>
          <w:sz w:val="24"/>
        </w:rPr>
        <w:t>行业需求层面</w:t>
      </w:r>
      <w:r w:rsidR="00FD34F8">
        <w:rPr>
          <w:rFonts w:ascii="宋体" w:hAnsi="宋体" w:hint="eastAsia"/>
          <w:sz w:val="24"/>
        </w:rPr>
        <w:t>、</w:t>
      </w:r>
      <w:r w:rsidR="0073456A">
        <w:rPr>
          <w:rFonts w:ascii="宋体" w:hAnsi="宋体"/>
          <w:sz w:val="24"/>
        </w:rPr>
        <w:t>科学理论层面</w:t>
      </w:r>
      <w:r w:rsidR="0073456A">
        <w:rPr>
          <w:rFonts w:ascii="宋体" w:hAnsi="宋体" w:hint="eastAsia"/>
          <w:sz w:val="24"/>
        </w:rPr>
        <w:t>、</w:t>
      </w:r>
      <w:r w:rsidR="00616DDF">
        <w:rPr>
          <w:rFonts w:ascii="宋体" w:hAnsi="宋体"/>
          <w:sz w:val="24"/>
        </w:rPr>
        <w:t>方法学角度</w:t>
      </w:r>
      <w:r w:rsidR="0073456A">
        <w:rPr>
          <w:rFonts w:ascii="宋体" w:hAnsi="宋体" w:hint="eastAsia"/>
          <w:sz w:val="24"/>
        </w:rPr>
        <w:t>，</w:t>
      </w:r>
      <w:r w:rsidR="0073456A">
        <w:rPr>
          <w:rFonts w:ascii="宋体" w:hAnsi="宋体"/>
          <w:sz w:val="24"/>
        </w:rPr>
        <w:t>以及实际可操作性等方面</w:t>
      </w:r>
      <w:r w:rsidR="0073456A">
        <w:rPr>
          <w:rFonts w:ascii="宋体" w:hAnsi="宋体" w:hint="eastAsia"/>
          <w:sz w:val="24"/>
        </w:rPr>
        <w:t>，</w:t>
      </w:r>
      <w:r w:rsidR="0073456A">
        <w:rPr>
          <w:rFonts w:ascii="宋体" w:hAnsi="宋体"/>
          <w:sz w:val="24"/>
        </w:rPr>
        <w:t>对该标准</w:t>
      </w:r>
      <w:r w:rsidR="00616DDF">
        <w:rPr>
          <w:rFonts w:ascii="宋体" w:hAnsi="宋体"/>
          <w:sz w:val="24"/>
        </w:rPr>
        <w:t>进行</w:t>
      </w:r>
      <w:r w:rsidR="00FD34F8">
        <w:rPr>
          <w:rFonts w:ascii="宋体" w:hAnsi="宋体"/>
          <w:sz w:val="24"/>
        </w:rPr>
        <w:t>了</w:t>
      </w:r>
      <w:r w:rsidR="0073456A">
        <w:rPr>
          <w:rFonts w:ascii="宋体" w:hAnsi="宋体"/>
          <w:sz w:val="24"/>
        </w:rPr>
        <w:t>多角度论证</w:t>
      </w:r>
      <w:r>
        <w:rPr>
          <w:rFonts w:ascii="宋体" w:hAnsi="宋体" w:hint="eastAsia"/>
          <w:sz w:val="24"/>
        </w:rPr>
        <w:t>。</w:t>
      </w:r>
    </w:p>
    <w:p w:rsidR="00694EE6" w:rsidRDefault="00694EE6" w:rsidP="00694EE6">
      <w:pPr>
        <w:spacing w:line="360" w:lineRule="auto"/>
        <w:ind w:firstLine="492"/>
        <w:rPr>
          <w:rFonts w:ascii="宋体" w:hAnsi="宋体"/>
          <w:sz w:val="24"/>
        </w:rPr>
      </w:pPr>
      <w:r>
        <w:rPr>
          <w:rFonts w:ascii="宋体" w:hAnsi="宋体" w:hint="eastAsia"/>
          <w:sz w:val="24"/>
        </w:rPr>
        <w:t>3、标准起草完善过程</w:t>
      </w:r>
    </w:p>
    <w:p w:rsidR="00694EE6" w:rsidRDefault="00694EE6" w:rsidP="00694EE6">
      <w:pPr>
        <w:spacing w:line="360" w:lineRule="auto"/>
        <w:ind w:firstLineChars="200" w:firstLine="480"/>
        <w:rPr>
          <w:rFonts w:ascii="宋体" w:hAnsi="宋体"/>
          <w:sz w:val="24"/>
        </w:rPr>
      </w:pPr>
      <w:r>
        <w:rPr>
          <w:rFonts w:ascii="宋体" w:hAnsi="宋体" w:hint="eastAsia"/>
          <w:sz w:val="24"/>
        </w:rPr>
        <w:t>依据GB/T 1.1—2000《标准化工作导则  第1部分：标准的结构和编写规则》、GB/T 1.2—2002《标准化工作导则  第2部分：标准中规范性技术要素内容的确定方法》等标准编制要求，对《</w:t>
      </w:r>
      <w:r w:rsidR="00177F5B" w:rsidRPr="004D19F3">
        <w:rPr>
          <w:rFonts w:ascii="宋体" w:hAnsi="宋体" w:hint="eastAsia"/>
          <w:sz w:val="24"/>
        </w:rPr>
        <w:t>工业微生物菌株质量评价-拉曼光谱法</w:t>
      </w:r>
      <w:r>
        <w:rPr>
          <w:rFonts w:ascii="宋体" w:hAnsi="宋体" w:hint="eastAsia"/>
          <w:sz w:val="24"/>
        </w:rPr>
        <w:t>》标准开展了研制工作，</w:t>
      </w:r>
      <w:r w:rsidR="00177F5B">
        <w:rPr>
          <w:rFonts w:ascii="宋体" w:hAnsi="宋体" w:hint="eastAsia"/>
          <w:sz w:val="24"/>
        </w:rPr>
        <w:t>2018年</w:t>
      </w:r>
      <w:r>
        <w:rPr>
          <w:rFonts w:ascii="宋体" w:hAnsi="宋体" w:hint="eastAsia"/>
          <w:sz w:val="24"/>
        </w:rPr>
        <w:t>起草工作小组完成了《</w:t>
      </w:r>
      <w:r w:rsidR="00DF49ED" w:rsidRPr="004D19F3">
        <w:rPr>
          <w:rFonts w:ascii="宋体" w:hAnsi="宋体" w:hint="eastAsia"/>
          <w:sz w:val="24"/>
        </w:rPr>
        <w:t>工业微生物菌株质量评价-拉曼光谱法</w:t>
      </w:r>
      <w:r>
        <w:rPr>
          <w:rFonts w:ascii="宋体" w:hAnsi="宋体" w:hint="eastAsia"/>
          <w:sz w:val="24"/>
        </w:rPr>
        <w:t>》国家标准（草案）。</w:t>
      </w:r>
      <w:r w:rsidR="00177F5B">
        <w:rPr>
          <w:rFonts w:ascii="宋体" w:hAnsi="宋体" w:hint="eastAsia"/>
          <w:sz w:val="24"/>
        </w:rPr>
        <w:t>并针对草案中的具体条件进行优化和扩展，并在工厂中进行应用示范</w:t>
      </w:r>
      <w:r>
        <w:rPr>
          <w:rFonts w:ascii="宋体" w:hAnsi="宋体" w:hint="eastAsia"/>
          <w:sz w:val="24"/>
        </w:rPr>
        <w:t>。在此基础上，2018年</w:t>
      </w:r>
      <w:r w:rsidR="00FD34F8">
        <w:rPr>
          <w:rFonts w:ascii="宋体" w:hAnsi="宋体" w:hint="eastAsia"/>
          <w:sz w:val="24"/>
        </w:rPr>
        <w:t>12</w:t>
      </w:r>
      <w:r>
        <w:rPr>
          <w:rFonts w:ascii="宋体" w:hAnsi="宋体" w:hint="eastAsia"/>
          <w:sz w:val="24"/>
        </w:rPr>
        <w:t>月征求了专家意见，起草组按照专家意见对标准内容</w:t>
      </w:r>
      <w:r w:rsidRPr="00A624E9">
        <w:rPr>
          <w:rFonts w:ascii="宋体" w:hAnsi="宋体" w:hint="eastAsia"/>
          <w:sz w:val="24"/>
        </w:rPr>
        <w:t>进行了修改完善</w:t>
      </w:r>
      <w:r>
        <w:rPr>
          <w:rFonts w:ascii="宋体" w:hAnsi="宋体" w:hint="eastAsia"/>
          <w:sz w:val="24"/>
        </w:rPr>
        <w:t>，形成了标准征求意见稿。</w:t>
      </w:r>
    </w:p>
    <w:p w:rsidR="00694EE6" w:rsidRDefault="00694EE6" w:rsidP="007D46D6">
      <w:pPr>
        <w:spacing w:beforeLines="50" w:line="360" w:lineRule="auto"/>
        <w:rPr>
          <w:rFonts w:ascii="黑体" w:eastAsia="黑体" w:hAnsi="金山简标宋"/>
          <w:b/>
          <w:sz w:val="24"/>
        </w:rPr>
      </w:pPr>
      <w:r w:rsidRPr="00EA7D04">
        <w:rPr>
          <w:rFonts w:ascii="黑体" w:eastAsia="黑体" w:hAnsi="金山简标宋" w:hint="eastAsia"/>
          <w:b/>
          <w:sz w:val="24"/>
        </w:rPr>
        <w:t>六、方法验证及结果</w:t>
      </w:r>
    </w:p>
    <w:p w:rsidR="00EA7D04" w:rsidRDefault="00EA7D04" w:rsidP="00694EE6">
      <w:pPr>
        <w:tabs>
          <w:tab w:val="left" w:pos="2445"/>
        </w:tabs>
        <w:spacing w:line="360" w:lineRule="auto"/>
        <w:ind w:firstLineChars="200" w:firstLine="480"/>
        <w:rPr>
          <w:rFonts w:ascii="宋体" w:hAnsi="宋体"/>
          <w:sz w:val="24"/>
        </w:rPr>
      </w:pPr>
      <w:r>
        <w:rPr>
          <w:rFonts w:ascii="宋体" w:hAnsi="宋体" w:hint="eastAsia"/>
          <w:sz w:val="24"/>
        </w:rPr>
        <w:t>方法</w:t>
      </w:r>
      <w:r w:rsidR="00694EE6">
        <w:rPr>
          <w:rFonts w:ascii="宋体" w:hAnsi="宋体" w:hint="eastAsia"/>
          <w:sz w:val="24"/>
        </w:rPr>
        <w:t>验证单位</w:t>
      </w:r>
      <w:r>
        <w:rPr>
          <w:rFonts w:ascii="宋体" w:hAnsi="宋体" w:hint="eastAsia"/>
          <w:sz w:val="24"/>
        </w:rPr>
        <w:t>：青岛啤酒有限公司</w:t>
      </w:r>
    </w:p>
    <w:p w:rsidR="00EA7D04" w:rsidRDefault="00EA7D04" w:rsidP="00EA7D04">
      <w:pPr>
        <w:tabs>
          <w:tab w:val="left" w:pos="2445"/>
        </w:tabs>
        <w:spacing w:line="360" w:lineRule="auto"/>
        <w:ind w:firstLineChars="200" w:firstLine="480"/>
        <w:rPr>
          <w:rFonts w:ascii="宋体" w:hAnsi="宋体"/>
          <w:sz w:val="24"/>
        </w:rPr>
      </w:pPr>
      <w:r>
        <w:rPr>
          <w:rFonts w:ascii="宋体" w:hAnsi="宋体" w:hint="eastAsia"/>
          <w:sz w:val="24"/>
        </w:rPr>
        <w:t>验证结果：</w:t>
      </w:r>
      <w:r w:rsidRPr="00380B72">
        <w:rPr>
          <w:rFonts w:ascii="宋体" w:hAnsi="宋体" w:hint="eastAsia"/>
          <w:sz w:val="24"/>
        </w:rPr>
        <w:t>采集8</w:t>
      </w:r>
      <w:r w:rsidR="00F561F5">
        <w:rPr>
          <w:rFonts w:ascii="宋体" w:hAnsi="宋体" w:hint="eastAsia"/>
          <w:sz w:val="24"/>
        </w:rPr>
        <w:t>株</w:t>
      </w:r>
      <w:proofErr w:type="gramStart"/>
      <w:r w:rsidRPr="00380B72">
        <w:rPr>
          <w:rFonts w:ascii="宋体" w:hAnsi="宋体" w:hint="eastAsia"/>
          <w:sz w:val="24"/>
        </w:rPr>
        <w:t>待评价</w:t>
      </w:r>
      <w:proofErr w:type="gramEnd"/>
      <w:r w:rsidRPr="00380B72">
        <w:rPr>
          <w:rFonts w:ascii="宋体" w:hAnsi="宋体" w:hint="eastAsia"/>
          <w:sz w:val="24"/>
        </w:rPr>
        <w:t>酵母菌株和对照组酵母菌株的拉曼光谱，通过相似性分析（ANOSIM</w:t>
      </w:r>
      <w:r w:rsidR="00F561F5">
        <w:rPr>
          <w:rFonts w:ascii="宋体" w:hAnsi="宋体" w:hint="eastAsia"/>
          <w:sz w:val="24"/>
        </w:rPr>
        <w:t>），评价样品组与对照组表型的</w:t>
      </w:r>
      <w:r w:rsidRPr="00380B72">
        <w:rPr>
          <w:rFonts w:ascii="宋体" w:hAnsi="宋体" w:hint="eastAsia"/>
          <w:sz w:val="24"/>
        </w:rPr>
        <w:t>相似程度（表1），</w:t>
      </w:r>
      <w:r w:rsidR="00F561F5">
        <w:rPr>
          <w:rFonts w:ascii="宋体" w:hAnsi="宋体" w:hint="eastAsia"/>
          <w:sz w:val="24"/>
        </w:rPr>
        <w:t>结果表明S4菌株质量较好（R值最小），</w:t>
      </w:r>
      <w:r w:rsidRPr="00380B72">
        <w:rPr>
          <w:rFonts w:ascii="宋体" w:hAnsi="宋体" w:hint="eastAsia"/>
          <w:sz w:val="24"/>
        </w:rPr>
        <w:t>S5、S7和S8</w:t>
      </w:r>
      <w:r w:rsidR="00F561F5">
        <w:rPr>
          <w:rFonts w:ascii="宋体" w:hAnsi="宋体" w:hint="eastAsia"/>
          <w:sz w:val="24"/>
        </w:rPr>
        <w:t>质量较差（R值较大）</w:t>
      </w:r>
      <w:r w:rsidRPr="00380B72">
        <w:rPr>
          <w:rFonts w:ascii="宋体" w:hAnsi="宋体" w:hint="eastAsia"/>
          <w:sz w:val="24"/>
        </w:rPr>
        <w:t>。</w:t>
      </w:r>
      <w:r w:rsidR="00F561F5">
        <w:rPr>
          <w:rFonts w:ascii="宋体" w:hAnsi="宋体" w:hint="eastAsia"/>
          <w:sz w:val="24"/>
        </w:rPr>
        <w:t>验证实验通过EBC管对样品进行发酵，发酵后测定典型发酵表型数据，判别分析结果表明（图1）</w:t>
      </w:r>
      <w:r w:rsidRPr="00380B72">
        <w:rPr>
          <w:rFonts w:ascii="宋体" w:hAnsi="宋体" w:hint="eastAsia"/>
          <w:sz w:val="24"/>
        </w:rPr>
        <w:t>，S5、S7和S8</w:t>
      </w:r>
      <w:proofErr w:type="gramStart"/>
      <w:r w:rsidRPr="00380B72">
        <w:rPr>
          <w:rFonts w:ascii="宋体" w:hAnsi="宋体" w:hint="eastAsia"/>
          <w:sz w:val="24"/>
        </w:rPr>
        <w:t>三</w:t>
      </w:r>
      <w:proofErr w:type="gramEnd"/>
      <w:r w:rsidRPr="00380B72">
        <w:rPr>
          <w:rFonts w:ascii="宋体" w:hAnsi="宋体" w:hint="eastAsia"/>
          <w:sz w:val="24"/>
        </w:rPr>
        <w:t>株</w:t>
      </w:r>
      <w:proofErr w:type="gramStart"/>
      <w:r w:rsidRPr="00380B72">
        <w:rPr>
          <w:rFonts w:ascii="宋体" w:hAnsi="宋体" w:hint="eastAsia"/>
          <w:sz w:val="24"/>
        </w:rPr>
        <w:t>待评价</w:t>
      </w:r>
      <w:proofErr w:type="gramEnd"/>
      <w:r w:rsidRPr="00380B72">
        <w:rPr>
          <w:rFonts w:ascii="宋体" w:hAnsi="宋体" w:hint="eastAsia"/>
          <w:sz w:val="24"/>
        </w:rPr>
        <w:t>酵母</w:t>
      </w:r>
      <w:r w:rsidR="00F561F5">
        <w:rPr>
          <w:rFonts w:ascii="宋体" w:hAnsi="宋体" w:hint="eastAsia"/>
          <w:sz w:val="24"/>
        </w:rPr>
        <w:t>菌株发酵表型较差</w:t>
      </w:r>
      <w:r w:rsidRPr="00380B72">
        <w:rPr>
          <w:rFonts w:ascii="宋体" w:hAnsi="宋体" w:hint="eastAsia"/>
          <w:sz w:val="24"/>
        </w:rPr>
        <w:t>。</w:t>
      </w:r>
    </w:p>
    <w:p w:rsidR="00EA7D04" w:rsidRDefault="00EA7D04" w:rsidP="00EA7D04">
      <w:pPr>
        <w:tabs>
          <w:tab w:val="left" w:pos="2445"/>
        </w:tabs>
        <w:spacing w:line="360" w:lineRule="auto"/>
        <w:ind w:firstLineChars="200" w:firstLine="480"/>
        <w:jc w:val="center"/>
        <w:rPr>
          <w:rFonts w:ascii="宋体" w:hAnsi="宋体"/>
          <w:sz w:val="24"/>
        </w:rPr>
      </w:pPr>
    </w:p>
    <w:tbl>
      <w:tblPr>
        <w:tblW w:w="9138" w:type="dxa"/>
        <w:tblLook w:val="04A0"/>
      </w:tblPr>
      <w:tblGrid>
        <w:gridCol w:w="498"/>
        <w:gridCol w:w="1080"/>
        <w:gridCol w:w="1080"/>
        <w:gridCol w:w="1080"/>
        <w:gridCol w:w="1080"/>
        <w:gridCol w:w="1080"/>
        <w:gridCol w:w="1080"/>
        <w:gridCol w:w="1080"/>
        <w:gridCol w:w="1080"/>
      </w:tblGrid>
      <w:tr w:rsidR="00EA7D04" w:rsidRPr="00380B72" w:rsidTr="00EA7D04">
        <w:trPr>
          <w:trHeight w:val="270"/>
        </w:trPr>
        <w:tc>
          <w:tcPr>
            <w:tcW w:w="498" w:type="dxa"/>
            <w:tcBorders>
              <w:top w:val="single" w:sz="4" w:space="0" w:color="auto"/>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p>
        </w:tc>
        <w:tc>
          <w:tcPr>
            <w:tcW w:w="1080" w:type="dxa"/>
            <w:tcBorders>
              <w:top w:val="single" w:sz="4" w:space="0" w:color="auto"/>
              <w:left w:val="nil"/>
              <w:bottom w:val="single" w:sz="4" w:space="0" w:color="auto"/>
              <w:right w:val="nil"/>
            </w:tcBorders>
            <w:shd w:val="clear" w:color="auto" w:fill="auto"/>
            <w:noWrap/>
            <w:vAlign w:val="bottom"/>
            <w:hideMark/>
          </w:tcPr>
          <w:p w:rsidR="00EA7D04" w:rsidRPr="00380B72" w:rsidRDefault="00EA7D04" w:rsidP="00EA7D04">
            <w:pPr>
              <w:widowControl/>
              <w:jc w:val="center"/>
              <w:rPr>
                <w:kern w:val="0"/>
                <w:sz w:val="22"/>
              </w:rPr>
            </w:pPr>
            <w:r w:rsidRPr="00380B72">
              <w:rPr>
                <w:rFonts w:hint="eastAsia"/>
                <w:kern w:val="0"/>
                <w:sz w:val="22"/>
              </w:rPr>
              <w:t>S1</w:t>
            </w:r>
          </w:p>
        </w:tc>
        <w:tc>
          <w:tcPr>
            <w:tcW w:w="1080" w:type="dxa"/>
            <w:tcBorders>
              <w:top w:val="single" w:sz="4" w:space="0" w:color="auto"/>
              <w:left w:val="nil"/>
              <w:bottom w:val="single" w:sz="4" w:space="0" w:color="auto"/>
              <w:right w:val="nil"/>
            </w:tcBorders>
            <w:shd w:val="clear" w:color="auto" w:fill="auto"/>
            <w:noWrap/>
            <w:vAlign w:val="bottom"/>
            <w:hideMark/>
          </w:tcPr>
          <w:p w:rsidR="00EA7D04" w:rsidRPr="00380B72" w:rsidRDefault="00EA7D04" w:rsidP="00EA7D04">
            <w:pPr>
              <w:widowControl/>
              <w:jc w:val="center"/>
              <w:rPr>
                <w:kern w:val="0"/>
                <w:sz w:val="22"/>
              </w:rPr>
            </w:pPr>
            <w:r w:rsidRPr="00380B72">
              <w:rPr>
                <w:rFonts w:hint="eastAsia"/>
                <w:kern w:val="0"/>
                <w:sz w:val="22"/>
              </w:rPr>
              <w:t>S</w:t>
            </w:r>
            <w:r w:rsidRPr="00380B72">
              <w:rPr>
                <w:kern w:val="0"/>
                <w:sz w:val="22"/>
              </w:rPr>
              <w:t>2</w:t>
            </w:r>
          </w:p>
        </w:tc>
        <w:tc>
          <w:tcPr>
            <w:tcW w:w="1080" w:type="dxa"/>
            <w:tcBorders>
              <w:top w:val="single" w:sz="4" w:space="0" w:color="auto"/>
              <w:left w:val="nil"/>
              <w:bottom w:val="single" w:sz="4" w:space="0" w:color="auto"/>
              <w:right w:val="nil"/>
            </w:tcBorders>
            <w:shd w:val="clear" w:color="auto" w:fill="auto"/>
            <w:noWrap/>
            <w:vAlign w:val="bottom"/>
            <w:hideMark/>
          </w:tcPr>
          <w:p w:rsidR="00EA7D04" w:rsidRPr="00380B72" w:rsidRDefault="00EA7D04" w:rsidP="00EA7D04">
            <w:pPr>
              <w:widowControl/>
              <w:jc w:val="center"/>
              <w:rPr>
                <w:kern w:val="0"/>
                <w:sz w:val="22"/>
              </w:rPr>
            </w:pPr>
            <w:r w:rsidRPr="00380B72">
              <w:rPr>
                <w:rFonts w:hint="eastAsia"/>
                <w:kern w:val="0"/>
                <w:sz w:val="22"/>
              </w:rPr>
              <w:t>S</w:t>
            </w:r>
            <w:r w:rsidRPr="00380B72">
              <w:rPr>
                <w:kern w:val="0"/>
                <w:sz w:val="22"/>
              </w:rPr>
              <w:t>3</w:t>
            </w:r>
          </w:p>
        </w:tc>
        <w:tc>
          <w:tcPr>
            <w:tcW w:w="1080" w:type="dxa"/>
            <w:tcBorders>
              <w:top w:val="single" w:sz="4" w:space="0" w:color="auto"/>
              <w:left w:val="nil"/>
              <w:bottom w:val="single" w:sz="4" w:space="0" w:color="auto"/>
              <w:right w:val="nil"/>
            </w:tcBorders>
            <w:shd w:val="clear" w:color="auto" w:fill="auto"/>
            <w:noWrap/>
            <w:vAlign w:val="bottom"/>
            <w:hideMark/>
          </w:tcPr>
          <w:p w:rsidR="00EA7D04" w:rsidRPr="00380B72" w:rsidRDefault="00EA7D04" w:rsidP="00EA7D04">
            <w:pPr>
              <w:widowControl/>
              <w:jc w:val="center"/>
              <w:rPr>
                <w:kern w:val="0"/>
                <w:sz w:val="22"/>
              </w:rPr>
            </w:pPr>
            <w:r w:rsidRPr="00380B72">
              <w:rPr>
                <w:rFonts w:hint="eastAsia"/>
                <w:kern w:val="0"/>
                <w:sz w:val="22"/>
              </w:rPr>
              <w:t>S</w:t>
            </w:r>
            <w:r w:rsidRPr="00380B72">
              <w:rPr>
                <w:kern w:val="0"/>
                <w:sz w:val="22"/>
              </w:rPr>
              <w:t>4</w:t>
            </w:r>
          </w:p>
        </w:tc>
        <w:tc>
          <w:tcPr>
            <w:tcW w:w="1080" w:type="dxa"/>
            <w:tcBorders>
              <w:top w:val="single" w:sz="4" w:space="0" w:color="auto"/>
              <w:left w:val="nil"/>
              <w:bottom w:val="single" w:sz="4" w:space="0" w:color="auto"/>
              <w:right w:val="nil"/>
            </w:tcBorders>
            <w:shd w:val="clear" w:color="auto" w:fill="auto"/>
            <w:noWrap/>
            <w:vAlign w:val="bottom"/>
            <w:hideMark/>
          </w:tcPr>
          <w:p w:rsidR="00EA7D04" w:rsidRPr="00380B72" w:rsidRDefault="00EA7D04" w:rsidP="00EA7D04">
            <w:pPr>
              <w:widowControl/>
              <w:jc w:val="center"/>
              <w:rPr>
                <w:kern w:val="0"/>
                <w:sz w:val="22"/>
              </w:rPr>
            </w:pPr>
            <w:r w:rsidRPr="00380B72">
              <w:rPr>
                <w:rFonts w:hint="eastAsia"/>
                <w:kern w:val="0"/>
                <w:sz w:val="22"/>
              </w:rPr>
              <w:t>S</w:t>
            </w:r>
            <w:r w:rsidRPr="00380B72">
              <w:rPr>
                <w:kern w:val="0"/>
                <w:sz w:val="22"/>
              </w:rPr>
              <w:t>5</w:t>
            </w:r>
          </w:p>
        </w:tc>
        <w:tc>
          <w:tcPr>
            <w:tcW w:w="1080" w:type="dxa"/>
            <w:tcBorders>
              <w:top w:val="single" w:sz="4" w:space="0" w:color="auto"/>
              <w:left w:val="nil"/>
              <w:bottom w:val="single" w:sz="4" w:space="0" w:color="auto"/>
              <w:right w:val="nil"/>
            </w:tcBorders>
            <w:shd w:val="clear" w:color="auto" w:fill="auto"/>
            <w:noWrap/>
            <w:vAlign w:val="bottom"/>
            <w:hideMark/>
          </w:tcPr>
          <w:p w:rsidR="00EA7D04" w:rsidRPr="00380B72" w:rsidRDefault="00EA7D04" w:rsidP="00EA7D04">
            <w:pPr>
              <w:widowControl/>
              <w:jc w:val="center"/>
              <w:rPr>
                <w:kern w:val="0"/>
                <w:sz w:val="22"/>
              </w:rPr>
            </w:pPr>
            <w:r w:rsidRPr="00380B72">
              <w:rPr>
                <w:rFonts w:hint="eastAsia"/>
                <w:kern w:val="0"/>
                <w:sz w:val="22"/>
              </w:rPr>
              <w:t>S</w:t>
            </w:r>
            <w:r w:rsidRPr="00380B72">
              <w:rPr>
                <w:kern w:val="0"/>
                <w:sz w:val="22"/>
              </w:rPr>
              <w:t>6</w:t>
            </w:r>
          </w:p>
        </w:tc>
        <w:tc>
          <w:tcPr>
            <w:tcW w:w="1080" w:type="dxa"/>
            <w:tcBorders>
              <w:top w:val="single" w:sz="4" w:space="0" w:color="auto"/>
              <w:left w:val="nil"/>
              <w:bottom w:val="single" w:sz="4" w:space="0" w:color="auto"/>
              <w:right w:val="nil"/>
            </w:tcBorders>
            <w:shd w:val="clear" w:color="auto" w:fill="auto"/>
            <w:noWrap/>
            <w:vAlign w:val="bottom"/>
            <w:hideMark/>
          </w:tcPr>
          <w:p w:rsidR="00EA7D04" w:rsidRPr="00380B72" w:rsidRDefault="00EA7D04" w:rsidP="00EA7D04">
            <w:pPr>
              <w:widowControl/>
              <w:jc w:val="center"/>
              <w:rPr>
                <w:kern w:val="0"/>
                <w:sz w:val="22"/>
              </w:rPr>
            </w:pPr>
            <w:r w:rsidRPr="00380B72">
              <w:rPr>
                <w:rFonts w:hint="eastAsia"/>
                <w:kern w:val="0"/>
                <w:sz w:val="22"/>
              </w:rPr>
              <w:t>S</w:t>
            </w:r>
            <w:r w:rsidRPr="00380B72">
              <w:rPr>
                <w:kern w:val="0"/>
                <w:sz w:val="22"/>
              </w:rPr>
              <w:t>7</w:t>
            </w:r>
          </w:p>
        </w:tc>
        <w:tc>
          <w:tcPr>
            <w:tcW w:w="1080" w:type="dxa"/>
            <w:tcBorders>
              <w:top w:val="single" w:sz="4" w:space="0" w:color="auto"/>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rFonts w:hint="eastAsia"/>
                <w:color w:val="000000"/>
                <w:kern w:val="0"/>
                <w:sz w:val="22"/>
              </w:rPr>
              <w:t>S</w:t>
            </w:r>
            <w:r w:rsidRPr="00380B72">
              <w:rPr>
                <w:color w:val="000000"/>
                <w:kern w:val="0"/>
                <w:sz w:val="22"/>
              </w:rPr>
              <w:t>8</w:t>
            </w:r>
          </w:p>
        </w:tc>
      </w:tr>
      <w:tr w:rsidR="00EA7D04" w:rsidRPr="00380B72" w:rsidTr="00EA7D04">
        <w:trPr>
          <w:trHeight w:val="270"/>
        </w:trPr>
        <w:tc>
          <w:tcPr>
            <w:tcW w:w="498" w:type="dxa"/>
            <w:tcBorders>
              <w:top w:val="nil"/>
              <w:left w:val="nil"/>
              <w:bottom w:val="nil"/>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R</w:t>
            </w:r>
          </w:p>
        </w:tc>
        <w:tc>
          <w:tcPr>
            <w:tcW w:w="1080" w:type="dxa"/>
            <w:tcBorders>
              <w:top w:val="nil"/>
              <w:left w:val="nil"/>
              <w:bottom w:val="nil"/>
              <w:right w:val="nil"/>
            </w:tcBorders>
            <w:shd w:val="clear" w:color="auto" w:fill="auto"/>
            <w:noWrap/>
            <w:vAlign w:val="bottom"/>
            <w:hideMark/>
          </w:tcPr>
          <w:p w:rsidR="00EA7D04" w:rsidRPr="00380B72" w:rsidRDefault="00EA7D04" w:rsidP="00EA7D04">
            <w:pPr>
              <w:widowControl/>
              <w:jc w:val="center"/>
              <w:rPr>
                <w:kern w:val="0"/>
                <w:sz w:val="22"/>
              </w:rPr>
            </w:pPr>
            <w:r w:rsidRPr="00380B72">
              <w:rPr>
                <w:kern w:val="0"/>
                <w:sz w:val="22"/>
              </w:rPr>
              <w:t>0.023</w:t>
            </w:r>
          </w:p>
        </w:tc>
        <w:tc>
          <w:tcPr>
            <w:tcW w:w="1080" w:type="dxa"/>
            <w:tcBorders>
              <w:top w:val="nil"/>
              <w:left w:val="nil"/>
              <w:bottom w:val="nil"/>
              <w:right w:val="nil"/>
            </w:tcBorders>
            <w:shd w:val="clear" w:color="auto" w:fill="auto"/>
            <w:noWrap/>
            <w:vAlign w:val="bottom"/>
            <w:hideMark/>
          </w:tcPr>
          <w:p w:rsidR="00EA7D04" w:rsidRPr="00380B72" w:rsidRDefault="00EA7D04" w:rsidP="00EA7D04">
            <w:pPr>
              <w:widowControl/>
              <w:jc w:val="center"/>
              <w:rPr>
                <w:kern w:val="0"/>
                <w:sz w:val="22"/>
              </w:rPr>
            </w:pPr>
            <w:r w:rsidRPr="00380B72">
              <w:rPr>
                <w:kern w:val="0"/>
                <w:sz w:val="22"/>
              </w:rPr>
              <w:t>0.06</w:t>
            </w:r>
          </w:p>
        </w:tc>
        <w:tc>
          <w:tcPr>
            <w:tcW w:w="1080" w:type="dxa"/>
            <w:tcBorders>
              <w:top w:val="nil"/>
              <w:left w:val="nil"/>
              <w:bottom w:val="nil"/>
              <w:right w:val="nil"/>
            </w:tcBorders>
            <w:shd w:val="clear" w:color="auto" w:fill="auto"/>
            <w:noWrap/>
            <w:vAlign w:val="bottom"/>
            <w:hideMark/>
          </w:tcPr>
          <w:p w:rsidR="00EA7D04" w:rsidRPr="00380B72" w:rsidRDefault="00EA7D04" w:rsidP="00EA7D04">
            <w:pPr>
              <w:widowControl/>
              <w:jc w:val="center"/>
              <w:rPr>
                <w:kern w:val="0"/>
                <w:sz w:val="22"/>
              </w:rPr>
            </w:pPr>
            <w:r w:rsidRPr="00380B72">
              <w:rPr>
                <w:kern w:val="0"/>
                <w:sz w:val="22"/>
              </w:rPr>
              <w:t>0.022</w:t>
            </w:r>
          </w:p>
        </w:tc>
        <w:tc>
          <w:tcPr>
            <w:tcW w:w="1080" w:type="dxa"/>
            <w:tcBorders>
              <w:top w:val="nil"/>
              <w:left w:val="nil"/>
              <w:bottom w:val="nil"/>
              <w:right w:val="nil"/>
            </w:tcBorders>
            <w:shd w:val="clear" w:color="auto" w:fill="auto"/>
            <w:noWrap/>
            <w:vAlign w:val="bottom"/>
            <w:hideMark/>
          </w:tcPr>
          <w:p w:rsidR="00EA7D04" w:rsidRPr="00380B72" w:rsidRDefault="00EA7D04" w:rsidP="00EA7D04">
            <w:pPr>
              <w:widowControl/>
              <w:jc w:val="center"/>
              <w:rPr>
                <w:kern w:val="0"/>
                <w:sz w:val="22"/>
              </w:rPr>
            </w:pPr>
            <w:r w:rsidRPr="00380B72">
              <w:rPr>
                <w:kern w:val="0"/>
                <w:sz w:val="22"/>
              </w:rPr>
              <w:t>0.006</w:t>
            </w:r>
          </w:p>
        </w:tc>
        <w:tc>
          <w:tcPr>
            <w:tcW w:w="1080" w:type="dxa"/>
            <w:tcBorders>
              <w:top w:val="nil"/>
              <w:left w:val="nil"/>
              <w:bottom w:val="nil"/>
              <w:right w:val="nil"/>
            </w:tcBorders>
            <w:shd w:val="clear" w:color="auto" w:fill="auto"/>
            <w:noWrap/>
            <w:vAlign w:val="bottom"/>
            <w:hideMark/>
          </w:tcPr>
          <w:p w:rsidR="00EA7D04" w:rsidRPr="00380B72" w:rsidRDefault="00EA7D04" w:rsidP="00EA7D04">
            <w:pPr>
              <w:widowControl/>
              <w:jc w:val="center"/>
              <w:rPr>
                <w:kern w:val="0"/>
                <w:sz w:val="22"/>
              </w:rPr>
            </w:pPr>
            <w:r w:rsidRPr="00380B72">
              <w:rPr>
                <w:kern w:val="0"/>
                <w:sz w:val="22"/>
              </w:rPr>
              <w:t>0.265</w:t>
            </w:r>
          </w:p>
        </w:tc>
        <w:tc>
          <w:tcPr>
            <w:tcW w:w="1080" w:type="dxa"/>
            <w:tcBorders>
              <w:top w:val="nil"/>
              <w:left w:val="nil"/>
              <w:bottom w:val="nil"/>
              <w:right w:val="nil"/>
            </w:tcBorders>
            <w:shd w:val="clear" w:color="auto" w:fill="auto"/>
            <w:noWrap/>
            <w:vAlign w:val="bottom"/>
            <w:hideMark/>
          </w:tcPr>
          <w:p w:rsidR="00EA7D04" w:rsidRPr="00380B72" w:rsidRDefault="00EA7D04" w:rsidP="00EA7D04">
            <w:pPr>
              <w:widowControl/>
              <w:jc w:val="center"/>
              <w:rPr>
                <w:kern w:val="0"/>
                <w:sz w:val="22"/>
              </w:rPr>
            </w:pPr>
            <w:r w:rsidRPr="00380B72">
              <w:rPr>
                <w:kern w:val="0"/>
                <w:sz w:val="22"/>
              </w:rPr>
              <w:t>0.031</w:t>
            </w:r>
          </w:p>
        </w:tc>
        <w:tc>
          <w:tcPr>
            <w:tcW w:w="1080" w:type="dxa"/>
            <w:tcBorders>
              <w:top w:val="nil"/>
              <w:left w:val="nil"/>
              <w:bottom w:val="nil"/>
              <w:right w:val="nil"/>
            </w:tcBorders>
            <w:shd w:val="clear" w:color="auto" w:fill="auto"/>
            <w:noWrap/>
            <w:vAlign w:val="bottom"/>
            <w:hideMark/>
          </w:tcPr>
          <w:p w:rsidR="00EA7D04" w:rsidRPr="00380B72" w:rsidRDefault="00EA7D04" w:rsidP="00EA7D04">
            <w:pPr>
              <w:widowControl/>
              <w:jc w:val="center"/>
              <w:rPr>
                <w:kern w:val="0"/>
                <w:sz w:val="22"/>
              </w:rPr>
            </w:pPr>
            <w:r w:rsidRPr="00380B72">
              <w:rPr>
                <w:kern w:val="0"/>
                <w:sz w:val="22"/>
              </w:rPr>
              <w:t>0.398</w:t>
            </w:r>
          </w:p>
        </w:tc>
        <w:tc>
          <w:tcPr>
            <w:tcW w:w="1080" w:type="dxa"/>
            <w:tcBorders>
              <w:top w:val="nil"/>
              <w:left w:val="nil"/>
              <w:bottom w:val="nil"/>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0.158</w:t>
            </w:r>
          </w:p>
        </w:tc>
      </w:tr>
      <w:tr w:rsidR="00EA7D04" w:rsidRPr="00380B72" w:rsidTr="00EA7D04">
        <w:trPr>
          <w:trHeight w:val="270"/>
        </w:trPr>
        <w:tc>
          <w:tcPr>
            <w:tcW w:w="498" w:type="dxa"/>
            <w:tcBorders>
              <w:top w:val="nil"/>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P</w:t>
            </w:r>
          </w:p>
        </w:tc>
        <w:tc>
          <w:tcPr>
            <w:tcW w:w="1080" w:type="dxa"/>
            <w:tcBorders>
              <w:top w:val="nil"/>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0.247</w:t>
            </w:r>
          </w:p>
        </w:tc>
        <w:tc>
          <w:tcPr>
            <w:tcW w:w="1080" w:type="dxa"/>
            <w:tcBorders>
              <w:top w:val="nil"/>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0.083</w:t>
            </w:r>
          </w:p>
        </w:tc>
        <w:tc>
          <w:tcPr>
            <w:tcW w:w="1080" w:type="dxa"/>
            <w:tcBorders>
              <w:top w:val="nil"/>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0.237</w:t>
            </w:r>
          </w:p>
        </w:tc>
        <w:tc>
          <w:tcPr>
            <w:tcW w:w="1080" w:type="dxa"/>
            <w:tcBorders>
              <w:top w:val="nil"/>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0.368</w:t>
            </w:r>
          </w:p>
        </w:tc>
        <w:tc>
          <w:tcPr>
            <w:tcW w:w="1080" w:type="dxa"/>
            <w:tcBorders>
              <w:top w:val="nil"/>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0.001</w:t>
            </w:r>
          </w:p>
        </w:tc>
        <w:tc>
          <w:tcPr>
            <w:tcW w:w="1080" w:type="dxa"/>
            <w:tcBorders>
              <w:top w:val="nil"/>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0.171</w:t>
            </w:r>
          </w:p>
        </w:tc>
        <w:tc>
          <w:tcPr>
            <w:tcW w:w="1080" w:type="dxa"/>
            <w:tcBorders>
              <w:top w:val="nil"/>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0.001</w:t>
            </w:r>
          </w:p>
        </w:tc>
        <w:tc>
          <w:tcPr>
            <w:tcW w:w="1080" w:type="dxa"/>
            <w:tcBorders>
              <w:top w:val="nil"/>
              <w:left w:val="nil"/>
              <w:bottom w:val="single" w:sz="4" w:space="0" w:color="auto"/>
              <w:right w:val="nil"/>
            </w:tcBorders>
            <w:shd w:val="clear" w:color="auto" w:fill="auto"/>
            <w:noWrap/>
            <w:vAlign w:val="bottom"/>
            <w:hideMark/>
          </w:tcPr>
          <w:p w:rsidR="00EA7D04" w:rsidRPr="00380B72" w:rsidRDefault="00EA7D04" w:rsidP="00EA7D04">
            <w:pPr>
              <w:widowControl/>
              <w:jc w:val="center"/>
              <w:rPr>
                <w:color w:val="000000"/>
                <w:kern w:val="0"/>
                <w:sz w:val="22"/>
              </w:rPr>
            </w:pPr>
            <w:r w:rsidRPr="00380B72">
              <w:rPr>
                <w:color w:val="000000"/>
                <w:kern w:val="0"/>
                <w:sz w:val="22"/>
              </w:rPr>
              <w:t>0.002</w:t>
            </w:r>
          </w:p>
        </w:tc>
      </w:tr>
    </w:tbl>
    <w:p w:rsidR="00EA7D04" w:rsidRDefault="00EA7D04" w:rsidP="00EA7D04">
      <w:pPr>
        <w:tabs>
          <w:tab w:val="left" w:pos="2445"/>
        </w:tabs>
        <w:spacing w:line="360" w:lineRule="auto"/>
        <w:jc w:val="center"/>
        <w:rPr>
          <w:rFonts w:ascii="宋体" w:hAnsi="宋体"/>
          <w:sz w:val="24"/>
        </w:rPr>
      </w:pPr>
      <w:r w:rsidRPr="00E41976">
        <w:rPr>
          <w:rFonts w:ascii="宋体" w:hAnsi="宋体" w:hint="eastAsia"/>
          <w:sz w:val="24"/>
        </w:rPr>
        <w:t>表1、基于单细胞拉曼光谱的8种</w:t>
      </w:r>
      <w:proofErr w:type="gramStart"/>
      <w:r w:rsidRPr="00E41976">
        <w:rPr>
          <w:rFonts w:ascii="宋体" w:hAnsi="宋体" w:hint="eastAsia"/>
          <w:sz w:val="24"/>
        </w:rPr>
        <w:t>待评价</w:t>
      </w:r>
      <w:proofErr w:type="gramEnd"/>
      <w:r w:rsidRPr="00E41976">
        <w:rPr>
          <w:rFonts w:ascii="宋体" w:hAnsi="宋体" w:hint="eastAsia"/>
          <w:sz w:val="24"/>
        </w:rPr>
        <w:t>酵母菌株与对照组酵母菌株的相似性分析结果</w:t>
      </w:r>
    </w:p>
    <w:p w:rsidR="00EA7D04" w:rsidRDefault="00EA7D04" w:rsidP="00F561F5">
      <w:pPr>
        <w:tabs>
          <w:tab w:val="left" w:pos="2445"/>
        </w:tabs>
        <w:spacing w:line="360" w:lineRule="auto"/>
        <w:jc w:val="center"/>
        <w:rPr>
          <w:rFonts w:ascii="宋体" w:hAnsi="宋体"/>
          <w:sz w:val="24"/>
        </w:rPr>
      </w:pPr>
      <w:r>
        <w:rPr>
          <w:rFonts w:ascii="宋体" w:hAnsi="宋体"/>
          <w:noProof/>
          <w:sz w:val="24"/>
        </w:rPr>
        <w:lastRenderedPageBreak/>
        <w:drawing>
          <wp:inline distT="0" distB="0" distL="0" distR="0">
            <wp:extent cx="2837423" cy="2680792"/>
            <wp:effectExtent l="0" t="0" r="1270" b="5715"/>
            <wp:docPr id="17" name="图片 17" descr="C:\Users\Administrator\AppData\Roaming\Tencent\Users\1620807298\QQ\WinTemp\RichOle\U90]DV%(MM(YX5XN}B4]Y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620807298\QQ\WinTemp\RichOle\U90]DV%(MM(YX5XN}B4]Y2B.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7423" cy="2680792"/>
                    </a:xfrm>
                    <a:prstGeom prst="rect">
                      <a:avLst/>
                    </a:prstGeom>
                    <a:noFill/>
                    <a:ln>
                      <a:noFill/>
                    </a:ln>
                  </pic:spPr>
                </pic:pic>
              </a:graphicData>
            </a:graphic>
          </wp:inline>
        </w:drawing>
      </w:r>
    </w:p>
    <w:p w:rsidR="00694EE6" w:rsidRPr="00694EE6" w:rsidRDefault="00EA7D04" w:rsidP="00EA7D04">
      <w:pPr>
        <w:spacing w:line="360" w:lineRule="auto"/>
        <w:ind w:firstLineChars="200" w:firstLine="480"/>
        <w:jc w:val="center"/>
        <w:rPr>
          <w:rFonts w:ascii="宋体" w:hAnsi="宋体"/>
          <w:sz w:val="24"/>
        </w:rPr>
      </w:pPr>
      <w:r>
        <w:rPr>
          <w:rFonts w:ascii="宋体" w:hAnsi="宋体" w:hint="eastAsia"/>
          <w:sz w:val="24"/>
        </w:rPr>
        <w:t>图2、8种</w:t>
      </w:r>
      <w:proofErr w:type="gramStart"/>
      <w:r w:rsidRPr="00906AA6">
        <w:rPr>
          <w:rFonts w:ascii="宋体" w:hAnsi="宋体" w:hint="eastAsia"/>
          <w:sz w:val="24"/>
          <w:szCs w:val="24"/>
        </w:rPr>
        <w:t>待评价</w:t>
      </w:r>
      <w:proofErr w:type="gramEnd"/>
      <w:r>
        <w:rPr>
          <w:rFonts w:ascii="宋体" w:hAnsi="宋体" w:hint="eastAsia"/>
          <w:sz w:val="24"/>
          <w:szCs w:val="24"/>
        </w:rPr>
        <w:t>酵母</w:t>
      </w:r>
      <w:r w:rsidRPr="00906AA6">
        <w:rPr>
          <w:rFonts w:ascii="宋体" w:hAnsi="宋体" w:hint="eastAsia"/>
          <w:sz w:val="24"/>
          <w:szCs w:val="24"/>
        </w:rPr>
        <w:t>菌株</w:t>
      </w:r>
      <w:r>
        <w:rPr>
          <w:rFonts w:ascii="宋体" w:hAnsi="宋体" w:hint="eastAsia"/>
          <w:sz w:val="24"/>
          <w:szCs w:val="24"/>
        </w:rPr>
        <w:t>和对照组酵母菌株</w:t>
      </w:r>
      <w:r>
        <w:rPr>
          <w:rFonts w:ascii="宋体" w:hAnsi="宋体" w:hint="eastAsia"/>
          <w:sz w:val="24"/>
        </w:rPr>
        <w:t>表型多样性判别分析</w:t>
      </w:r>
    </w:p>
    <w:p w:rsidR="00694EE6" w:rsidRPr="004C5DE5" w:rsidRDefault="00694EE6" w:rsidP="007D46D6">
      <w:pPr>
        <w:spacing w:beforeLines="50" w:line="360" w:lineRule="auto"/>
        <w:rPr>
          <w:rFonts w:ascii="黑体" w:eastAsia="黑体" w:hAnsi="金山简标宋"/>
          <w:b/>
          <w:sz w:val="24"/>
        </w:rPr>
      </w:pPr>
      <w:r>
        <w:rPr>
          <w:rFonts w:ascii="黑体" w:eastAsia="黑体" w:hAnsi="金山简标宋" w:hint="eastAsia"/>
          <w:b/>
          <w:sz w:val="24"/>
        </w:rPr>
        <w:t>七</w:t>
      </w:r>
      <w:r w:rsidRPr="004C5DE5">
        <w:rPr>
          <w:rFonts w:ascii="黑体" w:eastAsia="黑体" w:hAnsi="金山简标宋" w:hint="eastAsia"/>
          <w:b/>
          <w:sz w:val="24"/>
        </w:rPr>
        <w:t>、与有关的现行法律、法规和强制性国家标准的关系</w:t>
      </w:r>
    </w:p>
    <w:p w:rsidR="00694EE6" w:rsidRPr="004C5DE5" w:rsidRDefault="00694EE6" w:rsidP="00694EE6">
      <w:pPr>
        <w:spacing w:line="360" w:lineRule="auto"/>
        <w:ind w:firstLineChars="200" w:firstLine="480"/>
        <w:rPr>
          <w:rFonts w:ascii="宋体" w:hAnsi="宋体"/>
          <w:sz w:val="24"/>
        </w:rPr>
      </w:pPr>
      <w:r w:rsidRPr="004C5DE5">
        <w:rPr>
          <w:rFonts w:ascii="宋体" w:hAnsi="宋体" w:hint="eastAsia"/>
          <w:sz w:val="24"/>
        </w:rPr>
        <w:t>本标准符合国家现行法律、法规、规章和强制性国家标准的要求，本标准有助于《</w:t>
      </w:r>
      <w:r w:rsidR="00177F5B">
        <w:rPr>
          <w:rFonts w:ascii="宋体" w:hAnsi="宋体" w:hint="eastAsia"/>
          <w:sz w:val="24"/>
        </w:rPr>
        <w:t>发酵</w:t>
      </w:r>
      <w:r w:rsidR="00177F5B" w:rsidRPr="00DE7512">
        <w:rPr>
          <w:rFonts w:ascii="宋体" w:hAnsi="宋体" w:hint="eastAsia"/>
          <w:sz w:val="24"/>
          <w:szCs w:val="24"/>
        </w:rPr>
        <w:t>产品质量</w:t>
      </w:r>
      <w:r w:rsidR="00177F5B">
        <w:rPr>
          <w:rFonts w:ascii="宋体" w:hAnsi="宋体" w:hint="eastAsia"/>
          <w:sz w:val="24"/>
          <w:szCs w:val="24"/>
        </w:rPr>
        <w:t>控制</w:t>
      </w:r>
      <w:r w:rsidRPr="004C5DE5">
        <w:rPr>
          <w:rFonts w:ascii="宋体" w:hAnsi="宋体" w:hint="eastAsia"/>
          <w:sz w:val="24"/>
        </w:rPr>
        <w:t>》等相关法律、法规、规章和强制性国家标准的实施。本标准的实施不涉及对现行标准的废止情况。</w:t>
      </w:r>
    </w:p>
    <w:p w:rsidR="00694EE6" w:rsidRDefault="00694EE6" w:rsidP="007D46D6">
      <w:pPr>
        <w:spacing w:beforeLines="50" w:line="360" w:lineRule="auto"/>
        <w:rPr>
          <w:rFonts w:ascii="黑体" w:eastAsia="黑体" w:hAnsi="金山简标宋"/>
          <w:b/>
          <w:sz w:val="24"/>
        </w:rPr>
      </w:pPr>
      <w:r>
        <w:rPr>
          <w:rFonts w:ascii="黑体" w:eastAsia="黑体" w:hAnsi="金山简标宋" w:hint="eastAsia"/>
          <w:b/>
          <w:sz w:val="24"/>
        </w:rPr>
        <w:t>八、标准属性的建议</w:t>
      </w:r>
    </w:p>
    <w:p w:rsidR="00694EE6" w:rsidRDefault="00694EE6" w:rsidP="00694EE6">
      <w:pPr>
        <w:pStyle w:val="a5"/>
        <w:widowControl w:val="0"/>
        <w:spacing w:before="0" w:beforeAutospacing="0" w:after="0" w:afterAutospacing="0" w:line="520" w:lineRule="exact"/>
        <w:ind w:firstLineChars="200" w:firstLine="480"/>
        <w:rPr>
          <w:sz w:val="24"/>
          <w:szCs w:val="24"/>
        </w:rPr>
      </w:pPr>
      <w:r>
        <w:rPr>
          <w:rFonts w:hAnsi="金山简标宋" w:hint="eastAsia"/>
          <w:sz w:val="24"/>
          <w:szCs w:val="24"/>
        </w:rPr>
        <w:t>本标准属于基础管理标准，</w:t>
      </w:r>
      <w:r>
        <w:rPr>
          <w:rFonts w:hint="eastAsia"/>
          <w:sz w:val="24"/>
          <w:szCs w:val="24"/>
        </w:rPr>
        <w:t>建议作为推荐性标准批准发布。</w:t>
      </w:r>
    </w:p>
    <w:p w:rsidR="00694EE6" w:rsidRPr="004C5DE5" w:rsidRDefault="00694EE6" w:rsidP="007D46D6">
      <w:pPr>
        <w:spacing w:beforeLines="50" w:line="360" w:lineRule="auto"/>
        <w:rPr>
          <w:rFonts w:ascii="黑体" w:eastAsia="黑体" w:hAnsi="金山简标宋"/>
          <w:b/>
          <w:sz w:val="24"/>
        </w:rPr>
      </w:pPr>
      <w:r>
        <w:rPr>
          <w:rFonts w:ascii="黑体" w:eastAsia="黑体" w:hAnsi="金山简标宋" w:hint="eastAsia"/>
          <w:b/>
          <w:sz w:val="24"/>
        </w:rPr>
        <w:t>九</w:t>
      </w:r>
      <w:r w:rsidRPr="004C5DE5">
        <w:rPr>
          <w:rFonts w:ascii="黑体" w:eastAsia="黑体" w:hAnsi="金山简标宋" w:hint="eastAsia"/>
          <w:b/>
          <w:sz w:val="24"/>
        </w:rPr>
        <w:t>、贯彻国家标准的要求和措施建议</w:t>
      </w:r>
    </w:p>
    <w:p w:rsidR="00D47FE8" w:rsidRPr="00694EE6" w:rsidRDefault="00203567" w:rsidP="00F561F5">
      <w:pPr>
        <w:pStyle w:val="a5"/>
        <w:widowControl w:val="0"/>
        <w:spacing w:before="0" w:beforeAutospacing="0" w:after="0" w:afterAutospacing="0" w:line="520" w:lineRule="exact"/>
        <w:ind w:firstLineChars="200" w:firstLine="480"/>
      </w:pPr>
      <w:r>
        <w:rPr>
          <w:sz w:val="24"/>
          <w:szCs w:val="24"/>
        </w:rPr>
        <w:t>选择发酵行业龙头企业进行推行</w:t>
      </w:r>
      <w:r>
        <w:rPr>
          <w:rFonts w:hint="eastAsia"/>
          <w:sz w:val="24"/>
          <w:szCs w:val="24"/>
        </w:rPr>
        <w:t>，</w:t>
      </w:r>
      <w:r>
        <w:rPr>
          <w:sz w:val="24"/>
          <w:szCs w:val="24"/>
        </w:rPr>
        <w:t>以技术创新型企业带动全行业发展</w:t>
      </w:r>
      <w:r>
        <w:rPr>
          <w:rFonts w:hint="eastAsia"/>
          <w:sz w:val="24"/>
          <w:szCs w:val="24"/>
        </w:rPr>
        <w:t>，</w:t>
      </w:r>
      <w:r>
        <w:rPr>
          <w:sz w:val="24"/>
          <w:szCs w:val="24"/>
        </w:rPr>
        <w:t>从而进行国标的贯彻与推广</w:t>
      </w:r>
      <w:r>
        <w:rPr>
          <w:rFonts w:hint="eastAsia"/>
          <w:sz w:val="24"/>
          <w:szCs w:val="24"/>
        </w:rPr>
        <w:t>。</w:t>
      </w:r>
    </w:p>
    <w:sectPr w:rsidR="00D47FE8" w:rsidRPr="00694EE6" w:rsidSect="00B118BF">
      <w:footerReference w:type="even" r:id="rId9"/>
      <w:footerReference w:type="default" r:id="rId10"/>
      <w:pgSz w:w="11906" w:h="16838"/>
      <w:pgMar w:top="1418" w:right="1134"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274" w:rsidRDefault="00170274">
      <w:r>
        <w:separator/>
      </w:r>
    </w:p>
  </w:endnote>
  <w:endnote w:type="continuationSeparator" w:id="0">
    <w:p w:rsidR="00170274" w:rsidRDefault="00170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金山简标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04" w:rsidRDefault="00B118BF">
    <w:pPr>
      <w:pStyle w:val="a4"/>
      <w:framePr w:wrap="around" w:vAnchor="text" w:hAnchor="margin" w:xAlign="center" w:y="1"/>
      <w:rPr>
        <w:rStyle w:val="a3"/>
      </w:rPr>
    </w:pPr>
    <w:r>
      <w:fldChar w:fldCharType="begin"/>
    </w:r>
    <w:r w:rsidR="00EA7D04">
      <w:rPr>
        <w:rStyle w:val="a3"/>
      </w:rPr>
      <w:instrText xml:space="preserve">PAGE  </w:instrText>
    </w:r>
    <w:r>
      <w:fldChar w:fldCharType="separate"/>
    </w:r>
    <w:r w:rsidR="00EA7D04">
      <w:rPr>
        <w:rStyle w:val="a3"/>
      </w:rPr>
      <w:t>1</w:t>
    </w:r>
    <w:r>
      <w:fldChar w:fldCharType="end"/>
    </w:r>
  </w:p>
  <w:p w:rsidR="00EA7D04" w:rsidRDefault="00EA7D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04" w:rsidRDefault="00B118BF">
    <w:pPr>
      <w:pStyle w:val="a4"/>
      <w:framePr w:wrap="around" w:vAnchor="text" w:hAnchor="margin" w:xAlign="center" w:y="1"/>
      <w:rPr>
        <w:rStyle w:val="a3"/>
      </w:rPr>
    </w:pPr>
    <w:r>
      <w:fldChar w:fldCharType="begin"/>
    </w:r>
    <w:r w:rsidR="00EA7D04">
      <w:rPr>
        <w:rStyle w:val="a3"/>
      </w:rPr>
      <w:instrText xml:space="preserve">PAGE  </w:instrText>
    </w:r>
    <w:r>
      <w:fldChar w:fldCharType="separate"/>
    </w:r>
    <w:r w:rsidR="007D46D6">
      <w:rPr>
        <w:rStyle w:val="a3"/>
        <w:noProof/>
      </w:rPr>
      <w:t>1</w:t>
    </w:r>
    <w:r>
      <w:fldChar w:fldCharType="end"/>
    </w:r>
  </w:p>
  <w:p w:rsidR="00EA7D04" w:rsidRDefault="00EA7D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274" w:rsidRDefault="00170274">
      <w:r>
        <w:separator/>
      </w:r>
    </w:p>
  </w:footnote>
  <w:footnote w:type="continuationSeparator" w:id="0">
    <w:p w:rsidR="00170274" w:rsidRDefault="00170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012"/>
    <w:multiLevelType w:val="hybridMultilevel"/>
    <w:tmpl w:val="72ACC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5F54DE"/>
    <w:multiLevelType w:val="hybridMultilevel"/>
    <w:tmpl w:val="E4BA548A"/>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9E6968"/>
    <w:multiLevelType w:val="hybridMultilevel"/>
    <w:tmpl w:val="227089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B756CB"/>
    <w:multiLevelType w:val="hybridMultilevel"/>
    <w:tmpl w:val="E9E81CE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707AD1"/>
    <w:multiLevelType w:val="hybridMultilevel"/>
    <w:tmpl w:val="7E3E8518"/>
    <w:lvl w:ilvl="0" w:tplc="1B5884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5BC3CFF"/>
    <w:multiLevelType w:val="hybridMultilevel"/>
    <w:tmpl w:val="7ED634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5018DA"/>
    <w:multiLevelType w:val="hybridMultilevel"/>
    <w:tmpl w:val="0DB2AAAE"/>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2F4296"/>
    <w:multiLevelType w:val="multilevel"/>
    <w:tmpl w:val="492F429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63EB6EC5"/>
    <w:multiLevelType w:val="hybridMultilevel"/>
    <w:tmpl w:val="B42A324E"/>
    <w:lvl w:ilvl="0" w:tplc="F87652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749310D"/>
    <w:multiLevelType w:val="hybridMultilevel"/>
    <w:tmpl w:val="0E66E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8"/>
  </w:num>
  <w:num w:numId="4">
    <w:abstractNumId w:val="2"/>
  </w:num>
  <w:num w:numId="5">
    <w:abstractNumId w:val="9"/>
  </w:num>
  <w:num w:numId="6">
    <w:abstractNumId w:val="6"/>
  </w:num>
  <w:num w:numId="7">
    <w:abstractNumId w:val="3"/>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EE6"/>
    <w:rsid w:val="00073468"/>
    <w:rsid w:val="000A6C0C"/>
    <w:rsid w:val="000D4192"/>
    <w:rsid w:val="00154432"/>
    <w:rsid w:val="00161737"/>
    <w:rsid w:val="00165AC8"/>
    <w:rsid w:val="00170274"/>
    <w:rsid w:val="0017605A"/>
    <w:rsid w:val="00177F5B"/>
    <w:rsid w:val="001B2B8C"/>
    <w:rsid w:val="001E391A"/>
    <w:rsid w:val="00203567"/>
    <w:rsid w:val="00214714"/>
    <w:rsid w:val="00226EB3"/>
    <w:rsid w:val="00295C5E"/>
    <w:rsid w:val="002C1679"/>
    <w:rsid w:val="003D0199"/>
    <w:rsid w:val="004A4E91"/>
    <w:rsid w:val="004B4AC5"/>
    <w:rsid w:val="004D1862"/>
    <w:rsid w:val="004D19F3"/>
    <w:rsid w:val="00583C88"/>
    <w:rsid w:val="005A7A6C"/>
    <w:rsid w:val="005C333F"/>
    <w:rsid w:val="005E3043"/>
    <w:rsid w:val="005F4C58"/>
    <w:rsid w:val="00616DDF"/>
    <w:rsid w:val="006228AB"/>
    <w:rsid w:val="0063763E"/>
    <w:rsid w:val="00646C15"/>
    <w:rsid w:val="00666FD0"/>
    <w:rsid w:val="00694EE6"/>
    <w:rsid w:val="006A2383"/>
    <w:rsid w:val="006B0840"/>
    <w:rsid w:val="006C3FE0"/>
    <w:rsid w:val="00703DBC"/>
    <w:rsid w:val="007331E8"/>
    <w:rsid w:val="0073456A"/>
    <w:rsid w:val="00752642"/>
    <w:rsid w:val="007D46D6"/>
    <w:rsid w:val="007D7BD9"/>
    <w:rsid w:val="00812328"/>
    <w:rsid w:val="008F1F2C"/>
    <w:rsid w:val="00906AA6"/>
    <w:rsid w:val="00991CC6"/>
    <w:rsid w:val="009A0D95"/>
    <w:rsid w:val="009A2038"/>
    <w:rsid w:val="009B1439"/>
    <w:rsid w:val="00A43596"/>
    <w:rsid w:val="00A77288"/>
    <w:rsid w:val="00A8639E"/>
    <w:rsid w:val="00AA6C23"/>
    <w:rsid w:val="00B118BF"/>
    <w:rsid w:val="00B30AC0"/>
    <w:rsid w:val="00B55A55"/>
    <w:rsid w:val="00C2172C"/>
    <w:rsid w:val="00C86841"/>
    <w:rsid w:val="00CF3FD0"/>
    <w:rsid w:val="00D47FE8"/>
    <w:rsid w:val="00DE7512"/>
    <w:rsid w:val="00DF49ED"/>
    <w:rsid w:val="00E31B79"/>
    <w:rsid w:val="00E36862"/>
    <w:rsid w:val="00E47ED7"/>
    <w:rsid w:val="00E83DC5"/>
    <w:rsid w:val="00E90873"/>
    <w:rsid w:val="00E92B21"/>
    <w:rsid w:val="00EA7D04"/>
    <w:rsid w:val="00EF3C92"/>
    <w:rsid w:val="00EF46BA"/>
    <w:rsid w:val="00F561F5"/>
    <w:rsid w:val="00FD34F8"/>
    <w:rsid w:val="00FD6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8123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12328"/>
    <w:rPr>
      <w:rFonts w:ascii="Times New Roman" w:eastAsia="宋体" w:hAnsi="Times New Roman" w:cs="Times New Roman"/>
      <w:sz w:val="18"/>
      <w:szCs w:val="18"/>
    </w:rPr>
  </w:style>
  <w:style w:type="paragraph" w:styleId="a7">
    <w:name w:val="Balloon Text"/>
    <w:basedOn w:val="a"/>
    <w:link w:val="Char1"/>
    <w:uiPriority w:val="99"/>
    <w:semiHidden/>
    <w:unhideWhenUsed/>
    <w:rsid w:val="00906AA6"/>
    <w:rPr>
      <w:sz w:val="18"/>
      <w:szCs w:val="18"/>
    </w:rPr>
  </w:style>
  <w:style w:type="character" w:customStyle="1" w:styleId="Char1">
    <w:name w:val="批注框文本 Char"/>
    <w:basedOn w:val="a0"/>
    <w:link w:val="a7"/>
    <w:uiPriority w:val="99"/>
    <w:semiHidden/>
    <w:rsid w:val="00906AA6"/>
    <w:rPr>
      <w:rFonts w:ascii="Times New Roman" w:eastAsia="宋体" w:hAnsi="Times New Roman" w:cs="Times New Roman"/>
      <w:sz w:val="18"/>
      <w:szCs w:val="18"/>
    </w:rPr>
  </w:style>
  <w:style w:type="paragraph" w:customStyle="1" w:styleId="a8">
    <w:name w:val="段"/>
    <w:rsid w:val="005A7A6C"/>
    <w:pPr>
      <w:autoSpaceDE w:val="0"/>
      <w:autoSpaceDN w:val="0"/>
      <w:ind w:firstLineChars="200" w:firstLine="200"/>
      <w:jc w:val="both"/>
    </w:pPr>
    <w:rPr>
      <w:rFonts w:ascii="宋体" w:eastAsia="宋体" w:hAnsi="Times New Roman" w:cs="Times New Roman"/>
      <w:noProof/>
      <w:kern w:val="0"/>
      <w:szCs w:val="20"/>
    </w:rPr>
  </w:style>
  <w:style w:type="paragraph" w:styleId="a9">
    <w:name w:val="List Paragraph"/>
    <w:basedOn w:val="a"/>
    <w:uiPriority w:val="34"/>
    <w:qFormat/>
    <w:rsid w:val="00165AC8"/>
    <w:pPr>
      <w:ind w:firstLineChars="200" w:firstLine="420"/>
    </w:pPr>
  </w:style>
  <w:style w:type="character" w:customStyle="1" w:styleId="apple-converted-space">
    <w:name w:val="apple-converted-space"/>
    <w:basedOn w:val="a0"/>
    <w:rsid w:val="002C1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8123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12328"/>
    <w:rPr>
      <w:rFonts w:ascii="Times New Roman" w:eastAsia="宋体" w:hAnsi="Times New Roman" w:cs="Times New Roman"/>
      <w:sz w:val="18"/>
      <w:szCs w:val="18"/>
    </w:rPr>
  </w:style>
  <w:style w:type="paragraph" w:styleId="a7">
    <w:name w:val="Balloon Text"/>
    <w:basedOn w:val="a"/>
    <w:link w:val="Char1"/>
    <w:uiPriority w:val="99"/>
    <w:semiHidden/>
    <w:unhideWhenUsed/>
    <w:rsid w:val="00906AA6"/>
    <w:rPr>
      <w:sz w:val="18"/>
      <w:szCs w:val="18"/>
    </w:rPr>
  </w:style>
  <w:style w:type="character" w:customStyle="1" w:styleId="Char1">
    <w:name w:val="批注框文本 Char"/>
    <w:basedOn w:val="a0"/>
    <w:link w:val="a7"/>
    <w:uiPriority w:val="99"/>
    <w:semiHidden/>
    <w:rsid w:val="00906AA6"/>
    <w:rPr>
      <w:rFonts w:ascii="Times New Roman" w:eastAsia="宋体" w:hAnsi="Times New Roman" w:cs="Times New Roman"/>
      <w:sz w:val="18"/>
      <w:szCs w:val="18"/>
    </w:rPr>
  </w:style>
  <w:style w:type="paragraph" w:customStyle="1" w:styleId="a8">
    <w:name w:val="段"/>
    <w:rsid w:val="005A7A6C"/>
    <w:pPr>
      <w:autoSpaceDE w:val="0"/>
      <w:autoSpaceDN w:val="0"/>
      <w:ind w:firstLineChars="200" w:firstLine="200"/>
      <w:jc w:val="both"/>
    </w:pPr>
    <w:rPr>
      <w:rFonts w:ascii="宋体" w:eastAsia="宋体" w:hAnsi="Times New Roman" w:cs="Times New Roman"/>
      <w:noProof/>
      <w:kern w:val="0"/>
      <w:szCs w:val="20"/>
    </w:rPr>
  </w:style>
  <w:style w:type="paragraph" w:styleId="a9">
    <w:name w:val="List Paragraph"/>
    <w:basedOn w:val="a"/>
    <w:uiPriority w:val="34"/>
    <w:qFormat/>
    <w:rsid w:val="00165AC8"/>
    <w:pPr>
      <w:ind w:firstLineChars="200" w:firstLine="420"/>
    </w:pPr>
  </w:style>
  <w:style w:type="character" w:customStyle="1" w:styleId="apple-converted-space">
    <w:name w:val="apple-converted-space"/>
    <w:basedOn w:val="a0"/>
    <w:rsid w:val="002C16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TotalTime>
  <Pages>5</Pages>
  <Words>513</Words>
  <Characters>2925</Characters>
  <Application>Microsoft Office Word</Application>
  <DocSecurity>0</DocSecurity>
  <Lines>24</Lines>
  <Paragraphs>6</Paragraphs>
  <ScaleCrop>false</ScaleCrop>
  <Company>Microsoft</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马爱进</dc:creator>
  <cp:lastModifiedBy>马爱进</cp:lastModifiedBy>
  <cp:revision>38</cp:revision>
  <dcterms:created xsi:type="dcterms:W3CDTF">2019-02-25T09:11:00Z</dcterms:created>
  <dcterms:modified xsi:type="dcterms:W3CDTF">2019-03-08T08:41:00Z</dcterms:modified>
</cp:coreProperties>
</file>