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E6" w:rsidRDefault="00694EE6" w:rsidP="004E4345">
      <w:pPr>
        <w:spacing w:line="360" w:lineRule="auto"/>
        <w:jc w:val="center"/>
        <w:rPr>
          <w:rFonts w:ascii="黑体" w:eastAsia="黑体" w:hAnsi="金山简标宋"/>
          <w:b/>
          <w:sz w:val="30"/>
        </w:rPr>
      </w:pPr>
      <w:r>
        <w:rPr>
          <w:rFonts w:ascii="黑体" w:eastAsia="黑体" w:hAnsi="金山简标宋" w:hint="eastAsia"/>
          <w:b/>
          <w:sz w:val="30"/>
        </w:rPr>
        <w:t>《</w:t>
      </w:r>
      <w:r w:rsidR="00240860" w:rsidRPr="00240860">
        <w:rPr>
          <w:rFonts w:ascii="黑体" w:eastAsia="黑体" w:hAnsi="金山简标宋" w:hint="eastAsia"/>
          <w:b/>
          <w:sz w:val="30"/>
        </w:rPr>
        <w:t>β-内酰胺类抗生素高分子聚合物测定-凝胶色谱法</w:t>
      </w:r>
      <w:r>
        <w:rPr>
          <w:rFonts w:ascii="黑体" w:eastAsia="黑体" w:hAnsi="金山简标宋" w:hint="eastAsia"/>
          <w:b/>
          <w:sz w:val="30"/>
        </w:rPr>
        <w:t>》国家标准</w:t>
      </w:r>
    </w:p>
    <w:p w:rsidR="00694EE6" w:rsidRDefault="00694EE6" w:rsidP="004E4345">
      <w:pPr>
        <w:spacing w:line="360" w:lineRule="auto"/>
        <w:jc w:val="center"/>
        <w:rPr>
          <w:rFonts w:ascii="宋体" w:hAnsi="金山简标宋"/>
          <w:b/>
          <w:sz w:val="36"/>
        </w:rPr>
      </w:pPr>
      <w:bookmarkStart w:id="0" w:name="OLE_LINK1"/>
      <w:bookmarkStart w:id="1" w:name="OLE_LINK2"/>
      <w:bookmarkStart w:id="2" w:name="OLE_LINK3"/>
      <w:r>
        <w:rPr>
          <w:rFonts w:ascii="宋体" w:hAnsi="金山简标宋" w:hint="eastAsia"/>
          <w:b/>
          <w:sz w:val="36"/>
        </w:rPr>
        <w:t>编 制 说 明</w:t>
      </w:r>
    </w:p>
    <w:bookmarkEnd w:id="0"/>
    <w:bookmarkEnd w:id="1"/>
    <w:bookmarkEnd w:id="2"/>
    <w:p w:rsidR="00694EE6" w:rsidRDefault="00694EE6" w:rsidP="004E4345">
      <w:pPr>
        <w:spacing w:line="360" w:lineRule="auto"/>
        <w:jc w:val="center"/>
        <w:rPr>
          <w:rFonts w:ascii="宋体" w:hAnsi="金山简标宋"/>
          <w:b/>
          <w:sz w:val="24"/>
        </w:rPr>
      </w:pPr>
      <w:r>
        <w:rPr>
          <w:rFonts w:ascii="宋体" w:hAnsi="金山简标宋" w:hint="eastAsia"/>
          <w:bCs/>
          <w:sz w:val="24"/>
        </w:rPr>
        <w:t>（征求意见稿）</w:t>
      </w:r>
    </w:p>
    <w:p w:rsidR="00694EE6" w:rsidRDefault="00694EE6" w:rsidP="004E4345">
      <w:pPr>
        <w:spacing w:line="360" w:lineRule="auto"/>
        <w:rPr>
          <w:rFonts w:ascii="宋体" w:hAnsi="金山简标宋"/>
          <w:b/>
          <w:sz w:val="24"/>
        </w:rPr>
      </w:pPr>
    </w:p>
    <w:p w:rsidR="00694EE6" w:rsidRDefault="00694EE6" w:rsidP="004E4345">
      <w:pPr>
        <w:spacing w:line="360" w:lineRule="auto"/>
        <w:rPr>
          <w:rFonts w:ascii="宋体" w:hAnsi="宋体"/>
          <w:sz w:val="24"/>
        </w:rPr>
      </w:pPr>
      <w:r>
        <w:rPr>
          <w:rFonts w:ascii="黑体" w:eastAsia="黑体" w:hAnsi="金山简标宋" w:hint="eastAsia"/>
          <w:sz w:val="24"/>
        </w:rPr>
        <w:t>一、任务来源</w:t>
      </w:r>
    </w:p>
    <w:p w:rsidR="00694EE6" w:rsidRPr="000405B7" w:rsidRDefault="00694EE6" w:rsidP="004E4345">
      <w:pPr>
        <w:spacing w:beforeLines="50" w:before="156" w:line="360" w:lineRule="auto"/>
        <w:ind w:firstLineChars="200" w:firstLine="480"/>
        <w:rPr>
          <w:rFonts w:ascii="宋体" w:hAnsi="宋体"/>
          <w:sz w:val="24"/>
        </w:rPr>
      </w:pPr>
      <w:r>
        <w:rPr>
          <w:rFonts w:ascii="宋体" w:hAnsi="宋体" w:hint="eastAsia"/>
          <w:sz w:val="24"/>
        </w:rPr>
        <w:t>本国家标准的制定任务列入国家标准化管理委员会</w:t>
      </w:r>
      <w:r w:rsidR="00683292">
        <w:rPr>
          <w:rFonts w:ascii="宋体" w:hAnsi="宋体" w:hint="eastAsia"/>
          <w:sz w:val="24"/>
        </w:rPr>
        <w:t>计划项目</w:t>
      </w:r>
      <w:r w:rsidR="00C5167E">
        <w:rPr>
          <w:rFonts w:ascii="宋体" w:hAnsi="宋体" w:hint="eastAsia"/>
          <w:sz w:val="24"/>
        </w:rPr>
        <w:t>，</w:t>
      </w:r>
      <w:r w:rsidR="004E4345">
        <w:rPr>
          <w:rFonts w:ascii="宋体" w:hAnsi="宋体" w:hint="eastAsia"/>
          <w:sz w:val="24"/>
        </w:rPr>
        <w:t>项目编号为</w:t>
      </w:r>
      <w:r w:rsidR="004E4345" w:rsidRPr="004E4345">
        <w:rPr>
          <w:rFonts w:ascii="宋体" w:hAnsi="宋体"/>
          <w:sz w:val="24"/>
        </w:rPr>
        <w:t>20180929-T-424</w:t>
      </w:r>
      <w:r>
        <w:rPr>
          <w:rFonts w:ascii="宋体" w:hAnsi="宋体" w:hint="eastAsia"/>
          <w:sz w:val="24"/>
        </w:rPr>
        <w:t>。本项任务由中国标准化研究院提出并归口，定于</w:t>
      </w:r>
      <w:r w:rsidR="005945E2">
        <w:rPr>
          <w:rFonts w:ascii="宋体" w:hAnsi="宋体" w:hint="eastAsia"/>
          <w:sz w:val="24"/>
        </w:rPr>
        <w:t>2019</w:t>
      </w:r>
      <w:r>
        <w:rPr>
          <w:rFonts w:ascii="宋体" w:hAnsi="宋体" w:hint="eastAsia"/>
          <w:sz w:val="24"/>
        </w:rPr>
        <w:t>年完成。</w:t>
      </w:r>
    </w:p>
    <w:p w:rsidR="00694EE6" w:rsidRDefault="00694EE6" w:rsidP="009065AB">
      <w:pPr>
        <w:spacing w:line="360" w:lineRule="auto"/>
        <w:rPr>
          <w:rFonts w:ascii="黑体" w:eastAsia="黑体" w:hAnsi="金山简标宋"/>
          <w:sz w:val="24"/>
        </w:rPr>
      </w:pPr>
      <w:r>
        <w:rPr>
          <w:rFonts w:ascii="黑体" w:eastAsia="黑体" w:hAnsi="金山简标宋" w:hint="eastAsia"/>
          <w:sz w:val="24"/>
        </w:rPr>
        <w:t>二、</w:t>
      </w:r>
      <w:r w:rsidR="003B163D">
        <w:rPr>
          <w:rFonts w:ascii="黑体" w:eastAsia="黑体" w:hAnsi="金山简标宋" w:hint="eastAsia"/>
          <w:sz w:val="24"/>
        </w:rPr>
        <w:t>背景、</w:t>
      </w:r>
      <w:r>
        <w:rPr>
          <w:rFonts w:ascii="黑体" w:eastAsia="黑体" w:hAnsi="金山简标宋" w:hint="eastAsia"/>
          <w:sz w:val="24"/>
        </w:rPr>
        <w:t>目的和意义</w:t>
      </w:r>
    </w:p>
    <w:p w:rsidR="00D23810" w:rsidRDefault="00D23810">
      <w:pPr>
        <w:spacing w:line="360" w:lineRule="auto"/>
        <w:ind w:firstLineChars="200" w:firstLine="480"/>
        <w:rPr>
          <w:rFonts w:ascii="宋体" w:hAnsi="宋体"/>
          <w:sz w:val="24"/>
        </w:rPr>
      </w:pPr>
      <w:r w:rsidRPr="00D23810">
        <w:rPr>
          <w:rFonts w:ascii="宋体" w:hAnsi="宋体" w:hint="eastAsia"/>
          <w:sz w:val="24"/>
        </w:rPr>
        <w:t>抗生素用量大，较易发生不良反应，其中，最常见的一类不良反应就是速发型过敏反应。多年来的研究已证明，抗生素本身并不引发过敏发应，引发抗生素速发型过敏反应的过敏原是抗生素中存在的高分子聚合物。因此，控制抗生素中高分子聚合物的含量具有重要意义，是抗生素质量控制的关键，是临床安全用药的保障。</w:t>
      </w:r>
    </w:p>
    <w:p w:rsidR="00D23810" w:rsidRPr="00D23810" w:rsidRDefault="00D23810">
      <w:pPr>
        <w:spacing w:line="360" w:lineRule="auto"/>
        <w:ind w:firstLineChars="200" w:firstLine="480"/>
        <w:rPr>
          <w:rFonts w:ascii="宋体" w:hAnsi="宋体"/>
          <w:sz w:val="24"/>
        </w:rPr>
      </w:pPr>
      <w:r w:rsidRPr="00D23810">
        <w:rPr>
          <w:rFonts w:ascii="宋体" w:hAnsi="宋体" w:hint="eastAsia"/>
          <w:sz w:val="24"/>
        </w:rPr>
        <w:t>研究已表明，引发抗生素速发型过敏反应的物质主要为抗生素中存在的高分子聚合物，这些高分子聚合物的相对分子质量一般在1000-5000，这些物质主要有两大类。一类是外源性杂质，主要是来源于发酵工艺，为蛋白、多肽、多糖等杂质，或抗生素与它们的结合物，如青霉素中的青霉噻唑蛋白、青霉噻唑多肽等。一类是内源性杂质，为抗生素的自身聚合产物，既可以来自生产过程，也可以在储存中形成，甚至在用药时也可以产生。随着生产工艺的不断改进和提高，目前抗生素产品中的外源性杂质已很少产生，因此，对内源性聚合物的控制是当前抗生素高分子聚合物杂质控制的重点。</w:t>
      </w:r>
    </w:p>
    <w:p w:rsidR="00D23810" w:rsidRPr="00D23810" w:rsidRDefault="00D23810">
      <w:pPr>
        <w:spacing w:line="360" w:lineRule="auto"/>
        <w:ind w:firstLineChars="200" w:firstLine="480"/>
        <w:rPr>
          <w:rFonts w:ascii="宋体" w:hAnsi="宋体"/>
          <w:sz w:val="24"/>
        </w:rPr>
      </w:pPr>
      <w:r w:rsidRPr="00D23810">
        <w:rPr>
          <w:rFonts w:ascii="宋体" w:hAnsi="宋体" w:hint="eastAsia"/>
          <w:sz w:val="24"/>
        </w:rPr>
        <w:t>鉴于抗生素中高分子聚合物控制的重要性，各国相关部门和一些企业都制定了相应标准对抗生素中的高分子聚合物进行控制。《英国药典》在各论中对阿莫西林、氨</w:t>
      </w:r>
      <w:proofErr w:type="gramStart"/>
      <w:r w:rsidRPr="00D23810">
        <w:rPr>
          <w:rFonts w:ascii="宋体" w:hAnsi="宋体" w:hint="eastAsia"/>
          <w:sz w:val="24"/>
        </w:rPr>
        <w:t>苄</w:t>
      </w:r>
      <w:proofErr w:type="gramEnd"/>
      <w:r w:rsidRPr="00D23810">
        <w:rPr>
          <w:rFonts w:ascii="宋体" w:hAnsi="宋体" w:hint="eastAsia"/>
          <w:sz w:val="24"/>
        </w:rPr>
        <w:t>西林、头</w:t>
      </w:r>
      <w:proofErr w:type="gramStart"/>
      <w:r w:rsidRPr="00D23810">
        <w:rPr>
          <w:rFonts w:ascii="宋体" w:hAnsi="宋体" w:hint="eastAsia"/>
          <w:sz w:val="24"/>
        </w:rPr>
        <w:t>孢噻肟</w:t>
      </w:r>
      <w:proofErr w:type="gramEnd"/>
      <w:r w:rsidRPr="00D23810">
        <w:rPr>
          <w:rFonts w:ascii="宋体" w:hAnsi="宋体" w:hint="eastAsia"/>
          <w:sz w:val="24"/>
        </w:rPr>
        <w:t>钠等品种的高分子杂质进行控制，《美国药典》（USP）23版也就曾对头</w:t>
      </w:r>
      <w:proofErr w:type="gramStart"/>
      <w:r w:rsidRPr="00D23810">
        <w:rPr>
          <w:rFonts w:ascii="宋体" w:hAnsi="宋体" w:hint="eastAsia"/>
          <w:sz w:val="24"/>
        </w:rPr>
        <w:t>孢</w:t>
      </w:r>
      <w:proofErr w:type="gramEnd"/>
      <w:r w:rsidRPr="00D23810">
        <w:rPr>
          <w:rFonts w:ascii="宋体" w:hAnsi="宋体" w:hint="eastAsia"/>
          <w:sz w:val="24"/>
        </w:rPr>
        <w:t>他</w:t>
      </w:r>
      <w:proofErr w:type="gramStart"/>
      <w:r w:rsidRPr="00D23810">
        <w:rPr>
          <w:rFonts w:ascii="宋体" w:hAnsi="宋体" w:hint="eastAsia"/>
          <w:sz w:val="24"/>
        </w:rPr>
        <w:t>啶</w:t>
      </w:r>
      <w:proofErr w:type="gramEnd"/>
      <w:r w:rsidRPr="00D23810">
        <w:rPr>
          <w:rFonts w:ascii="宋体" w:hAnsi="宋体" w:hint="eastAsia"/>
          <w:sz w:val="24"/>
        </w:rPr>
        <w:t>中的高聚物进行控制，《中国药典》自2000版也开始对头</w:t>
      </w:r>
      <w:proofErr w:type="gramStart"/>
      <w:r w:rsidRPr="00D23810">
        <w:rPr>
          <w:rFonts w:ascii="宋体" w:hAnsi="宋体" w:hint="eastAsia"/>
          <w:sz w:val="24"/>
        </w:rPr>
        <w:t>孢</w:t>
      </w:r>
      <w:proofErr w:type="gramEnd"/>
      <w:r w:rsidRPr="00D23810">
        <w:rPr>
          <w:rFonts w:ascii="宋体" w:hAnsi="宋体" w:hint="eastAsia"/>
          <w:sz w:val="24"/>
        </w:rPr>
        <w:t>他</w:t>
      </w:r>
      <w:proofErr w:type="gramStart"/>
      <w:r w:rsidRPr="00D23810">
        <w:rPr>
          <w:rFonts w:ascii="宋体" w:hAnsi="宋体" w:hint="eastAsia"/>
          <w:sz w:val="24"/>
        </w:rPr>
        <w:t>啶</w:t>
      </w:r>
      <w:proofErr w:type="gramEnd"/>
      <w:r w:rsidRPr="00D23810">
        <w:rPr>
          <w:rFonts w:ascii="宋体" w:hAnsi="宋体" w:hint="eastAsia"/>
          <w:sz w:val="24"/>
        </w:rPr>
        <w:t>等高分子杂质进行控制，一些国外生产企业对其产品中的高分子杂质也有内控标准或企业标准，如意大利</w:t>
      </w:r>
      <w:proofErr w:type="spellStart"/>
      <w:r w:rsidRPr="00D23810">
        <w:rPr>
          <w:rFonts w:ascii="宋体" w:hAnsi="宋体" w:hint="eastAsia"/>
          <w:sz w:val="24"/>
        </w:rPr>
        <w:t>Scherins</w:t>
      </w:r>
      <w:proofErr w:type="spellEnd"/>
      <w:r w:rsidRPr="00D23810">
        <w:rPr>
          <w:rFonts w:ascii="宋体" w:hAnsi="宋体" w:hint="eastAsia"/>
          <w:sz w:val="24"/>
        </w:rPr>
        <w:t>药厂对其产品头</w:t>
      </w:r>
      <w:proofErr w:type="gramStart"/>
      <w:r w:rsidRPr="00D23810">
        <w:rPr>
          <w:rFonts w:ascii="宋体" w:hAnsi="宋体" w:hint="eastAsia"/>
          <w:sz w:val="24"/>
        </w:rPr>
        <w:t>孢布烯中相关</w:t>
      </w:r>
      <w:proofErr w:type="gramEnd"/>
      <w:r w:rsidRPr="00D23810">
        <w:rPr>
          <w:rFonts w:ascii="宋体" w:hAnsi="宋体" w:hint="eastAsia"/>
          <w:sz w:val="24"/>
        </w:rPr>
        <w:t>物质的控制。并且，由于温度等条件影响抗生素中高分子聚合物的生成，各国药典都提出冷处保存的规定，同时在运输过程中也有一定的运输条件，以防止高分子聚合物的产生。甚至，在使用过程中，针对一些抗生素也有特殊的规定，如阿莫西林干糖浆只能用&lt;60℃的水冲服，如果用100℃的水冲服，其高分子聚合物的含量增加一倍。</w:t>
      </w:r>
    </w:p>
    <w:p w:rsidR="00D23810" w:rsidRPr="00D23810" w:rsidRDefault="00D23810">
      <w:pPr>
        <w:spacing w:line="360" w:lineRule="auto"/>
        <w:ind w:firstLineChars="200" w:firstLine="480"/>
        <w:rPr>
          <w:rFonts w:ascii="宋体" w:hAnsi="宋体"/>
          <w:sz w:val="24"/>
        </w:rPr>
      </w:pPr>
      <w:r w:rsidRPr="00D23810">
        <w:rPr>
          <w:rFonts w:ascii="宋体" w:hAnsi="宋体" w:hint="eastAsia"/>
          <w:sz w:val="24"/>
        </w:rPr>
        <w:lastRenderedPageBreak/>
        <w:t>目前抗生素中高分子聚合物的检测方法有高效凝胶色谱法、高效液相色谱法、</w:t>
      </w:r>
      <w:proofErr w:type="gramStart"/>
      <w:r w:rsidRPr="00D23810">
        <w:rPr>
          <w:rFonts w:ascii="宋体" w:hAnsi="宋体" w:hint="eastAsia"/>
          <w:sz w:val="24"/>
        </w:rPr>
        <w:t>液质联用法</w:t>
      </w:r>
      <w:proofErr w:type="gramEnd"/>
      <w:r w:rsidRPr="00D23810">
        <w:rPr>
          <w:rFonts w:ascii="宋体" w:hAnsi="宋体" w:hint="eastAsia"/>
          <w:sz w:val="24"/>
        </w:rPr>
        <w:t>、柱切换技术法、高效毛细管电泳法、离子交换色谱法等。《英国药典》中检测β-内酰胺类抗生素的检测方法为反相高效液相色谱法（RP-HPLC），使用的是C18柱等，用相对保留时间定位、主成分自身对照法测定二聚体和三聚体的含量。1995年，《美国药典》（USP）23版用外标法利用高效液相色谱对头</w:t>
      </w:r>
      <w:proofErr w:type="gramStart"/>
      <w:r w:rsidRPr="00D23810">
        <w:rPr>
          <w:rFonts w:ascii="宋体" w:hAnsi="宋体" w:hint="eastAsia"/>
          <w:sz w:val="24"/>
        </w:rPr>
        <w:t>孢</w:t>
      </w:r>
      <w:proofErr w:type="gramEnd"/>
      <w:r w:rsidRPr="00D23810">
        <w:rPr>
          <w:rFonts w:ascii="宋体" w:hAnsi="宋体" w:hint="eastAsia"/>
          <w:sz w:val="24"/>
        </w:rPr>
        <w:t>他</w:t>
      </w:r>
      <w:proofErr w:type="gramStart"/>
      <w:r w:rsidRPr="00D23810">
        <w:rPr>
          <w:rFonts w:ascii="宋体" w:hAnsi="宋体" w:hint="eastAsia"/>
          <w:sz w:val="24"/>
        </w:rPr>
        <w:t>啶</w:t>
      </w:r>
      <w:proofErr w:type="gramEnd"/>
      <w:r w:rsidRPr="00D23810">
        <w:rPr>
          <w:rFonts w:ascii="宋体" w:hAnsi="宋体" w:hint="eastAsia"/>
          <w:sz w:val="24"/>
        </w:rPr>
        <w:t>中的高聚物进行测定，但由于高聚物是一个聚合度不断变化的动态物质，无法制备出具有固定含量的对照品，因无法提供对照品而未执行，于1998年颁布的美国药典第23版第9增补本中宣布删除，且在USP24版中也未再提及。后来，我国</w:t>
      </w:r>
      <w:proofErr w:type="gramStart"/>
      <w:r w:rsidRPr="00D23810">
        <w:rPr>
          <w:rFonts w:ascii="宋体" w:hAnsi="宋体" w:hint="eastAsia"/>
          <w:sz w:val="24"/>
        </w:rPr>
        <w:t>金少鸿和</w:t>
      </w:r>
      <w:proofErr w:type="gramEnd"/>
      <w:r w:rsidRPr="00D23810">
        <w:rPr>
          <w:rFonts w:ascii="宋体" w:hAnsi="宋体" w:hint="eastAsia"/>
          <w:sz w:val="24"/>
        </w:rPr>
        <w:t>胡昌勤率先在国际上建立了自身对照外标法定量测定β-内酰胺类抗生素中高聚物的检测方法，采用的是葡聚糖凝胶G-10为填充剂的凝胶色谱法，此方法收载到中国药典2000版，并沿用至今，并被国内外β-内酰胺类抗生素生厂厂家广泛使用。然而，随着葡聚糖凝胶G-10色谱的广泛使用，也暴露了该方法的不少缺点，如柱效低、分离效果差、</w:t>
      </w:r>
      <w:proofErr w:type="gramStart"/>
      <w:r w:rsidRPr="00D23810">
        <w:rPr>
          <w:rFonts w:ascii="宋体" w:hAnsi="宋体" w:hint="eastAsia"/>
          <w:sz w:val="24"/>
        </w:rPr>
        <w:t>锋形拖</w:t>
      </w:r>
      <w:proofErr w:type="gramEnd"/>
      <w:r w:rsidRPr="00D23810">
        <w:rPr>
          <w:rFonts w:ascii="宋体" w:hAnsi="宋体" w:hint="eastAsia"/>
          <w:sz w:val="24"/>
        </w:rPr>
        <w:t>尾、分析时间长等。目前，关于抗生素中的高分子聚合物检测方法中，已有很多研究对凝胶色谱法进行了改进，其中使用高效凝胶色谱法，如采用</w:t>
      </w:r>
      <w:r>
        <w:rPr>
          <w:rFonts w:ascii="宋体" w:hAnsi="宋体" w:hint="eastAsia"/>
          <w:sz w:val="24"/>
        </w:rPr>
        <w:t>SEC-120或</w:t>
      </w:r>
      <w:r w:rsidRPr="00D23810">
        <w:rPr>
          <w:rFonts w:ascii="宋体" w:hAnsi="宋体" w:hint="eastAsia"/>
          <w:sz w:val="24"/>
        </w:rPr>
        <w:t>TSK-Gel高效色谱柱代替普通的G-10色谱柱检测抗生素的高聚物，结果是更为准确、灵敏，简便。采用</w:t>
      </w:r>
      <w:r>
        <w:rPr>
          <w:rFonts w:ascii="宋体" w:hAnsi="宋体" w:hint="eastAsia"/>
          <w:sz w:val="24"/>
        </w:rPr>
        <w:t>高效凝胶</w:t>
      </w:r>
      <w:r w:rsidRPr="00D23810">
        <w:rPr>
          <w:rFonts w:ascii="宋体" w:hAnsi="宋体" w:hint="eastAsia"/>
          <w:sz w:val="24"/>
        </w:rPr>
        <w:t>色谱柱法对抗生素的聚合物进行测定，</w:t>
      </w:r>
      <w:proofErr w:type="gramStart"/>
      <w:r w:rsidRPr="00D23810">
        <w:rPr>
          <w:rFonts w:ascii="宋体" w:hAnsi="宋体" w:hint="eastAsia"/>
          <w:sz w:val="24"/>
        </w:rPr>
        <w:t>色谱柱柱效高</w:t>
      </w:r>
      <w:proofErr w:type="gramEnd"/>
      <w:r w:rsidRPr="00D23810">
        <w:rPr>
          <w:rFonts w:ascii="宋体" w:hAnsi="宋体" w:hint="eastAsia"/>
          <w:sz w:val="24"/>
        </w:rPr>
        <w:t>，可达上万；主峰和聚合物峰峰型对称，分离效果好，可分离出几个聚合物峰，且聚合物峰与主峰能完全基线分离。</w:t>
      </w:r>
    </w:p>
    <w:p w:rsidR="00D23810" w:rsidRPr="00D23810" w:rsidRDefault="00D23810">
      <w:pPr>
        <w:spacing w:line="360" w:lineRule="auto"/>
        <w:ind w:firstLineChars="200" w:firstLine="480"/>
        <w:rPr>
          <w:rFonts w:ascii="宋体" w:hAnsi="宋体"/>
          <w:sz w:val="24"/>
        </w:rPr>
      </w:pPr>
      <w:r w:rsidRPr="00D23810">
        <w:rPr>
          <w:rFonts w:ascii="宋体" w:hAnsi="宋体" w:hint="eastAsia"/>
          <w:sz w:val="24"/>
        </w:rPr>
        <w:t>高分子聚合物在抗生素致速发型过敏反应起着关键作用，而目前公众对抗生素使用安全越来越重视，但现实是目前我国抗生素高分子聚合物检测标准中所依赖的检测技术相对落后 因此，我们有必要制定新的抗生素高分子聚合物检测技术标准，以监督和规范抗生素的生产和使用。</w:t>
      </w:r>
    </w:p>
    <w:p w:rsidR="00694EE6" w:rsidRDefault="00694EE6" w:rsidP="009065AB">
      <w:pPr>
        <w:spacing w:line="360" w:lineRule="auto"/>
        <w:rPr>
          <w:rFonts w:ascii="黑体" w:eastAsia="黑体" w:hAnsi="金山简标宋"/>
          <w:sz w:val="24"/>
        </w:rPr>
      </w:pPr>
      <w:r>
        <w:rPr>
          <w:rFonts w:ascii="黑体" w:eastAsia="黑体" w:hAnsi="金山简标宋" w:hint="eastAsia"/>
          <w:sz w:val="24"/>
        </w:rPr>
        <w:t>三、标准制定原则</w:t>
      </w:r>
    </w:p>
    <w:p w:rsidR="00694EE6" w:rsidRDefault="00C81F9C">
      <w:pPr>
        <w:spacing w:line="360" w:lineRule="auto"/>
        <w:ind w:firstLineChars="200" w:firstLine="480"/>
        <w:rPr>
          <w:rFonts w:ascii="宋体" w:hAnsi="宋体"/>
          <w:sz w:val="24"/>
          <w:szCs w:val="24"/>
        </w:rPr>
      </w:pPr>
      <w:r>
        <w:rPr>
          <w:rFonts w:ascii="宋体" w:hAnsi="宋体" w:hint="eastAsia"/>
          <w:sz w:val="24"/>
          <w:szCs w:val="24"/>
        </w:rPr>
        <w:t>严格按照</w:t>
      </w:r>
      <w:r w:rsidR="00694EE6">
        <w:rPr>
          <w:rFonts w:ascii="宋体" w:hAnsi="宋体" w:hint="eastAsia"/>
          <w:sz w:val="24"/>
          <w:szCs w:val="24"/>
        </w:rPr>
        <w:t>GB1.1-2009《标准化工作导则 第1</w:t>
      </w:r>
      <w:r>
        <w:rPr>
          <w:rFonts w:ascii="宋体" w:hAnsi="宋体" w:hint="eastAsia"/>
          <w:sz w:val="24"/>
          <w:szCs w:val="24"/>
        </w:rPr>
        <w:t>部分：标准的结构和编写规则》的要求，制定该项国家标准。</w:t>
      </w:r>
    </w:p>
    <w:p w:rsidR="005B0A34" w:rsidRPr="00694EE6" w:rsidRDefault="005B0A34" w:rsidP="005B0A34">
      <w:pPr>
        <w:spacing w:line="360" w:lineRule="auto"/>
        <w:rPr>
          <w:rFonts w:ascii="黑体" w:eastAsia="黑体" w:hAnsi="金山简标宋"/>
          <w:sz w:val="24"/>
        </w:rPr>
      </w:pPr>
      <w:r w:rsidRPr="00694EE6">
        <w:rPr>
          <w:rFonts w:ascii="黑体" w:eastAsia="黑体" w:hAnsi="金山简标宋" w:hint="eastAsia"/>
          <w:sz w:val="24"/>
        </w:rPr>
        <w:t>四</w:t>
      </w:r>
      <w:r>
        <w:rPr>
          <w:rFonts w:ascii="黑体" w:eastAsia="黑体" w:hAnsi="金山简标宋" w:hint="eastAsia"/>
          <w:sz w:val="24"/>
        </w:rPr>
        <w:t>、标准的内容框架</w:t>
      </w:r>
    </w:p>
    <w:p w:rsidR="005B0A34" w:rsidRDefault="005B0A34" w:rsidP="005B0A34">
      <w:pPr>
        <w:tabs>
          <w:tab w:val="left" w:pos="900"/>
        </w:tabs>
        <w:spacing w:line="360" w:lineRule="auto"/>
        <w:ind w:firstLineChars="200" w:firstLine="480"/>
        <w:rPr>
          <w:rFonts w:ascii="宋体" w:hAnsi="宋体"/>
          <w:sz w:val="24"/>
          <w:szCs w:val="24"/>
        </w:rPr>
      </w:pPr>
      <w:r>
        <w:rPr>
          <w:rFonts w:ascii="宋体" w:hAnsi="宋体" w:hint="eastAsia"/>
          <w:sz w:val="24"/>
          <w:szCs w:val="24"/>
        </w:rPr>
        <w:t>本标准主要内容包括范围、术语和定义、原理、</w:t>
      </w:r>
      <w:r w:rsidRPr="00141966">
        <w:rPr>
          <w:rFonts w:ascii="宋体" w:hAnsi="宋体" w:hint="eastAsia"/>
          <w:sz w:val="24"/>
          <w:szCs w:val="24"/>
        </w:rPr>
        <w:t>仪器设备、试剂与材料、操作步骤、结果分析、结果重复性要求。</w:t>
      </w:r>
    </w:p>
    <w:p w:rsidR="005B0A34" w:rsidRDefault="005B0A34" w:rsidP="005B0A34">
      <w:pPr>
        <w:spacing w:line="360" w:lineRule="auto"/>
        <w:rPr>
          <w:rFonts w:ascii="黑体" w:eastAsia="黑体" w:hAnsi="金山简标宋"/>
          <w:b/>
          <w:sz w:val="24"/>
        </w:rPr>
      </w:pPr>
      <w:r>
        <w:rPr>
          <w:rFonts w:ascii="黑体" w:eastAsia="黑体" w:hAnsi="金山简标宋" w:hint="eastAsia"/>
          <w:b/>
          <w:sz w:val="24"/>
        </w:rPr>
        <w:t>五、主要工作过程</w:t>
      </w:r>
    </w:p>
    <w:p w:rsidR="005B0A34" w:rsidRDefault="005B0A34" w:rsidP="005B0A34">
      <w:pPr>
        <w:spacing w:line="360" w:lineRule="auto"/>
        <w:ind w:firstLine="480"/>
        <w:rPr>
          <w:rFonts w:ascii="宋体" w:hAnsi="宋体"/>
          <w:sz w:val="24"/>
          <w:szCs w:val="24"/>
        </w:rPr>
      </w:pPr>
      <w:r>
        <w:rPr>
          <w:rFonts w:ascii="宋体" w:hAnsi="宋体" w:hint="eastAsia"/>
          <w:sz w:val="24"/>
          <w:szCs w:val="24"/>
        </w:rPr>
        <w:t>主要起草单位中国计量大学开展的主要工作过程如下：</w:t>
      </w:r>
    </w:p>
    <w:p w:rsidR="005B0A34" w:rsidRDefault="005B0A34" w:rsidP="005B0A34">
      <w:pPr>
        <w:spacing w:line="360" w:lineRule="auto"/>
        <w:ind w:firstLine="492"/>
        <w:rPr>
          <w:rFonts w:ascii="宋体" w:hAnsi="宋体"/>
          <w:sz w:val="24"/>
        </w:rPr>
      </w:pPr>
      <w:r>
        <w:rPr>
          <w:rFonts w:ascii="宋体" w:hAnsi="宋体" w:hint="eastAsia"/>
          <w:sz w:val="24"/>
          <w:szCs w:val="24"/>
        </w:rPr>
        <w:t>1.</w:t>
      </w:r>
      <w:r>
        <w:rPr>
          <w:rFonts w:ascii="宋体" w:hAnsi="宋体" w:hint="eastAsia"/>
          <w:sz w:val="24"/>
        </w:rPr>
        <w:t>2017年1月，组成了标准起草工作组，</w:t>
      </w:r>
      <w:r>
        <w:rPr>
          <w:rFonts w:ascii="宋体" w:hAnsi="宋体" w:hint="eastAsia"/>
          <w:bCs/>
          <w:sz w:val="24"/>
        </w:rPr>
        <w:t>安排了工作进度</w:t>
      </w:r>
      <w:r>
        <w:rPr>
          <w:rFonts w:ascii="宋体" w:hAnsi="宋体" w:hint="eastAsia"/>
          <w:sz w:val="24"/>
        </w:rPr>
        <w:t>。</w:t>
      </w:r>
    </w:p>
    <w:p w:rsidR="005B0A34" w:rsidRDefault="005B0A34" w:rsidP="005B0A34">
      <w:pPr>
        <w:spacing w:line="360" w:lineRule="auto"/>
        <w:ind w:firstLine="480"/>
        <w:rPr>
          <w:rFonts w:ascii="宋体" w:hAnsi="宋体"/>
          <w:sz w:val="24"/>
          <w:szCs w:val="24"/>
        </w:rPr>
      </w:pPr>
      <w:r>
        <w:rPr>
          <w:rFonts w:ascii="宋体" w:hAnsi="宋体" w:hint="eastAsia"/>
          <w:sz w:val="24"/>
          <w:szCs w:val="24"/>
        </w:rPr>
        <w:lastRenderedPageBreak/>
        <w:t>2.2017年1月至2017年3月，起</w:t>
      </w:r>
      <w:r w:rsidRPr="009F3CF7">
        <w:rPr>
          <w:rFonts w:ascii="宋体" w:hAnsi="宋体" w:hint="eastAsia"/>
          <w:sz w:val="24"/>
          <w:szCs w:val="24"/>
        </w:rPr>
        <w:t>草工作组查阅了国内和国外有关标准</w:t>
      </w:r>
      <w:r>
        <w:rPr>
          <w:rFonts w:ascii="宋体" w:hAnsi="宋体" w:hint="eastAsia"/>
          <w:sz w:val="24"/>
          <w:szCs w:val="24"/>
        </w:rPr>
        <w:t>中关于此类方法的规定，调研了国内外有关</w:t>
      </w:r>
      <w:r w:rsidR="00416DD0" w:rsidRPr="00910274">
        <w:rPr>
          <w:rFonts w:ascii="宋体" w:hAnsi="宋体" w:hint="eastAsia"/>
          <w:sz w:val="24"/>
          <w:szCs w:val="24"/>
        </w:rPr>
        <w:t>β-</w:t>
      </w:r>
      <w:r w:rsidR="00416DD0">
        <w:rPr>
          <w:rFonts w:ascii="宋体" w:hAnsi="宋体" w:hint="eastAsia"/>
          <w:sz w:val="24"/>
          <w:szCs w:val="24"/>
        </w:rPr>
        <w:t>内酰胺类抗生素中高分子聚合物检测技术</w:t>
      </w:r>
      <w:r>
        <w:rPr>
          <w:rFonts w:ascii="宋体" w:hAnsi="宋体" w:hint="eastAsia"/>
          <w:sz w:val="24"/>
          <w:szCs w:val="24"/>
        </w:rPr>
        <w:t>的情况，起草了标准讨论稿。</w:t>
      </w:r>
    </w:p>
    <w:p w:rsidR="005B0A34" w:rsidRDefault="005B0A34" w:rsidP="005B0A34">
      <w:pPr>
        <w:spacing w:line="360" w:lineRule="auto"/>
        <w:ind w:firstLine="480"/>
        <w:rPr>
          <w:rFonts w:ascii="宋体" w:hAnsi="宋体"/>
          <w:sz w:val="24"/>
          <w:szCs w:val="24"/>
        </w:rPr>
      </w:pPr>
      <w:r>
        <w:rPr>
          <w:rFonts w:ascii="宋体" w:hAnsi="宋体" w:hint="eastAsia"/>
          <w:sz w:val="24"/>
          <w:szCs w:val="24"/>
        </w:rPr>
        <w:t>3.2017年4月，标准起草工作组，对标准讨论稿进行了讨论，形成标准讨论稿第二稿。</w:t>
      </w:r>
    </w:p>
    <w:p w:rsidR="005B0A34" w:rsidRDefault="005B0A34" w:rsidP="005B0A34">
      <w:pPr>
        <w:spacing w:line="360" w:lineRule="auto"/>
        <w:ind w:firstLine="480"/>
        <w:rPr>
          <w:rFonts w:ascii="宋体" w:hAnsi="宋体"/>
          <w:sz w:val="24"/>
          <w:szCs w:val="24"/>
        </w:rPr>
      </w:pPr>
      <w:r>
        <w:rPr>
          <w:rFonts w:ascii="宋体" w:hAnsi="宋体" w:hint="eastAsia"/>
          <w:sz w:val="24"/>
          <w:szCs w:val="24"/>
        </w:rPr>
        <w:t>4.2017年5月，征求相关专家对标准讨论稿的意见，形成第三稿。</w:t>
      </w:r>
    </w:p>
    <w:p w:rsidR="005B0A34" w:rsidRPr="001D785F" w:rsidRDefault="005B0A34" w:rsidP="005B0A34">
      <w:pPr>
        <w:spacing w:line="360" w:lineRule="auto"/>
        <w:ind w:firstLine="480"/>
        <w:rPr>
          <w:rFonts w:ascii="宋体" w:hAnsi="宋体"/>
          <w:sz w:val="24"/>
          <w:szCs w:val="24"/>
        </w:rPr>
      </w:pPr>
      <w:r>
        <w:rPr>
          <w:rFonts w:ascii="宋体" w:hAnsi="宋体" w:hint="eastAsia"/>
          <w:sz w:val="24"/>
          <w:szCs w:val="24"/>
        </w:rPr>
        <w:t>5.2017年3月至2018年5月，对目前有较多报到的</w:t>
      </w:r>
      <w:r w:rsidR="00416DD0" w:rsidRPr="00416DD0">
        <w:rPr>
          <w:rFonts w:ascii="宋体" w:hAnsi="宋体" w:hint="eastAsia"/>
          <w:sz w:val="24"/>
          <w:szCs w:val="24"/>
        </w:rPr>
        <w:t>β-内酰胺类抗生素</w:t>
      </w:r>
      <w:r>
        <w:rPr>
          <w:rFonts w:ascii="宋体" w:hAnsi="宋体" w:hint="eastAsia"/>
          <w:sz w:val="24"/>
          <w:szCs w:val="24"/>
        </w:rPr>
        <w:t>检测方法进行了方法学验证。</w:t>
      </w:r>
    </w:p>
    <w:p w:rsidR="005B0A34" w:rsidRDefault="005B0A34" w:rsidP="005B0A34">
      <w:pPr>
        <w:spacing w:line="360" w:lineRule="auto"/>
        <w:ind w:firstLine="480"/>
        <w:rPr>
          <w:rFonts w:ascii="宋体" w:hAnsi="宋体"/>
          <w:sz w:val="24"/>
          <w:szCs w:val="24"/>
        </w:rPr>
      </w:pPr>
      <w:r>
        <w:rPr>
          <w:rFonts w:ascii="宋体" w:hAnsi="宋体" w:hint="eastAsia"/>
          <w:sz w:val="24"/>
          <w:szCs w:val="24"/>
        </w:rPr>
        <w:t>6.2017年8月，召开标准研制推进会，对标准研制过程中的问题进行讨论，商讨解决方案。</w:t>
      </w:r>
    </w:p>
    <w:p w:rsidR="005B0A34" w:rsidRPr="001D785F" w:rsidRDefault="005B0A34" w:rsidP="005B0A34">
      <w:pPr>
        <w:spacing w:line="360" w:lineRule="auto"/>
        <w:ind w:firstLine="480"/>
        <w:rPr>
          <w:rFonts w:ascii="宋体" w:hAnsi="宋体"/>
          <w:sz w:val="24"/>
          <w:szCs w:val="24"/>
        </w:rPr>
      </w:pPr>
      <w:r>
        <w:rPr>
          <w:rFonts w:ascii="宋体" w:hAnsi="宋体" w:hint="eastAsia"/>
          <w:sz w:val="24"/>
          <w:szCs w:val="24"/>
        </w:rPr>
        <w:t>7.2017年12月，标准起草工作邀请中国标准化研究院专家对</w:t>
      </w:r>
      <w:r w:rsidRPr="0094611F">
        <w:rPr>
          <w:rFonts w:ascii="宋体" w:hAnsi="宋体" w:hint="eastAsia"/>
          <w:sz w:val="24"/>
          <w:szCs w:val="24"/>
        </w:rPr>
        <w:t>标准讨论稿</w:t>
      </w:r>
      <w:r>
        <w:rPr>
          <w:rFonts w:ascii="宋体" w:hAnsi="宋体" w:hint="eastAsia"/>
          <w:sz w:val="24"/>
          <w:szCs w:val="24"/>
        </w:rPr>
        <w:t>提供意见，对标准撰写中的一些问题进行了修订，形成标准草案。</w:t>
      </w:r>
    </w:p>
    <w:p w:rsidR="005B0A34" w:rsidRDefault="005B0A34" w:rsidP="005B0A34">
      <w:pPr>
        <w:spacing w:line="360" w:lineRule="auto"/>
        <w:ind w:firstLineChars="200" w:firstLine="480"/>
        <w:rPr>
          <w:rFonts w:ascii="宋体" w:hAnsi="宋体"/>
          <w:sz w:val="24"/>
          <w:szCs w:val="24"/>
        </w:rPr>
      </w:pPr>
      <w:r>
        <w:rPr>
          <w:rFonts w:ascii="宋体" w:hAnsi="宋体" w:hint="eastAsia"/>
          <w:sz w:val="24"/>
          <w:szCs w:val="24"/>
        </w:rPr>
        <w:t>8.</w:t>
      </w:r>
      <w:r w:rsidRPr="000D58B8">
        <w:rPr>
          <w:rFonts w:ascii="宋体" w:hAnsi="宋体"/>
          <w:sz w:val="24"/>
          <w:szCs w:val="24"/>
        </w:rPr>
        <w:t>2018</w:t>
      </w:r>
      <w:r w:rsidRPr="000D58B8">
        <w:rPr>
          <w:rFonts w:ascii="宋体" w:hAnsi="宋体" w:hint="eastAsia"/>
          <w:sz w:val="24"/>
          <w:szCs w:val="24"/>
        </w:rPr>
        <w:t>年</w:t>
      </w:r>
      <w:r w:rsidRPr="000D58B8">
        <w:rPr>
          <w:rFonts w:ascii="宋体" w:hAnsi="宋体"/>
          <w:sz w:val="24"/>
          <w:szCs w:val="24"/>
        </w:rPr>
        <w:t>5月，</w:t>
      </w:r>
      <w:r w:rsidRPr="009F6404">
        <w:rPr>
          <w:rFonts w:ascii="宋体" w:hAnsi="宋体" w:hint="eastAsia"/>
          <w:sz w:val="24"/>
          <w:szCs w:val="24"/>
        </w:rPr>
        <w:t>本标准</w:t>
      </w:r>
      <w:r>
        <w:rPr>
          <w:rFonts w:ascii="宋体" w:hAnsi="宋体" w:hint="eastAsia"/>
          <w:sz w:val="24"/>
          <w:szCs w:val="24"/>
        </w:rPr>
        <w:t>经国家标准化管理委员会批准，获得立项。</w:t>
      </w:r>
    </w:p>
    <w:p w:rsidR="005B0A34" w:rsidRDefault="005B0A34" w:rsidP="005B0A34">
      <w:pPr>
        <w:spacing w:line="360" w:lineRule="auto"/>
        <w:ind w:firstLineChars="200" w:firstLine="480"/>
        <w:rPr>
          <w:rFonts w:ascii="宋体" w:hAnsi="宋体"/>
          <w:sz w:val="24"/>
          <w:szCs w:val="24"/>
        </w:rPr>
      </w:pPr>
      <w:r>
        <w:rPr>
          <w:rFonts w:ascii="宋体" w:hAnsi="宋体" w:hint="eastAsia"/>
          <w:sz w:val="24"/>
          <w:szCs w:val="24"/>
        </w:rPr>
        <w:t>9.2018年8月，完成标准征求意见稿和编制说明的初稿。</w:t>
      </w:r>
    </w:p>
    <w:p w:rsidR="005B0A34" w:rsidRDefault="005B0A34" w:rsidP="005B0A34">
      <w:pPr>
        <w:spacing w:line="360" w:lineRule="auto"/>
        <w:ind w:firstLineChars="200" w:firstLine="480"/>
        <w:rPr>
          <w:rFonts w:ascii="宋体" w:hAnsi="宋体"/>
          <w:sz w:val="24"/>
          <w:szCs w:val="24"/>
        </w:rPr>
      </w:pPr>
      <w:r>
        <w:rPr>
          <w:rFonts w:ascii="宋体" w:hAnsi="宋体" w:hint="eastAsia"/>
          <w:sz w:val="24"/>
          <w:szCs w:val="24"/>
        </w:rPr>
        <w:t>10.2019年1月，完成三方论证，召开专家征求意见会，根据专家意见修改和完善征求意见稿。</w:t>
      </w:r>
    </w:p>
    <w:p w:rsidR="00416DD0" w:rsidRPr="000D58B8" w:rsidRDefault="00416DD0" w:rsidP="00416DD0">
      <w:pPr>
        <w:spacing w:line="360" w:lineRule="auto"/>
        <w:rPr>
          <w:rFonts w:ascii="黑体" w:eastAsia="黑体" w:hAnsi="金山简标宋"/>
          <w:b/>
          <w:sz w:val="24"/>
        </w:rPr>
      </w:pPr>
      <w:r w:rsidRPr="000D58B8">
        <w:rPr>
          <w:rFonts w:ascii="黑体" w:eastAsia="黑体" w:hAnsi="金山简标宋" w:hint="eastAsia"/>
          <w:b/>
          <w:sz w:val="24"/>
        </w:rPr>
        <w:t>六、主要技术内容说明</w:t>
      </w:r>
    </w:p>
    <w:p w:rsidR="00416DD0" w:rsidRDefault="00416DD0" w:rsidP="00416DD0">
      <w:pPr>
        <w:spacing w:line="360" w:lineRule="auto"/>
        <w:ind w:firstLineChars="200" w:firstLine="480"/>
        <w:rPr>
          <w:rFonts w:ascii="宋体" w:hAnsi="宋体"/>
          <w:sz w:val="24"/>
          <w:szCs w:val="24"/>
        </w:rPr>
      </w:pPr>
      <w:r>
        <w:rPr>
          <w:rFonts w:ascii="宋体" w:hAnsi="宋体" w:hint="eastAsia"/>
          <w:sz w:val="24"/>
          <w:szCs w:val="24"/>
        </w:rPr>
        <w:t>在本标准制定过程中，截止目前根据研究的深入先后完成标准讨论稿第一稿、第二稿、第三稿、第四稿、标准草案以及标准征求意见稿，标准内容不断完善，并趋于科学合理。根据需要，本标准的主要技术内容确定为：</w:t>
      </w:r>
    </w:p>
    <w:p w:rsidR="00416DD0" w:rsidRDefault="00416DD0" w:rsidP="00416DD0">
      <w:pPr>
        <w:spacing w:line="360" w:lineRule="auto"/>
        <w:ind w:firstLineChars="200" w:firstLine="480"/>
        <w:rPr>
          <w:rFonts w:ascii="宋体" w:hAnsi="宋体"/>
          <w:sz w:val="24"/>
          <w:szCs w:val="24"/>
        </w:rPr>
      </w:pPr>
      <w:r>
        <w:rPr>
          <w:rFonts w:ascii="宋体" w:hAnsi="宋体" w:hint="eastAsia"/>
          <w:sz w:val="24"/>
          <w:szCs w:val="24"/>
        </w:rPr>
        <w:t>（一）前言部分。给出了标准的起草原则、归口单位、起草单位及主要起草人。</w:t>
      </w:r>
    </w:p>
    <w:p w:rsidR="00416DD0" w:rsidRDefault="00416DD0" w:rsidP="00416DD0">
      <w:pPr>
        <w:spacing w:line="360" w:lineRule="auto"/>
        <w:ind w:firstLineChars="200" w:firstLine="480"/>
        <w:rPr>
          <w:rFonts w:ascii="宋体" w:hAnsi="宋体"/>
          <w:sz w:val="24"/>
          <w:szCs w:val="24"/>
        </w:rPr>
      </w:pPr>
      <w:r>
        <w:rPr>
          <w:rFonts w:ascii="宋体" w:hAnsi="宋体" w:hint="eastAsia"/>
          <w:sz w:val="24"/>
          <w:szCs w:val="24"/>
        </w:rPr>
        <w:t>（二）范围。给出了本标准的适用范围。</w:t>
      </w:r>
    </w:p>
    <w:p w:rsidR="00416DD0" w:rsidRDefault="00416DD0" w:rsidP="00416DD0">
      <w:pPr>
        <w:spacing w:line="360" w:lineRule="auto"/>
        <w:ind w:firstLineChars="200" w:firstLine="480"/>
        <w:rPr>
          <w:rFonts w:ascii="宋体" w:hAnsi="宋体"/>
          <w:sz w:val="24"/>
          <w:szCs w:val="24"/>
        </w:rPr>
      </w:pPr>
      <w:r>
        <w:rPr>
          <w:rFonts w:ascii="宋体" w:hAnsi="宋体" w:hint="eastAsia"/>
          <w:sz w:val="24"/>
          <w:szCs w:val="24"/>
        </w:rPr>
        <w:t>（三）规范性引用文件。本标准引用了国家标准《</w:t>
      </w:r>
      <w:r w:rsidRPr="009065AB">
        <w:rPr>
          <w:rFonts w:ascii="宋体" w:hAnsi="宋体" w:hint="eastAsia"/>
          <w:sz w:val="24"/>
          <w:szCs w:val="24"/>
        </w:rPr>
        <w:t>分析实验室用水规格和试验方法</w:t>
      </w:r>
      <w:r>
        <w:rPr>
          <w:rFonts w:ascii="宋体" w:hAnsi="宋体" w:hint="eastAsia"/>
          <w:sz w:val="24"/>
          <w:szCs w:val="24"/>
        </w:rPr>
        <w:t>（</w:t>
      </w:r>
      <w:r w:rsidRPr="00416DD0">
        <w:rPr>
          <w:rFonts w:ascii="宋体" w:hAnsi="宋体"/>
          <w:sz w:val="24"/>
          <w:szCs w:val="24"/>
        </w:rPr>
        <w:t>GB/T 6682-2008</w:t>
      </w:r>
      <w:r>
        <w:rPr>
          <w:rFonts w:ascii="宋体" w:hAnsi="宋体" w:hint="eastAsia"/>
          <w:sz w:val="24"/>
          <w:szCs w:val="24"/>
        </w:rPr>
        <w:t>）》</w:t>
      </w:r>
      <w:r w:rsidRPr="009065AB">
        <w:rPr>
          <w:rFonts w:ascii="宋体" w:hAnsi="宋体" w:hint="eastAsia"/>
          <w:sz w:val="24"/>
          <w:szCs w:val="24"/>
        </w:rPr>
        <w:t>。</w:t>
      </w:r>
    </w:p>
    <w:p w:rsidR="00416DD0" w:rsidRDefault="00416DD0" w:rsidP="00416DD0">
      <w:pPr>
        <w:spacing w:line="360" w:lineRule="auto"/>
        <w:ind w:firstLineChars="200" w:firstLine="480"/>
        <w:rPr>
          <w:rFonts w:ascii="宋体" w:hAnsi="宋体"/>
          <w:sz w:val="24"/>
          <w:szCs w:val="24"/>
        </w:rPr>
      </w:pPr>
      <w:r>
        <w:rPr>
          <w:rFonts w:ascii="宋体" w:hAnsi="宋体" w:hint="eastAsia"/>
          <w:sz w:val="24"/>
          <w:szCs w:val="24"/>
        </w:rPr>
        <w:t>（四）术语和定义。对本标准中“高分子聚合物”这一术语进行了解释。</w:t>
      </w:r>
    </w:p>
    <w:p w:rsidR="00416DD0" w:rsidRPr="000D58B8" w:rsidRDefault="00416DD0" w:rsidP="00416DD0">
      <w:pPr>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（五）原理。本标准是</w:t>
      </w:r>
      <w:r w:rsidRPr="00416DD0">
        <w:rPr>
          <w:rFonts w:ascii="宋体" w:hAnsi="宋体" w:hint="eastAsia"/>
          <w:sz w:val="24"/>
          <w:szCs w:val="24"/>
        </w:rPr>
        <w:t>根据分子量的大小，利用高效凝胶色谱柱对抗生素及其高分子聚合物进行分离，</w:t>
      </w:r>
      <w:proofErr w:type="gramStart"/>
      <w:r w:rsidRPr="00416DD0">
        <w:rPr>
          <w:rFonts w:ascii="宋体" w:hAnsi="宋体" w:hint="eastAsia"/>
          <w:sz w:val="24"/>
          <w:szCs w:val="24"/>
        </w:rPr>
        <w:t>经紫外</w:t>
      </w:r>
      <w:proofErr w:type="gramEnd"/>
      <w:r w:rsidRPr="00416DD0">
        <w:rPr>
          <w:rFonts w:ascii="宋体" w:hAnsi="宋体" w:hint="eastAsia"/>
          <w:sz w:val="24"/>
          <w:szCs w:val="24"/>
        </w:rPr>
        <w:t>检测器在254 nm测定，以色谱峰保留时间定性，以峰面积定量</w:t>
      </w:r>
      <w:r>
        <w:rPr>
          <w:rFonts w:ascii="宋体" w:hAnsi="宋体" w:hint="eastAsia"/>
          <w:sz w:val="24"/>
          <w:szCs w:val="24"/>
        </w:rPr>
        <w:t>待测物的量</w:t>
      </w:r>
      <w:r w:rsidRPr="00416DD0">
        <w:rPr>
          <w:rFonts w:ascii="宋体" w:hAnsi="宋体" w:hint="eastAsia"/>
          <w:sz w:val="24"/>
          <w:szCs w:val="24"/>
        </w:rPr>
        <w:t>。</w:t>
      </w:r>
    </w:p>
    <w:p w:rsidR="00416DD0" w:rsidRDefault="00416DD0" w:rsidP="00416DD0">
      <w:pPr>
        <w:spacing w:line="360" w:lineRule="auto"/>
        <w:ind w:firstLineChars="200" w:firstLine="480"/>
        <w:rPr>
          <w:rFonts w:ascii="宋体" w:hAnsi="宋体"/>
          <w:sz w:val="24"/>
          <w:szCs w:val="24"/>
        </w:rPr>
      </w:pPr>
      <w:r>
        <w:rPr>
          <w:rFonts w:ascii="宋体" w:hAnsi="宋体" w:hint="eastAsia"/>
          <w:sz w:val="24"/>
          <w:szCs w:val="24"/>
        </w:rPr>
        <w:t>（六）仪器和设备。</w:t>
      </w:r>
      <w:bookmarkStart w:id="3" w:name="OLE_LINK93"/>
      <w:bookmarkStart w:id="4" w:name="OLE_LINK94"/>
      <w:r>
        <w:rPr>
          <w:rFonts w:ascii="宋体" w:hAnsi="宋体" w:hint="eastAsia"/>
          <w:sz w:val="24"/>
          <w:szCs w:val="24"/>
        </w:rPr>
        <w:t>给出了本标准所需的主要仪器和设备。</w:t>
      </w:r>
      <w:bookmarkEnd w:id="3"/>
      <w:bookmarkEnd w:id="4"/>
    </w:p>
    <w:p w:rsidR="00416DD0" w:rsidRDefault="00416DD0" w:rsidP="00416DD0">
      <w:pPr>
        <w:spacing w:line="360" w:lineRule="auto"/>
        <w:ind w:firstLineChars="200" w:firstLine="480"/>
        <w:rPr>
          <w:rFonts w:ascii="宋体" w:hAnsi="宋体"/>
          <w:sz w:val="24"/>
          <w:szCs w:val="24"/>
        </w:rPr>
      </w:pPr>
      <w:r>
        <w:rPr>
          <w:rFonts w:ascii="宋体" w:hAnsi="宋体" w:hint="eastAsia"/>
          <w:sz w:val="24"/>
          <w:szCs w:val="24"/>
        </w:rPr>
        <w:t>（七）试剂和材料。给出了本标准所需的化学试剂</w:t>
      </w:r>
      <w:r w:rsidR="00391861">
        <w:rPr>
          <w:rFonts w:ascii="宋体" w:hAnsi="宋体" w:hint="eastAsia"/>
          <w:sz w:val="24"/>
          <w:szCs w:val="24"/>
        </w:rPr>
        <w:t>和</w:t>
      </w:r>
      <w:r>
        <w:rPr>
          <w:rFonts w:ascii="宋体" w:hAnsi="宋体" w:hint="eastAsia"/>
          <w:sz w:val="24"/>
          <w:szCs w:val="24"/>
        </w:rPr>
        <w:t>缓冲液。</w:t>
      </w:r>
    </w:p>
    <w:p w:rsidR="00416DD0" w:rsidRDefault="00416DD0" w:rsidP="00416DD0">
      <w:pPr>
        <w:spacing w:line="360" w:lineRule="auto"/>
        <w:ind w:firstLineChars="200" w:firstLine="480"/>
        <w:rPr>
          <w:rFonts w:ascii="宋体" w:hAnsi="宋体"/>
          <w:sz w:val="24"/>
          <w:szCs w:val="24"/>
        </w:rPr>
      </w:pPr>
      <w:r>
        <w:rPr>
          <w:rFonts w:ascii="宋体" w:hAnsi="宋体" w:hint="eastAsia"/>
          <w:sz w:val="24"/>
          <w:szCs w:val="24"/>
        </w:rPr>
        <w:t>（</w:t>
      </w:r>
      <w:r w:rsidR="00391861">
        <w:rPr>
          <w:rFonts w:ascii="宋体" w:hAnsi="宋体" w:hint="eastAsia"/>
          <w:sz w:val="24"/>
          <w:szCs w:val="24"/>
        </w:rPr>
        <w:t>八</w:t>
      </w:r>
      <w:r>
        <w:rPr>
          <w:rFonts w:ascii="宋体" w:hAnsi="宋体" w:hint="eastAsia"/>
          <w:sz w:val="24"/>
          <w:szCs w:val="24"/>
        </w:rPr>
        <w:t>）主要技术内容的说明</w:t>
      </w:r>
      <w:r w:rsidR="00391861">
        <w:rPr>
          <w:rFonts w:ascii="宋体" w:hAnsi="宋体" w:hint="eastAsia"/>
          <w:sz w:val="24"/>
          <w:szCs w:val="24"/>
        </w:rPr>
        <w:t>。</w:t>
      </w:r>
    </w:p>
    <w:p w:rsidR="00391861" w:rsidRDefault="00391861" w:rsidP="00416DD0">
      <w:pPr>
        <w:spacing w:line="360" w:lineRule="auto"/>
        <w:ind w:firstLineChars="200" w:firstLine="480"/>
        <w:rPr>
          <w:rFonts w:ascii="宋体" w:hAnsi="宋体"/>
          <w:sz w:val="24"/>
          <w:szCs w:val="24"/>
        </w:rPr>
      </w:pPr>
      <w:r>
        <w:rPr>
          <w:rFonts w:ascii="宋体" w:hAnsi="宋体" w:hint="eastAsia"/>
          <w:sz w:val="24"/>
          <w:szCs w:val="24"/>
        </w:rPr>
        <w:lastRenderedPageBreak/>
        <w:t>1. 色谱柱的选择</w:t>
      </w:r>
    </w:p>
    <w:p w:rsidR="00391861" w:rsidRDefault="00391861" w:rsidP="00416DD0">
      <w:pPr>
        <w:spacing w:line="360" w:lineRule="auto"/>
        <w:ind w:firstLineChars="200" w:firstLine="480"/>
        <w:rPr>
          <w:rFonts w:ascii="宋体" w:hAnsi="宋体"/>
          <w:sz w:val="24"/>
          <w:szCs w:val="24"/>
        </w:rPr>
      </w:pPr>
      <w:r>
        <w:rPr>
          <w:rFonts w:ascii="宋体" w:hAnsi="宋体" w:hint="eastAsia"/>
          <w:sz w:val="24"/>
          <w:szCs w:val="24"/>
        </w:rPr>
        <w:t>由于高效凝胶色谱柱相比G-10葡聚糖色谱柱有更高的柱效，</w:t>
      </w:r>
      <w:r w:rsidR="00881E87">
        <w:rPr>
          <w:rFonts w:ascii="宋体" w:hAnsi="宋体" w:hint="eastAsia"/>
          <w:sz w:val="24"/>
          <w:szCs w:val="24"/>
        </w:rPr>
        <w:t>塔板数通常10000以上，对抗生素与杂质的</w:t>
      </w:r>
      <w:r>
        <w:rPr>
          <w:rFonts w:ascii="宋体" w:hAnsi="宋体" w:hint="eastAsia"/>
          <w:sz w:val="24"/>
          <w:szCs w:val="24"/>
        </w:rPr>
        <w:t>分离度好</w:t>
      </w:r>
      <w:r w:rsidR="00881E87">
        <w:rPr>
          <w:rFonts w:ascii="宋体" w:hAnsi="宋体" w:hint="eastAsia"/>
          <w:sz w:val="24"/>
          <w:szCs w:val="24"/>
        </w:rPr>
        <w:t>。</w:t>
      </w:r>
      <w:r w:rsidR="00D50AD6">
        <w:rPr>
          <w:rFonts w:ascii="宋体" w:hAnsi="宋体" w:hint="eastAsia"/>
          <w:sz w:val="24"/>
          <w:szCs w:val="24"/>
        </w:rPr>
        <w:t>本标准采用的</w:t>
      </w:r>
      <w:r w:rsidR="00881E87" w:rsidRPr="00881E87">
        <w:rPr>
          <w:rFonts w:ascii="宋体" w:hAnsi="宋体" w:hint="eastAsia"/>
          <w:sz w:val="24"/>
          <w:szCs w:val="24"/>
        </w:rPr>
        <w:t>粒径为5μm</w:t>
      </w:r>
      <w:r w:rsidR="00D50AD6">
        <w:rPr>
          <w:rFonts w:ascii="宋体" w:hAnsi="宋体" w:hint="eastAsia"/>
          <w:sz w:val="24"/>
          <w:szCs w:val="24"/>
        </w:rPr>
        <w:t>、</w:t>
      </w:r>
      <w:r w:rsidR="00881E87" w:rsidRPr="00881E87">
        <w:rPr>
          <w:rFonts w:ascii="宋体" w:hAnsi="宋体" w:hint="eastAsia"/>
          <w:sz w:val="24"/>
          <w:szCs w:val="24"/>
        </w:rPr>
        <w:t>孔径</w:t>
      </w:r>
      <w:r w:rsidR="00D50AD6">
        <w:rPr>
          <w:rFonts w:ascii="宋体" w:hAnsi="宋体" w:hint="eastAsia"/>
          <w:sz w:val="24"/>
          <w:szCs w:val="24"/>
        </w:rPr>
        <w:t>为</w:t>
      </w:r>
      <w:r w:rsidR="00881E87" w:rsidRPr="00881E87">
        <w:rPr>
          <w:rFonts w:ascii="宋体" w:hAnsi="宋体" w:hint="eastAsia"/>
          <w:sz w:val="24"/>
          <w:szCs w:val="24"/>
        </w:rPr>
        <w:t>120</w:t>
      </w:r>
      <w:r w:rsidR="00D50AD6">
        <w:rPr>
          <w:rFonts w:ascii="宋体" w:hAnsi="宋体" w:hint="eastAsia"/>
          <w:sz w:val="24"/>
          <w:szCs w:val="24"/>
        </w:rPr>
        <w:t xml:space="preserve"> </w:t>
      </w:r>
      <w:r w:rsidR="00881E87" w:rsidRPr="00881E87">
        <w:rPr>
          <w:rFonts w:ascii="宋体" w:hAnsi="宋体" w:hint="eastAsia"/>
          <w:sz w:val="24"/>
          <w:szCs w:val="24"/>
        </w:rPr>
        <w:t>A</w:t>
      </w:r>
      <w:r w:rsidR="00D50AD6">
        <w:rPr>
          <w:rFonts w:ascii="宋体" w:hAnsi="宋体" w:hint="eastAsia"/>
          <w:sz w:val="24"/>
          <w:szCs w:val="24"/>
        </w:rPr>
        <w:t>的硅胶基质的高效凝胶色谱柱，可以有效实现对β-内酰胺类抗生素主成分与其高分子聚合物、以及不同高分子聚合物的分离。保存</w:t>
      </w:r>
      <w:r w:rsidR="00D50AD6">
        <w:rPr>
          <w:rFonts w:ascii="宋体" w:hAnsi="宋体"/>
          <w:sz w:val="24"/>
          <w:szCs w:val="24"/>
        </w:rPr>
        <w:t>用</w:t>
      </w:r>
      <w:r w:rsidR="00D50AD6">
        <w:rPr>
          <w:rFonts w:ascii="宋体" w:hAnsi="宋体" w:hint="eastAsia"/>
          <w:sz w:val="24"/>
          <w:szCs w:val="24"/>
        </w:rPr>
        <w:t>100%乙醇即可，无需使用叠氮化钠这一剧毒试剂。</w:t>
      </w:r>
    </w:p>
    <w:p w:rsidR="00D50AD6" w:rsidRDefault="00D50AD6" w:rsidP="00416DD0">
      <w:pPr>
        <w:spacing w:line="360" w:lineRule="auto"/>
        <w:ind w:firstLineChars="200" w:firstLine="480"/>
        <w:rPr>
          <w:rFonts w:ascii="宋体" w:hAnsi="宋体"/>
          <w:sz w:val="24"/>
          <w:szCs w:val="24"/>
        </w:rPr>
      </w:pPr>
      <w:r>
        <w:rPr>
          <w:rFonts w:ascii="宋体" w:hAnsi="宋体" w:hint="eastAsia"/>
          <w:sz w:val="24"/>
          <w:szCs w:val="24"/>
        </w:rPr>
        <w:t>2. 色谱条件</w:t>
      </w:r>
    </w:p>
    <w:p w:rsidR="00D50AD6" w:rsidRDefault="00250300" w:rsidP="00250300">
      <w:pPr>
        <w:spacing w:line="360" w:lineRule="auto"/>
        <w:ind w:firstLineChars="200" w:firstLine="480"/>
        <w:rPr>
          <w:rFonts w:ascii="宋体" w:hAnsi="宋体"/>
          <w:sz w:val="24"/>
          <w:szCs w:val="24"/>
        </w:rPr>
      </w:pPr>
      <w:r w:rsidRPr="00250300">
        <w:rPr>
          <w:rFonts w:ascii="宋体" w:hAnsi="宋体" w:hint="eastAsia"/>
          <w:sz w:val="24"/>
          <w:szCs w:val="24"/>
        </w:rPr>
        <w:t>色谱仪为高效液相色谱仪，色谱柱为高效凝胶色谱柱，流动相A为</w:t>
      </w:r>
      <w:r>
        <w:rPr>
          <w:rFonts w:ascii="宋体" w:hAnsi="宋体" w:hint="eastAsia"/>
          <w:sz w:val="24"/>
          <w:szCs w:val="24"/>
        </w:rPr>
        <w:t xml:space="preserve">10 </w:t>
      </w:r>
      <w:proofErr w:type="spellStart"/>
      <w:r>
        <w:rPr>
          <w:rFonts w:ascii="宋体" w:hAnsi="宋体" w:hint="eastAsia"/>
          <w:sz w:val="24"/>
          <w:szCs w:val="24"/>
        </w:rPr>
        <w:t>mM</w:t>
      </w:r>
      <w:proofErr w:type="spellEnd"/>
      <w:r w:rsidRPr="00250300">
        <w:rPr>
          <w:rFonts w:ascii="宋体" w:hAnsi="宋体" w:hint="eastAsia"/>
          <w:sz w:val="24"/>
          <w:szCs w:val="24"/>
        </w:rPr>
        <w:t>磷酸缓冲液，流动相B为乙腈，A：B体积比为90：10，流速为0.8 mL/min，</w:t>
      </w:r>
      <w:proofErr w:type="gramStart"/>
      <w:r w:rsidRPr="00250300">
        <w:rPr>
          <w:rFonts w:ascii="宋体" w:hAnsi="宋体" w:hint="eastAsia"/>
          <w:sz w:val="24"/>
          <w:szCs w:val="24"/>
        </w:rPr>
        <w:t>柱温为</w:t>
      </w:r>
      <w:proofErr w:type="gramEnd"/>
      <w:r w:rsidRPr="00250300">
        <w:rPr>
          <w:rFonts w:ascii="宋体" w:hAnsi="宋体" w:hint="eastAsia"/>
          <w:sz w:val="24"/>
          <w:szCs w:val="24"/>
        </w:rPr>
        <w:t>25 ℃，检测波长为254 nm。</w:t>
      </w:r>
      <w:r>
        <w:rPr>
          <w:rFonts w:ascii="宋体" w:hAnsi="宋体" w:hint="eastAsia"/>
          <w:sz w:val="24"/>
          <w:szCs w:val="24"/>
        </w:rPr>
        <w:t>在此条件下，</w:t>
      </w:r>
      <w:r w:rsidR="005272FC">
        <w:rPr>
          <w:rFonts w:ascii="宋体" w:hAnsi="宋体" w:hint="eastAsia"/>
          <w:sz w:val="24"/>
          <w:szCs w:val="24"/>
        </w:rPr>
        <w:t>β-内酰胺类抗生素主成分出峰时间在</w:t>
      </w:r>
      <w:r w:rsidR="00B32EA6">
        <w:rPr>
          <w:rFonts w:ascii="宋体" w:hAnsi="宋体" w:hint="eastAsia"/>
          <w:sz w:val="24"/>
          <w:szCs w:val="24"/>
        </w:rPr>
        <w:t>10</w:t>
      </w:r>
      <w:r w:rsidR="005272FC">
        <w:rPr>
          <w:rFonts w:ascii="宋体" w:hAnsi="宋体" w:hint="eastAsia"/>
          <w:sz w:val="24"/>
          <w:szCs w:val="24"/>
        </w:rPr>
        <w:t>分钟</w:t>
      </w:r>
      <w:r w:rsidR="00B32EA6">
        <w:rPr>
          <w:rFonts w:ascii="宋体" w:hAnsi="宋体" w:hint="eastAsia"/>
          <w:sz w:val="24"/>
          <w:szCs w:val="24"/>
        </w:rPr>
        <w:t>之内</w:t>
      </w:r>
      <w:r w:rsidR="005272FC">
        <w:rPr>
          <w:rFonts w:ascii="宋体" w:hAnsi="宋体" w:hint="eastAsia"/>
          <w:sz w:val="24"/>
          <w:szCs w:val="24"/>
        </w:rPr>
        <w:t>，</w:t>
      </w:r>
      <w:r w:rsidR="00656FE3">
        <w:rPr>
          <w:rFonts w:ascii="宋体" w:hAnsi="宋体" w:hint="eastAsia"/>
          <w:sz w:val="24"/>
          <w:szCs w:val="24"/>
        </w:rPr>
        <w:t>主成分能与高分子聚合物等杂质有效分离。</w:t>
      </w:r>
    </w:p>
    <w:p w:rsidR="00656FE3" w:rsidRDefault="00656FE3" w:rsidP="00250300">
      <w:pPr>
        <w:spacing w:line="360" w:lineRule="auto"/>
        <w:ind w:firstLineChars="200" w:firstLine="480"/>
        <w:rPr>
          <w:rFonts w:ascii="宋体" w:hAnsi="宋体"/>
          <w:sz w:val="24"/>
          <w:szCs w:val="24"/>
        </w:rPr>
      </w:pPr>
      <w:r>
        <w:rPr>
          <w:rFonts w:ascii="宋体" w:hAnsi="宋体" w:hint="eastAsia"/>
          <w:sz w:val="24"/>
          <w:szCs w:val="24"/>
        </w:rPr>
        <w:t xml:space="preserve">3. </w:t>
      </w:r>
      <w:r w:rsidR="001534DD">
        <w:rPr>
          <w:rFonts w:ascii="宋体" w:hAnsi="宋体" w:hint="eastAsia"/>
          <w:sz w:val="24"/>
          <w:szCs w:val="24"/>
        </w:rPr>
        <w:t>对照物标准</w:t>
      </w:r>
      <w:r>
        <w:rPr>
          <w:rFonts w:ascii="宋体" w:hAnsi="宋体" w:hint="eastAsia"/>
          <w:sz w:val="24"/>
          <w:szCs w:val="24"/>
        </w:rPr>
        <w:t>曲线浓度范围</w:t>
      </w:r>
    </w:p>
    <w:p w:rsidR="001534DD" w:rsidRDefault="00656FE3" w:rsidP="001534DD">
      <w:pPr>
        <w:spacing w:line="360" w:lineRule="auto"/>
        <w:ind w:firstLineChars="200" w:firstLine="480"/>
        <w:rPr>
          <w:rFonts w:ascii="宋体" w:hAnsi="宋体"/>
          <w:sz w:val="24"/>
          <w:szCs w:val="24"/>
        </w:rPr>
      </w:pPr>
      <w:r>
        <w:rPr>
          <w:rFonts w:ascii="宋体" w:hAnsi="宋体" w:hint="eastAsia"/>
          <w:sz w:val="24"/>
          <w:szCs w:val="24"/>
        </w:rPr>
        <w:t>根据实验结果，</w:t>
      </w:r>
      <w:r w:rsidR="00B32EA6">
        <w:rPr>
          <w:rFonts w:ascii="宋体" w:hAnsi="宋体" w:hint="eastAsia"/>
          <w:sz w:val="24"/>
          <w:szCs w:val="24"/>
        </w:rPr>
        <w:t>在进样10μL条件下，</w:t>
      </w:r>
      <w:r w:rsidR="00262C1C">
        <w:rPr>
          <w:rFonts w:ascii="宋体" w:hAnsi="宋体" w:hint="eastAsia"/>
          <w:sz w:val="24"/>
          <w:szCs w:val="24"/>
        </w:rPr>
        <w:t>多数β-内酰胺类抗生素主成分</w:t>
      </w:r>
      <w:r w:rsidR="00E410DD">
        <w:rPr>
          <w:rFonts w:ascii="宋体" w:hAnsi="宋体" w:hint="eastAsia"/>
          <w:sz w:val="24"/>
          <w:szCs w:val="24"/>
        </w:rPr>
        <w:t xml:space="preserve">在0.005-5 mg/mL浓度范围内可以找到与峰面积具有良好线性关系的浓度范围，但考虑到5 </w:t>
      </w:r>
      <w:r>
        <w:rPr>
          <w:rFonts w:ascii="宋体" w:hAnsi="宋体" w:hint="eastAsia"/>
          <w:sz w:val="24"/>
          <w:szCs w:val="24"/>
        </w:rPr>
        <w:t>mg/mL</w:t>
      </w:r>
      <w:r w:rsidR="00E410DD">
        <w:rPr>
          <w:rFonts w:ascii="宋体" w:hAnsi="宋体" w:hint="eastAsia"/>
          <w:sz w:val="24"/>
          <w:szCs w:val="24"/>
        </w:rPr>
        <w:t>浓度</w:t>
      </w:r>
      <w:r w:rsidR="00B32EA6">
        <w:rPr>
          <w:rFonts w:ascii="宋体" w:hAnsi="宋体" w:hint="eastAsia"/>
          <w:sz w:val="24"/>
          <w:szCs w:val="24"/>
        </w:rPr>
        <w:t>以上的抗生素可能</w:t>
      </w:r>
      <w:r>
        <w:rPr>
          <w:rFonts w:ascii="宋体" w:hAnsi="宋体" w:hint="eastAsia"/>
          <w:sz w:val="24"/>
          <w:szCs w:val="24"/>
        </w:rPr>
        <w:t>导致色谱柱过载，</w:t>
      </w:r>
      <w:r w:rsidR="00B32EA6">
        <w:rPr>
          <w:rFonts w:ascii="宋体" w:hAnsi="宋体" w:hint="eastAsia"/>
          <w:sz w:val="24"/>
          <w:szCs w:val="24"/>
        </w:rPr>
        <w:t>而多数β-内酰胺类抗生素的检测限达到0.05 mg/mL</w:t>
      </w:r>
      <w:r w:rsidR="001534DD">
        <w:rPr>
          <w:rFonts w:ascii="宋体" w:hAnsi="宋体" w:hint="eastAsia"/>
          <w:sz w:val="24"/>
          <w:szCs w:val="24"/>
        </w:rPr>
        <w:t>以下</w:t>
      </w:r>
      <w:r w:rsidR="00E410DD">
        <w:rPr>
          <w:rFonts w:ascii="宋体" w:hAnsi="宋体" w:hint="eastAsia"/>
          <w:sz w:val="24"/>
          <w:szCs w:val="24"/>
        </w:rPr>
        <w:t>，</w:t>
      </w:r>
      <w:r w:rsidR="001534DD">
        <w:rPr>
          <w:rFonts w:ascii="宋体" w:hAnsi="宋体" w:hint="eastAsia"/>
          <w:sz w:val="24"/>
          <w:szCs w:val="24"/>
        </w:rPr>
        <w:t>因此在建立对照品标准曲线时，浓度范围可在0.0005-</w:t>
      </w:r>
      <w:r w:rsidR="00E410DD">
        <w:rPr>
          <w:rFonts w:ascii="宋体" w:hAnsi="宋体" w:hint="eastAsia"/>
          <w:sz w:val="24"/>
          <w:szCs w:val="24"/>
        </w:rPr>
        <w:t>5</w:t>
      </w:r>
      <w:r w:rsidR="001534DD">
        <w:rPr>
          <w:rFonts w:ascii="宋体" w:hAnsi="宋体" w:hint="eastAsia"/>
          <w:sz w:val="24"/>
          <w:szCs w:val="24"/>
        </w:rPr>
        <w:t xml:space="preserve"> mg/mL内寻找。</w:t>
      </w:r>
    </w:p>
    <w:p w:rsidR="001534DD" w:rsidRDefault="001534DD" w:rsidP="00250300">
      <w:pPr>
        <w:spacing w:line="360" w:lineRule="auto"/>
        <w:ind w:firstLineChars="200" w:firstLine="480"/>
        <w:rPr>
          <w:rFonts w:ascii="宋体" w:hAnsi="宋体"/>
          <w:sz w:val="24"/>
          <w:szCs w:val="24"/>
        </w:rPr>
      </w:pPr>
      <w:r>
        <w:rPr>
          <w:rFonts w:ascii="宋体" w:hAnsi="宋体" w:hint="eastAsia"/>
          <w:sz w:val="24"/>
          <w:szCs w:val="24"/>
        </w:rPr>
        <w:t>4. 部分β-内酰胺类抗生素的检测情况</w:t>
      </w:r>
    </w:p>
    <w:p w:rsidR="00EF0FAF" w:rsidRDefault="00EF0FAF" w:rsidP="00EF0FAF">
      <w:pPr>
        <w:spacing w:line="360" w:lineRule="auto"/>
        <w:ind w:firstLineChars="200" w:firstLine="480"/>
        <w:rPr>
          <w:rFonts w:ascii="宋体" w:hAnsi="宋体"/>
          <w:sz w:val="24"/>
          <w:szCs w:val="24"/>
        </w:rPr>
      </w:pPr>
      <w:r>
        <w:rPr>
          <w:rFonts w:ascii="宋体" w:hAnsi="宋体" w:hint="eastAsia"/>
          <w:sz w:val="24"/>
          <w:szCs w:val="24"/>
        </w:rPr>
        <w:t>（1）</w:t>
      </w:r>
      <w:r w:rsidRPr="00EF0FAF">
        <w:rPr>
          <w:rFonts w:ascii="宋体" w:hAnsi="宋体" w:hint="eastAsia"/>
          <w:sz w:val="24"/>
          <w:szCs w:val="24"/>
        </w:rPr>
        <w:t>苯</w:t>
      </w:r>
      <w:proofErr w:type="gramStart"/>
      <w:r w:rsidRPr="00EF0FAF">
        <w:rPr>
          <w:rFonts w:ascii="宋体" w:hAnsi="宋体" w:hint="eastAsia"/>
          <w:sz w:val="24"/>
          <w:szCs w:val="24"/>
        </w:rPr>
        <w:t>唑</w:t>
      </w:r>
      <w:proofErr w:type="gramEnd"/>
      <w:r w:rsidRPr="00EF0FAF">
        <w:rPr>
          <w:rFonts w:ascii="宋体" w:hAnsi="宋体" w:hint="eastAsia"/>
          <w:sz w:val="24"/>
          <w:szCs w:val="24"/>
        </w:rPr>
        <w:t>西林</w:t>
      </w:r>
      <w:r>
        <w:rPr>
          <w:rFonts w:ascii="宋体" w:hAnsi="宋体" w:hint="eastAsia"/>
          <w:sz w:val="24"/>
          <w:szCs w:val="24"/>
        </w:rPr>
        <w:t>。用高效凝胶色谱柱对</w:t>
      </w:r>
      <w:r w:rsidRPr="00EF0FAF">
        <w:rPr>
          <w:rFonts w:ascii="宋体" w:hAnsi="宋体" w:hint="eastAsia"/>
          <w:sz w:val="24"/>
          <w:szCs w:val="24"/>
        </w:rPr>
        <w:t>苯</w:t>
      </w:r>
      <w:proofErr w:type="gramStart"/>
      <w:r w:rsidRPr="00EF0FAF">
        <w:rPr>
          <w:rFonts w:ascii="宋体" w:hAnsi="宋体" w:hint="eastAsia"/>
          <w:sz w:val="24"/>
          <w:szCs w:val="24"/>
        </w:rPr>
        <w:t>唑</w:t>
      </w:r>
      <w:proofErr w:type="gramEnd"/>
      <w:r w:rsidRPr="00EF0FAF">
        <w:rPr>
          <w:rFonts w:ascii="宋体" w:hAnsi="宋体" w:hint="eastAsia"/>
          <w:sz w:val="24"/>
          <w:szCs w:val="24"/>
        </w:rPr>
        <w:t>西林</w:t>
      </w:r>
      <w:r>
        <w:rPr>
          <w:rFonts w:ascii="宋体" w:hAnsi="宋体" w:hint="eastAsia"/>
          <w:sz w:val="24"/>
          <w:szCs w:val="24"/>
        </w:rPr>
        <w:t>进行HPLC测定,进样</w:t>
      </w:r>
      <w:r w:rsidR="002722FD">
        <w:rPr>
          <w:rFonts w:ascii="宋体" w:hAnsi="宋体" w:hint="eastAsia"/>
          <w:sz w:val="24"/>
          <w:szCs w:val="24"/>
        </w:rPr>
        <w:t>10</w:t>
      </w:r>
      <w:r>
        <w:rPr>
          <w:rFonts w:ascii="宋体" w:hAnsi="宋体" w:hint="eastAsia"/>
          <w:sz w:val="24"/>
          <w:szCs w:val="24"/>
        </w:rPr>
        <w:t>μL，主峰理论塔板数为11002。在</w:t>
      </w:r>
      <w:r w:rsidRPr="004E2B1C">
        <w:rPr>
          <w:rFonts w:ascii="宋体" w:hAnsi="宋体"/>
          <w:sz w:val="24"/>
          <w:szCs w:val="24"/>
        </w:rPr>
        <w:t>0.0</w:t>
      </w:r>
      <w:r>
        <w:rPr>
          <w:rFonts w:ascii="宋体" w:hAnsi="宋体" w:hint="eastAsia"/>
          <w:sz w:val="24"/>
          <w:szCs w:val="24"/>
        </w:rPr>
        <w:t xml:space="preserve">016-5 </w:t>
      </w:r>
      <w:r w:rsidRPr="004E2B1C">
        <w:rPr>
          <w:rFonts w:ascii="宋体" w:hAnsi="宋体"/>
          <w:sz w:val="24"/>
          <w:szCs w:val="24"/>
        </w:rPr>
        <w:t>mg/mL</w:t>
      </w:r>
      <w:r>
        <w:rPr>
          <w:rFonts w:ascii="宋体" w:hAnsi="宋体"/>
          <w:sz w:val="24"/>
          <w:szCs w:val="24"/>
        </w:rPr>
        <w:t>浓度范围内</w:t>
      </w:r>
      <w:r>
        <w:rPr>
          <w:rFonts w:ascii="宋体" w:hAnsi="宋体" w:hint="eastAsia"/>
          <w:sz w:val="24"/>
          <w:szCs w:val="24"/>
        </w:rPr>
        <w:t>，回归曲线的</w:t>
      </w:r>
      <w:r w:rsidRPr="005D26FC">
        <w:rPr>
          <w:rFonts w:ascii="宋体" w:hAnsi="宋体"/>
          <w:i/>
          <w:sz w:val="24"/>
          <w:szCs w:val="24"/>
        </w:rPr>
        <w:t xml:space="preserve"> R</w:t>
      </w:r>
      <w:r w:rsidRPr="005D26FC">
        <w:rPr>
          <w:rFonts w:ascii="宋体" w:hAnsi="宋体"/>
          <w:i/>
          <w:sz w:val="24"/>
          <w:szCs w:val="24"/>
          <w:vertAlign w:val="superscript"/>
        </w:rPr>
        <w:t>2</w:t>
      </w:r>
      <w:r>
        <w:rPr>
          <w:rFonts w:ascii="宋体" w:hAnsi="宋体" w:hint="eastAsia"/>
          <w:sz w:val="24"/>
          <w:szCs w:val="24"/>
        </w:rPr>
        <w:t>为1。</w:t>
      </w:r>
    </w:p>
    <w:p w:rsidR="00EF0FAF" w:rsidRDefault="00EF0FAF" w:rsidP="00EF0FAF">
      <w:pPr>
        <w:spacing w:line="360" w:lineRule="auto"/>
        <w:ind w:firstLineChars="200" w:firstLine="420"/>
        <w:rPr>
          <w:rFonts w:ascii="宋体" w:hAnsi="宋体"/>
          <w:sz w:val="24"/>
          <w:szCs w:val="24"/>
        </w:rPr>
      </w:pPr>
      <w:r>
        <w:rPr>
          <w:rFonts w:hint="eastAsia"/>
          <w:noProof/>
        </w:rPr>
        <w:drawing>
          <wp:inline distT="0" distB="0" distL="0" distR="0" wp14:anchorId="63D365F4" wp14:editId="3FFB2153">
            <wp:extent cx="3162300" cy="1270000"/>
            <wp:effectExtent l="0" t="0" r="0" b="635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a:lum bright="20000"/>
                    </a:blip>
                    <a:srcRect t="3241" r="39932" b="4167"/>
                    <a:stretch/>
                  </pic:blipFill>
                  <pic:spPr bwMode="auto">
                    <a:xfrm>
                      <a:off x="0" y="0"/>
                      <a:ext cx="3168156" cy="127235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hint="eastAsia"/>
          <w:sz w:val="24"/>
          <w:szCs w:val="24"/>
        </w:rPr>
        <w:t xml:space="preserve">  </w:t>
      </w:r>
      <w:r>
        <w:rPr>
          <w:noProof/>
        </w:rPr>
        <w:drawing>
          <wp:inline distT="0" distB="0" distL="0" distR="0" wp14:anchorId="2F2E4CD2" wp14:editId="1E45D9E6">
            <wp:extent cx="2216150" cy="1346200"/>
            <wp:effectExtent l="0" t="0" r="0"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0FAF" w:rsidRPr="00B42736" w:rsidRDefault="00EF0FAF" w:rsidP="00EF0FAF">
      <w:pPr>
        <w:spacing w:line="360" w:lineRule="auto"/>
        <w:ind w:firstLineChars="1300" w:firstLine="2730"/>
        <w:rPr>
          <w:rFonts w:ascii="宋体" w:hAnsi="宋体"/>
          <w:szCs w:val="24"/>
        </w:rPr>
      </w:pPr>
      <w:r w:rsidRPr="00B42736">
        <w:rPr>
          <w:rFonts w:ascii="宋体" w:hAnsi="宋体" w:hint="eastAsia"/>
          <w:szCs w:val="24"/>
        </w:rPr>
        <w:t xml:space="preserve">（A）色谱图           </w:t>
      </w:r>
      <w:r>
        <w:rPr>
          <w:rFonts w:ascii="宋体" w:hAnsi="宋体" w:hint="eastAsia"/>
          <w:szCs w:val="24"/>
        </w:rPr>
        <w:t xml:space="preserve">        </w:t>
      </w:r>
      <w:r w:rsidRPr="00B42736">
        <w:rPr>
          <w:rFonts w:ascii="宋体" w:hAnsi="宋体" w:hint="eastAsia"/>
          <w:szCs w:val="24"/>
        </w:rPr>
        <w:t>（B）峰面积与浓度的线性回归</w:t>
      </w:r>
    </w:p>
    <w:p w:rsidR="00EF0FAF" w:rsidRPr="00B42736" w:rsidRDefault="00EF0FAF" w:rsidP="00EF0FAF">
      <w:pPr>
        <w:spacing w:line="360" w:lineRule="auto"/>
        <w:ind w:firstLineChars="200" w:firstLine="422"/>
        <w:jc w:val="center"/>
        <w:rPr>
          <w:rFonts w:ascii="宋体" w:hAnsi="宋体"/>
          <w:b/>
          <w:szCs w:val="24"/>
        </w:rPr>
      </w:pPr>
      <w:r w:rsidRPr="00B42736">
        <w:rPr>
          <w:rFonts w:ascii="宋体" w:hAnsi="宋体" w:hint="eastAsia"/>
          <w:b/>
          <w:szCs w:val="24"/>
        </w:rPr>
        <w:t>图</w:t>
      </w:r>
      <w:r>
        <w:rPr>
          <w:rFonts w:ascii="宋体" w:hAnsi="宋体" w:hint="eastAsia"/>
          <w:b/>
          <w:szCs w:val="24"/>
        </w:rPr>
        <w:t>1</w:t>
      </w:r>
      <w:r w:rsidRPr="00EF0FAF">
        <w:rPr>
          <w:rFonts w:ascii="宋体" w:hAnsi="宋体" w:hint="eastAsia"/>
          <w:b/>
          <w:szCs w:val="24"/>
        </w:rPr>
        <w:t>苯</w:t>
      </w:r>
      <w:proofErr w:type="gramStart"/>
      <w:r w:rsidRPr="00EF0FAF">
        <w:rPr>
          <w:rFonts w:ascii="宋体" w:hAnsi="宋体" w:hint="eastAsia"/>
          <w:b/>
          <w:szCs w:val="24"/>
        </w:rPr>
        <w:t>唑</w:t>
      </w:r>
      <w:proofErr w:type="gramEnd"/>
      <w:r w:rsidRPr="00EF0FAF">
        <w:rPr>
          <w:rFonts w:ascii="宋体" w:hAnsi="宋体" w:hint="eastAsia"/>
          <w:b/>
          <w:szCs w:val="24"/>
        </w:rPr>
        <w:t>西林</w:t>
      </w:r>
      <w:r w:rsidRPr="00B42736">
        <w:rPr>
          <w:rFonts w:ascii="宋体" w:hAnsi="宋体" w:hint="eastAsia"/>
          <w:b/>
          <w:szCs w:val="24"/>
        </w:rPr>
        <w:t>的</w:t>
      </w:r>
      <w:r>
        <w:rPr>
          <w:rFonts w:ascii="宋体" w:hAnsi="宋体" w:hint="eastAsia"/>
          <w:b/>
          <w:szCs w:val="24"/>
        </w:rPr>
        <w:t>HPLC</w:t>
      </w:r>
      <w:r w:rsidRPr="00B42736">
        <w:rPr>
          <w:rFonts w:ascii="宋体" w:hAnsi="宋体" w:hint="eastAsia"/>
          <w:b/>
          <w:szCs w:val="24"/>
        </w:rPr>
        <w:t>色谱图（A）及</w:t>
      </w:r>
      <w:r>
        <w:rPr>
          <w:rFonts w:ascii="宋体" w:hAnsi="宋体" w:hint="eastAsia"/>
          <w:b/>
          <w:szCs w:val="24"/>
        </w:rPr>
        <w:t>其不同浓度的</w:t>
      </w:r>
      <w:r w:rsidRPr="00B42736">
        <w:rPr>
          <w:rFonts w:ascii="宋体" w:hAnsi="宋体" w:hint="eastAsia"/>
          <w:b/>
          <w:szCs w:val="24"/>
        </w:rPr>
        <w:t>回归曲线分析（B）</w:t>
      </w:r>
    </w:p>
    <w:p w:rsidR="00EF0FAF" w:rsidRPr="009065AB" w:rsidRDefault="00EF0FAF" w:rsidP="009065AB">
      <w:pPr>
        <w:spacing w:line="360" w:lineRule="auto"/>
        <w:ind w:firstLineChars="200" w:firstLine="480"/>
        <w:rPr>
          <w:rFonts w:ascii="宋体" w:hAnsi="宋体"/>
          <w:sz w:val="24"/>
          <w:szCs w:val="24"/>
        </w:rPr>
      </w:pPr>
      <w:r>
        <w:rPr>
          <w:rFonts w:ascii="宋体" w:hAnsi="宋体" w:hint="eastAsia"/>
          <w:sz w:val="24"/>
          <w:szCs w:val="24"/>
        </w:rPr>
        <w:t>（2）</w:t>
      </w:r>
      <w:r w:rsidRPr="00EF0FAF">
        <w:rPr>
          <w:rFonts w:ascii="宋体" w:hAnsi="宋体" w:hint="eastAsia"/>
          <w:sz w:val="24"/>
          <w:szCs w:val="24"/>
        </w:rPr>
        <w:t>青霉素V</w:t>
      </w:r>
      <w:r>
        <w:rPr>
          <w:rFonts w:ascii="宋体" w:hAnsi="宋体" w:hint="eastAsia"/>
          <w:sz w:val="24"/>
          <w:szCs w:val="24"/>
        </w:rPr>
        <w:t>钾。用高效凝胶色谱柱对</w:t>
      </w:r>
      <w:r w:rsidRPr="00EF0FAF">
        <w:rPr>
          <w:rFonts w:ascii="宋体" w:hAnsi="宋体" w:hint="eastAsia"/>
          <w:sz w:val="24"/>
          <w:szCs w:val="24"/>
        </w:rPr>
        <w:t>青霉素V</w:t>
      </w:r>
      <w:proofErr w:type="gramStart"/>
      <w:r w:rsidRPr="00EF0FAF">
        <w:rPr>
          <w:rFonts w:ascii="宋体" w:hAnsi="宋体" w:hint="eastAsia"/>
          <w:sz w:val="24"/>
          <w:szCs w:val="24"/>
        </w:rPr>
        <w:t>钾</w:t>
      </w:r>
      <w:r>
        <w:rPr>
          <w:rFonts w:ascii="宋体" w:hAnsi="宋体" w:hint="eastAsia"/>
          <w:sz w:val="24"/>
          <w:szCs w:val="24"/>
        </w:rPr>
        <w:t>进行</w:t>
      </w:r>
      <w:proofErr w:type="gramEnd"/>
      <w:r>
        <w:rPr>
          <w:rFonts w:ascii="宋体" w:hAnsi="宋体" w:hint="eastAsia"/>
          <w:sz w:val="24"/>
          <w:szCs w:val="24"/>
        </w:rPr>
        <w:t>HPLC测定,进样10μL，主峰理论塔板数为17504。在</w:t>
      </w:r>
      <w:r w:rsidRPr="004E2B1C">
        <w:rPr>
          <w:rFonts w:ascii="宋体" w:hAnsi="宋体"/>
          <w:sz w:val="24"/>
          <w:szCs w:val="24"/>
        </w:rPr>
        <w:t>0.0</w:t>
      </w:r>
      <w:r>
        <w:rPr>
          <w:rFonts w:ascii="宋体" w:hAnsi="宋体" w:hint="eastAsia"/>
          <w:sz w:val="24"/>
          <w:szCs w:val="24"/>
        </w:rPr>
        <w:t xml:space="preserve">4-5 </w:t>
      </w:r>
      <w:r w:rsidRPr="004E2B1C">
        <w:rPr>
          <w:rFonts w:ascii="宋体" w:hAnsi="宋体"/>
          <w:sz w:val="24"/>
          <w:szCs w:val="24"/>
        </w:rPr>
        <w:t>mg/mL</w:t>
      </w:r>
      <w:r>
        <w:rPr>
          <w:rFonts w:ascii="宋体" w:hAnsi="宋体"/>
          <w:sz w:val="24"/>
          <w:szCs w:val="24"/>
        </w:rPr>
        <w:t>浓度范围内</w:t>
      </w:r>
      <w:r>
        <w:rPr>
          <w:rFonts w:ascii="宋体" w:hAnsi="宋体" w:hint="eastAsia"/>
          <w:sz w:val="24"/>
          <w:szCs w:val="24"/>
        </w:rPr>
        <w:t>，回归曲线的</w:t>
      </w:r>
      <w:r w:rsidRPr="005D26FC">
        <w:rPr>
          <w:rFonts w:ascii="宋体" w:hAnsi="宋体"/>
          <w:i/>
          <w:sz w:val="24"/>
          <w:szCs w:val="24"/>
        </w:rPr>
        <w:t xml:space="preserve"> R</w:t>
      </w:r>
      <w:r w:rsidRPr="005D26FC">
        <w:rPr>
          <w:rFonts w:ascii="宋体" w:hAnsi="宋体"/>
          <w:i/>
          <w:sz w:val="24"/>
          <w:szCs w:val="24"/>
          <w:vertAlign w:val="superscript"/>
        </w:rPr>
        <w:t>2</w:t>
      </w:r>
      <w:r>
        <w:rPr>
          <w:rFonts w:ascii="宋体" w:hAnsi="宋体" w:hint="eastAsia"/>
          <w:sz w:val="24"/>
          <w:szCs w:val="24"/>
        </w:rPr>
        <w:t>为1。</w:t>
      </w:r>
    </w:p>
    <w:p w:rsidR="00EF0FAF" w:rsidRDefault="00EF0FAF" w:rsidP="00EF0FAF">
      <w:pPr>
        <w:spacing w:line="360" w:lineRule="auto"/>
        <w:ind w:firstLineChars="200" w:firstLine="420"/>
        <w:rPr>
          <w:rFonts w:ascii="宋体" w:hAnsi="宋体"/>
          <w:sz w:val="24"/>
          <w:szCs w:val="24"/>
        </w:rPr>
      </w:pPr>
      <w:r>
        <w:rPr>
          <w:rFonts w:hint="eastAsia"/>
          <w:noProof/>
        </w:rPr>
        <w:lastRenderedPageBreak/>
        <w:drawing>
          <wp:inline distT="0" distB="0" distL="0" distR="0" wp14:anchorId="4CF5361F" wp14:editId="762A23EB">
            <wp:extent cx="3263900" cy="1238250"/>
            <wp:effectExtent l="0" t="0" r="0" b="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lum bright="20000"/>
                    </a:blip>
                    <a:srcRect l="724" t="4167" r="37279" b="5555"/>
                    <a:stretch/>
                  </pic:blipFill>
                  <pic:spPr bwMode="auto">
                    <a:xfrm>
                      <a:off x="0" y="0"/>
                      <a:ext cx="3269945" cy="124054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hint="eastAsia"/>
          <w:sz w:val="24"/>
          <w:szCs w:val="24"/>
        </w:rPr>
        <w:t xml:space="preserve">  </w:t>
      </w:r>
      <w:r>
        <w:rPr>
          <w:noProof/>
        </w:rPr>
        <w:drawing>
          <wp:inline distT="0" distB="0" distL="0" distR="0" wp14:anchorId="6C4D7F6E" wp14:editId="741E7F64">
            <wp:extent cx="2190750" cy="1308100"/>
            <wp:effectExtent l="0" t="0" r="0" b="63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0FAF" w:rsidRPr="00B42736" w:rsidRDefault="00EF0FAF" w:rsidP="009065AB">
      <w:pPr>
        <w:spacing w:line="360" w:lineRule="auto"/>
        <w:ind w:firstLineChars="1500" w:firstLine="3150"/>
        <w:rPr>
          <w:rFonts w:ascii="宋体" w:hAnsi="宋体"/>
          <w:szCs w:val="24"/>
        </w:rPr>
      </w:pPr>
      <w:r w:rsidRPr="00B42736">
        <w:rPr>
          <w:rFonts w:ascii="宋体" w:hAnsi="宋体" w:hint="eastAsia"/>
          <w:szCs w:val="24"/>
        </w:rPr>
        <w:t xml:space="preserve">（A）色谱图           </w:t>
      </w:r>
      <w:r>
        <w:rPr>
          <w:rFonts w:ascii="宋体" w:hAnsi="宋体" w:hint="eastAsia"/>
          <w:szCs w:val="24"/>
        </w:rPr>
        <w:t xml:space="preserve">        </w:t>
      </w:r>
      <w:r w:rsidRPr="00B42736">
        <w:rPr>
          <w:rFonts w:ascii="宋体" w:hAnsi="宋体" w:hint="eastAsia"/>
          <w:szCs w:val="24"/>
        </w:rPr>
        <w:t>（B）峰面积与浓度的线性回归</w:t>
      </w:r>
    </w:p>
    <w:p w:rsidR="00EF0FAF" w:rsidRPr="00B42736" w:rsidRDefault="00EF0FAF" w:rsidP="00EF0FAF">
      <w:pPr>
        <w:spacing w:line="360" w:lineRule="auto"/>
        <w:ind w:firstLineChars="200" w:firstLine="422"/>
        <w:jc w:val="center"/>
        <w:rPr>
          <w:rFonts w:ascii="宋体" w:hAnsi="宋体"/>
          <w:b/>
          <w:szCs w:val="24"/>
        </w:rPr>
      </w:pPr>
      <w:r w:rsidRPr="00B42736">
        <w:rPr>
          <w:rFonts w:ascii="宋体" w:hAnsi="宋体" w:hint="eastAsia"/>
          <w:b/>
          <w:szCs w:val="24"/>
        </w:rPr>
        <w:t>图</w:t>
      </w:r>
      <w:r w:rsidR="004D2B33">
        <w:rPr>
          <w:rFonts w:ascii="宋体" w:hAnsi="宋体" w:hint="eastAsia"/>
          <w:b/>
          <w:szCs w:val="24"/>
        </w:rPr>
        <w:t>2</w:t>
      </w:r>
      <w:r w:rsidRPr="00EF0FAF">
        <w:rPr>
          <w:rFonts w:ascii="宋体" w:hAnsi="宋体" w:hint="eastAsia"/>
          <w:b/>
          <w:szCs w:val="24"/>
        </w:rPr>
        <w:t>青霉素V钾</w:t>
      </w:r>
      <w:r w:rsidRPr="00B42736">
        <w:rPr>
          <w:rFonts w:ascii="宋体" w:hAnsi="宋体" w:hint="eastAsia"/>
          <w:b/>
          <w:szCs w:val="24"/>
        </w:rPr>
        <w:t>的</w:t>
      </w:r>
      <w:r>
        <w:rPr>
          <w:rFonts w:ascii="宋体" w:hAnsi="宋体" w:hint="eastAsia"/>
          <w:b/>
          <w:szCs w:val="24"/>
        </w:rPr>
        <w:t>HPLC</w:t>
      </w:r>
      <w:r w:rsidRPr="00B42736">
        <w:rPr>
          <w:rFonts w:ascii="宋体" w:hAnsi="宋体" w:hint="eastAsia"/>
          <w:b/>
          <w:szCs w:val="24"/>
        </w:rPr>
        <w:t>色谱图（A）及</w:t>
      </w:r>
      <w:r>
        <w:rPr>
          <w:rFonts w:ascii="宋体" w:hAnsi="宋体" w:hint="eastAsia"/>
          <w:b/>
          <w:szCs w:val="24"/>
        </w:rPr>
        <w:t>其不同浓度的</w:t>
      </w:r>
      <w:r w:rsidRPr="00B42736">
        <w:rPr>
          <w:rFonts w:ascii="宋体" w:hAnsi="宋体" w:hint="eastAsia"/>
          <w:b/>
          <w:szCs w:val="24"/>
        </w:rPr>
        <w:t>回归曲线分析（B）</w:t>
      </w:r>
    </w:p>
    <w:p w:rsidR="005D26FC" w:rsidRDefault="00635D79" w:rsidP="00EF0FAF">
      <w:pPr>
        <w:spacing w:line="360" w:lineRule="auto"/>
        <w:ind w:firstLineChars="200" w:firstLine="480"/>
        <w:rPr>
          <w:rFonts w:ascii="宋体" w:hAnsi="宋体"/>
          <w:sz w:val="24"/>
          <w:szCs w:val="24"/>
        </w:rPr>
      </w:pPr>
      <w:r>
        <w:rPr>
          <w:rFonts w:ascii="宋体" w:hAnsi="宋体" w:hint="eastAsia"/>
          <w:sz w:val="24"/>
          <w:szCs w:val="24"/>
        </w:rPr>
        <w:t>（3）头</w:t>
      </w:r>
      <w:proofErr w:type="gramStart"/>
      <w:r>
        <w:rPr>
          <w:rFonts w:ascii="宋体" w:hAnsi="宋体" w:hint="eastAsia"/>
          <w:sz w:val="24"/>
          <w:szCs w:val="24"/>
        </w:rPr>
        <w:t>孢</w:t>
      </w:r>
      <w:proofErr w:type="gramEnd"/>
      <w:r>
        <w:rPr>
          <w:rFonts w:ascii="宋体" w:hAnsi="宋体" w:hint="eastAsia"/>
          <w:sz w:val="24"/>
          <w:szCs w:val="24"/>
        </w:rPr>
        <w:t>曲松。</w:t>
      </w:r>
      <w:r w:rsidR="005D26FC">
        <w:rPr>
          <w:rFonts w:ascii="宋体" w:hAnsi="宋体" w:hint="eastAsia"/>
          <w:sz w:val="24"/>
          <w:szCs w:val="24"/>
        </w:rPr>
        <w:t>用高效凝胶色谱柱对头</w:t>
      </w:r>
      <w:proofErr w:type="gramStart"/>
      <w:r w:rsidR="005D26FC">
        <w:rPr>
          <w:rFonts w:ascii="宋体" w:hAnsi="宋体" w:hint="eastAsia"/>
          <w:sz w:val="24"/>
          <w:szCs w:val="24"/>
        </w:rPr>
        <w:t>孢</w:t>
      </w:r>
      <w:proofErr w:type="gramEnd"/>
      <w:r w:rsidR="005D26FC">
        <w:rPr>
          <w:rFonts w:ascii="宋体" w:hAnsi="宋体" w:hint="eastAsia"/>
          <w:sz w:val="24"/>
          <w:szCs w:val="24"/>
        </w:rPr>
        <w:t>曲松进行HPLC测定,进样</w:t>
      </w:r>
      <w:r w:rsidR="00BA483B">
        <w:rPr>
          <w:rFonts w:ascii="宋体" w:hAnsi="宋体" w:hint="eastAsia"/>
          <w:sz w:val="24"/>
          <w:szCs w:val="24"/>
        </w:rPr>
        <w:t>5</w:t>
      </w:r>
      <w:r w:rsidR="005D26FC">
        <w:rPr>
          <w:rFonts w:ascii="宋体" w:hAnsi="宋体" w:hint="eastAsia"/>
          <w:sz w:val="24"/>
          <w:szCs w:val="24"/>
        </w:rPr>
        <w:t>μL，主峰理论塔板数为1</w:t>
      </w:r>
      <w:r>
        <w:rPr>
          <w:rFonts w:ascii="宋体" w:hAnsi="宋体" w:hint="eastAsia"/>
          <w:sz w:val="24"/>
          <w:szCs w:val="24"/>
        </w:rPr>
        <w:t>2847</w:t>
      </w:r>
      <w:r w:rsidR="005D26FC">
        <w:rPr>
          <w:rFonts w:ascii="宋体" w:hAnsi="宋体" w:hint="eastAsia"/>
          <w:sz w:val="24"/>
          <w:szCs w:val="24"/>
        </w:rPr>
        <w:t>。</w:t>
      </w:r>
      <w:r w:rsidR="00BA483B">
        <w:rPr>
          <w:rFonts w:ascii="宋体" w:hAnsi="宋体" w:hint="eastAsia"/>
          <w:sz w:val="24"/>
          <w:szCs w:val="24"/>
        </w:rPr>
        <w:t>在0.005-5 mg/mL范围内，回归曲线的</w:t>
      </w:r>
      <w:r w:rsidR="00BA483B" w:rsidRPr="00B42736">
        <w:rPr>
          <w:rFonts w:ascii="宋体" w:hAnsi="宋体" w:hint="eastAsia"/>
          <w:i/>
          <w:sz w:val="24"/>
          <w:szCs w:val="24"/>
        </w:rPr>
        <w:t>R</w:t>
      </w:r>
      <w:r w:rsidR="00BA483B" w:rsidRPr="00B42736">
        <w:rPr>
          <w:rFonts w:ascii="宋体" w:hAnsi="宋体" w:hint="eastAsia"/>
          <w:i/>
          <w:sz w:val="24"/>
          <w:szCs w:val="24"/>
          <w:vertAlign w:val="superscript"/>
        </w:rPr>
        <w:t>2</w:t>
      </w:r>
      <w:r w:rsidR="00BA483B">
        <w:rPr>
          <w:rFonts w:ascii="宋体" w:hAnsi="宋体" w:hint="eastAsia"/>
          <w:sz w:val="24"/>
          <w:szCs w:val="24"/>
        </w:rPr>
        <w:t>为</w:t>
      </w:r>
      <w:r w:rsidR="00CC3226">
        <w:rPr>
          <w:rFonts w:ascii="宋体" w:hAnsi="宋体" w:hint="eastAsia"/>
          <w:sz w:val="24"/>
          <w:szCs w:val="24"/>
        </w:rPr>
        <w:t>0.9941</w:t>
      </w:r>
      <w:r w:rsidR="00BA483B">
        <w:rPr>
          <w:rFonts w:ascii="宋体" w:hAnsi="宋体" w:hint="eastAsia"/>
          <w:sz w:val="24"/>
          <w:szCs w:val="24"/>
        </w:rPr>
        <w:t>。</w:t>
      </w:r>
    </w:p>
    <w:p w:rsidR="005D26FC" w:rsidRDefault="005D26FC" w:rsidP="009065AB">
      <w:pPr>
        <w:spacing w:line="360" w:lineRule="auto"/>
        <w:ind w:firstLineChars="200" w:firstLine="480"/>
        <w:jc w:val="center"/>
        <w:rPr>
          <w:rFonts w:ascii="宋体" w:hAnsi="宋体"/>
          <w:sz w:val="24"/>
          <w:szCs w:val="24"/>
        </w:rPr>
      </w:pPr>
      <w:r w:rsidRPr="009065AB">
        <w:rPr>
          <w:rFonts w:ascii="宋体" w:hAnsi="宋体"/>
          <w:noProof/>
          <w:sz w:val="24"/>
          <w:szCs w:val="24"/>
        </w:rPr>
        <w:drawing>
          <wp:inline distT="0" distB="0" distL="0" distR="0" wp14:anchorId="4F7A68EF" wp14:editId="26188087">
            <wp:extent cx="2426058" cy="12890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4244"/>
                    <a:stretch/>
                  </pic:blipFill>
                  <pic:spPr bwMode="auto">
                    <a:xfrm>
                      <a:off x="0" y="0"/>
                      <a:ext cx="2428321" cy="1290253"/>
                    </a:xfrm>
                    <a:prstGeom prst="rect">
                      <a:avLst/>
                    </a:prstGeom>
                    <a:noFill/>
                    <a:ln>
                      <a:noFill/>
                    </a:ln>
                    <a:extLst>
                      <a:ext uri="{53640926-AAD7-44D8-BBD7-CCE9431645EC}">
                        <a14:shadowObscured xmlns:a14="http://schemas.microsoft.com/office/drawing/2010/main"/>
                      </a:ext>
                    </a:extLst>
                  </pic:spPr>
                </pic:pic>
              </a:graphicData>
            </a:graphic>
          </wp:inline>
        </w:drawing>
      </w:r>
      <w:r w:rsidR="00E91A74">
        <w:rPr>
          <w:rFonts w:ascii="宋体" w:hAnsi="宋体" w:hint="eastAsia"/>
          <w:sz w:val="24"/>
          <w:szCs w:val="24"/>
        </w:rPr>
        <w:t xml:space="preserve">  </w:t>
      </w:r>
      <w:r w:rsidR="00CC3226">
        <w:rPr>
          <w:noProof/>
        </w:rPr>
        <w:drawing>
          <wp:inline distT="0" distB="0" distL="0" distR="0" wp14:anchorId="0A803E70" wp14:editId="74E7F4C0">
            <wp:extent cx="2257865" cy="1533379"/>
            <wp:effectExtent l="0" t="0" r="0" b="0"/>
            <wp:docPr id="6146" name="图表 6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1A74" w:rsidRPr="00B42736" w:rsidRDefault="00E91A74" w:rsidP="009065AB">
      <w:pPr>
        <w:spacing w:line="360" w:lineRule="auto"/>
        <w:ind w:firstLineChars="1300" w:firstLine="2730"/>
        <w:rPr>
          <w:rFonts w:ascii="宋体" w:hAnsi="宋体"/>
          <w:szCs w:val="24"/>
        </w:rPr>
      </w:pPr>
      <w:r w:rsidRPr="00B42736">
        <w:rPr>
          <w:rFonts w:ascii="宋体" w:hAnsi="宋体" w:hint="eastAsia"/>
          <w:szCs w:val="24"/>
        </w:rPr>
        <w:t xml:space="preserve">（A）色谱图           </w:t>
      </w:r>
      <w:r>
        <w:rPr>
          <w:rFonts w:ascii="宋体" w:hAnsi="宋体" w:hint="eastAsia"/>
          <w:szCs w:val="24"/>
        </w:rPr>
        <w:t xml:space="preserve">        </w:t>
      </w:r>
      <w:r w:rsidRPr="00B42736">
        <w:rPr>
          <w:rFonts w:ascii="宋体" w:hAnsi="宋体" w:hint="eastAsia"/>
          <w:szCs w:val="24"/>
        </w:rPr>
        <w:t>（B）峰面积与浓度的线性回归</w:t>
      </w:r>
    </w:p>
    <w:p w:rsidR="00E91A74" w:rsidRPr="00B42736" w:rsidRDefault="00E91A74" w:rsidP="00E91A74">
      <w:pPr>
        <w:spacing w:line="360" w:lineRule="auto"/>
        <w:ind w:firstLineChars="200" w:firstLine="422"/>
        <w:jc w:val="center"/>
        <w:rPr>
          <w:rFonts w:ascii="宋体" w:hAnsi="宋体"/>
          <w:b/>
          <w:szCs w:val="24"/>
        </w:rPr>
      </w:pPr>
      <w:r w:rsidRPr="00B42736">
        <w:rPr>
          <w:rFonts w:ascii="宋体" w:hAnsi="宋体" w:hint="eastAsia"/>
          <w:b/>
          <w:szCs w:val="24"/>
        </w:rPr>
        <w:t>图</w:t>
      </w:r>
      <w:r w:rsidR="00EA6B7A">
        <w:rPr>
          <w:rFonts w:ascii="宋体" w:hAnsi="宋体" w:hint="eastAsia"/>
          <w:b/>
          <w:szCs w:val="24"/>
        </w:rPr>
        <w:t>3</w:t>
      </w:r>
      <w:r w:rsidRPr="00B42736">
        <w:rPr>
          <w:rFonts w:ascii="宋体" w:hAnsi="宋体" w:hint="eastAsia"/>
          <w:b/>
          <w:szCs w:val="24"/>
        </w:rPr>
        <w:t xml:space="preserve"> 头</w:t>
      </w:r>
      <w:proofErr w:type="gramStart"/>
      <w:r w:rsidRPr="00B42736">
        <w:rPr>
          <w:rFonts w:ascii="宋体" w:hAnsi="宋体" w:hint="eastAsia"/>
          <w:b/>
          <w:szCs w:val="24"/>
        </w:rPr>
        <w:t>孢</w:t>
      </w:r>
      <w:proofErr w:type="gramEnd"/>
      <w:r w:rsidR="00DA7ED4" w:rsidRPr="009065AB">
        <w:rPr>
          <w:rFonts w:ascii="宋体" w:hAnsi="宋体" w:hint="eastAsia"/>
          <w:b/>
          <w:szCs w:val="24"/>
        </w:rPr>
        <w:t>曲松</w:t>
      </w:r>
      <w:r w:rsidRPr="00B42736">
        <w:rPr>
          <w:rFonts w:ascii="宋体" w:hAnsi="宋体" w:hint="eastAsia"/>
          <w:b/>
          <w:szCs w:val="24"/>
        </w:rPr>
        <w:t>的</w:t>
      </w:r>
      <w:r w:rsidR="00DA7ED4">
        <w:rPr>
          <w:rFonts w:ascii="宋体" w:hAnsi="宋体" w:hint="eastAsia"/>
          <w:b/>
          <w:szCs w:val="24"/>
        </w:rPr>
        <w:t>HPLC</w:t>
      </w:r>
      <w:r w:rsidRPr="00B42736">
        <w:rPr>
          <w:rFonts w:ascii="宋体" w:hAnsi="宋体" w:hint="eastAsia"/>
          <w:b/>
          <w:szCs w:val="24"/>
        </w:rPr>
        <w:t>色谱图（A）及</w:t>
      </w:r>
      <w:r w:rsidR="00DA7ED4">
        <w:rPr>
          <w:rFonts w:ascii="宋体" w:hAnsi="宋体" w:hint="eastAsia"/>
          <w:b/>
          <w:szCs w:val="24"/>
        </w:rPr>
        <w:t>其不同浓度的</w:t>
      </w:r>
      <w:r w:rsidRPr="00B42736">
        <w:rPr>
          <w:rFonts w:ascii="宋体" w:hAnsi="宋体" w:hint="eastAsia"/>
          <w:b/>
          <w:szCs w:val="24"/>
        </w:rPr>
        <w:t>回归曲线分析（B）</w:t>
      </w:r>
    </w:p>
    <w:p w:rsidR="00D70DB5" w:rsidRPr="00B42736" w:rsidRDefault="00635D79" w:rsidP="00D70DB5">
      <w:pPr>
        <w:spacing w:line="360" w:lineRule="auto"/>
        <w:ind w:firstLineChars="200" w:firstLine="480"/>
        <w:rPr>
          <w:rFonts w:ascii="宋体" w:hAnsi="宋体"/>
          <w:sz w:val="24"/>
          <w:szCs w:val="24"/>
        </w:rPr>
      </w:pPr>
      <w:r>
        <w:rPr>
          <w:rFonts w:ascii="宋体" w:hAnsi="宋体" w:hint="eastAsia"/>
          <w:sz w:val="24"/>
          <w:szCs w:val="24"/>
        </w:rPr>
        <w:t>（4）</w:t>
      </w:r>
      <w:r w:rsidRPr="00D70DB5">
        <w:rPr>
          <w:rFonts w:ascii="宋体" w:hAnsi="宋体" w:hint="eastAsia"/>
          <w:sz w:val="24"/>
          <w:szCs w:val="24"/>
        </w:rPr>
        <w:t>头</w:t>
      </w:r>
      <w:proofErr w:type="gramStart"/>
      <w:r w:rsidRPr="00D70DB5">
        <w:rPr>
          <w:rFonts w:ascii="宋体" w:hAnsi="宋体" w:hint="eastAsia"/>
          <w:sz w:val="24"/>
          <w:szCs w:val="24"/>
        </w:rPr>
        <w:t>孢</w:t>
      </w:r>
      <w:proofErr w:type="gramEnd"/>
      <w:r w:rsidRPr="00D70DB5">
        <w:rPr>
          <w:rFonts w:ascii="宋体" w:hAnsi="宋体" w:hint="eastAsia"/>
          <w:sz w:val="24"/>
          <w:szCs w:val="24"/>
        </w:rPr>
        <w:t>噻吩</w:t>
      </w:r>
      <w:r>
        <w:rPr>
          <w:rFonts w:ascii="宋体" w:hAnsi="宋体" w:hint="eastAsia"/>
          <w:sz w:val="24"/>
          <w:szCs w:val="24"/>
        </w:rPr>
        <w:t>。</w:t>
      </w:r>
      <w:r w:rsidR="00D70DB5">
        <w:rPr>
          <w:rFonts w:ascii="宋体" w:hAnsi="宋体" w:hint="eastAsia"/>
          <w:sz w:val="24"/>
          <w:szCs w:val="24"/>
        </w:rPr>
        <w:t>利用高效凝胶色谱柱对</w:t>
      </w:r>
      <w:r w:rsidR="00D70DB5" w:rsidRPr="00D70DB5">
        <w:rPr>
          <w:rFonts w:ascii="宋体" w:hAnsi="宋体" w:hint="eastAsia"/>
          <w:sz w:val="24"/>
          <w:szCs w:val="24"/>
        </w:rPr>
        <w:t>头</w:t>
      </w:r>
      <w:proofErr w:type="gramStart"/>
      <w:r w:rsidR="00D70DB5" w:rsidRPr="00D70DB5">
        <w:rPr>
          <w:rFonts w:ascii="宋体" w:hAnsi="宋体" w:hint="eastAsia"/>
          <w:sz w:val="24"/>
          <w:szCs w:val="24"/>
        </w:rPr>
        <w:t>孢</w:t>
      </w:r>
      <w:proofErr w:type="gramEnd"/>
      <w:r w:rsidR="00D70DB5" w:rsidRPr="00D70DB5">
        <w:rPr>
          <w:rFonts w:ascii="宋体" w:hAnsi="宋体" w:hint="eastAsia"/>
          <w:sz w:val="24"/>
          <w:szCs w:val="24"/>
        </w:rPr>
        <w:t>噻吩</w:t>
      </w:r>
      <w:r w:rsidR="00D70DB5">
        <w:rPr>
          <w:rFonts w:ascii="宋体" w:hAnsi="宋体" w:hint="eastAsia"/>
          <w:sz w:val="24"/>
          <w:szCs w:val="24"/>
        </w:rPr>
        <w:t>进行HPLC测定,进样5μL，主峰理论塔板数为</w:t>
      </w:r>
      <w:r>
        <w:rPr>
          <w:rFonts w:ascii="宋体" w:hAnsi="宋体" w:hint="eastAsia"/>
          <w:sz w:val="24"/>
          <w:szCs w:val="24"/>
        </w:rPr>
        <w:t>10083</w:t>
      </w:r>
      <w:r w:rsidR="00D70DB5">
        <w:rPr>
          <w:rFonts w:ascii="宋体" w:hAnsi="宋体" w:hint="eastAsia"/>
          <w:sz w:val="24"/>
          <w:szCs w:val="24"/>
        </w:rPr>
        <w:t>，在</w:t>
      </w:r>
      <w:r>
        <w:rPr>
          <w:rFonts w:ascii="宋体" w:hAnsi="宋体" w:hint="eastAsia"/>
          <w:sz w:val="24"/>
          <w:szCs w:val="24"/>
        </w:rPr>
        <w:t>0.008</w:t>
      </w:r>
      <w:r w:rsidR="00D70DB5">
        <w:rPr>
          <w:rFonts w:ascii="宋体" w:hAnsi="宋体" w:hint="eastAsia"/>
          <w:sz w:val="24"/>
          <w:szCs w:val="24"/>
        </w:rPr>
        <w:t>-5 mg/mL范围内，回归曲线的</w:t>
      </w:r>
      <w:proofErr w:type="gramStart"/>
      <w:r w:rsidR="00D70DB5">
        <w:rPr>
          <w:rFonts w:ascii="宋体" w:hAnsi="宋体" w:hint="eastAsia"/>
          <w:sz w:val="24"/>
          <w:szCs w:val="24"/>
        </w:rPr>
        <w:t>的</w:t>
      </w:r>
      <w:proofErr w:type="gramEnd"/>
      <w:r w:rsidR="00D70DB5" w:rsidRPr="00B42736">
        <w:rPr>
          <w:rFonts w:ascii="宋体" w:hAnsi="宋体" w:hint="eastAsia"/>
          <w:i/>
          <w:sz w:val="24"/>
          <w:szCs w:val="24"/>
        </w:rPr>
        <w:t xml:space="preserve"> R</w:t>
      </w:r>
      <w:r w:rsidR="00D70DB5" w:rsidRPr="00B42736">
        <w:rPr>
          <w:rFonts w:ascii="宋体" w:hAnsi="宋体" w:hint="eastAsia"/>
          <w:i/>
          <w:sz w:val="24"/>
          <w:szCs w:val="24"/>
          <w:vertAlign w:val="superscript"/>
        </w:rPr>
        <w:t>2</w:t>
      </w:r>
      <w:r w:rsidR="00D70DB5">
        <w:rPr>
          <w:rFonts w:ascii="宋体" w:hAnsi="宋体" w:hint="eastAsia"/>
          <w:sz w:val="24"/>
          <w:szCs w:val="24"/>
        </w:rPr>
        <w:t>为</w:t>
      </w:r>
      <w:r w:rsidR="00CC3226">
        <w:rPr>
          <w:rFonts w:ascii="宋体" w:hAnsi="宋体" w:hint="eastAsia"/>
          <w:sz w:val="24"/>
          <w:szCs w:val="24"/>
        </w:rPr>
        <w:t>0.9998</w:t>
      </w:r>
      <w:r w:rsidR="00D70DB5">
        <w:rPr>
          <w:rFonts w:ascii="宋体" w:hAnsi="宋体" w:hint="eastAsia"/>
          <w:sz w:val="24"/>
          <w:szCs w:val="24"/>
        </w:rPr>
        <w:t>（图2）。</w:t>
      </w:r>
    </w:p>
    <w:p w:rsidR="00D70DB5" w:rsidRDefault="00635D79" w:rsidP="009065AB">
      <w:pPr>
        <w:spacing w:line="360" w:lineRule="auto"/>
        <w:ind w:firstLineChars="200" w:firstLine="420"/>
        <w:jc w:val="center"/>
        <w:rPr>
          <w:rFonts w:ascii="宋体" w:hAnsi="宋体"/>
          <w:b/>
          <w:szCs w:val="24"/>
        </w:rPr>
      </w:pPr>
      <w:r>
        <w:rPr>
          <w:rFonts w:hint="eastAsia"/>
          <w:noProof/>
        </w:rPr>
        <w:drawing>
          <wp:inline distT="0" distB="0" distL="0" distR="0" wp14:anchorId="1A0013BE" wp14:editId="100225EF">
            <wp:extent cx="3160560" cy="1406769"/>
            <wp:effectExtent l="0" t="0" r="1905" b="317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lum bright="20000"/>
                    </a:blip>
                    <a:srcRect l="1207" t="2655" r="38609" b="3982"/>
                    <a:stretch/>
                  </pic:blipFill>
                  <pic:spPr bwMode="auto">
                    <a:xfrm>
                      <a:off x="0" y="0"/>
                      <a:ext cx="3174259" cy="1412866"/>
                    </a:xfrm>
                    <a:prstGeom prst="rect">
                      <a:avLst/>
                    </a:prstGeom>
                    <a:noFill/>
                    <a:ln>
                      <a:noFill/>
                    </a:ln>
                    <a:extLst>
                      <a:ext uri="{53640926-AAD7-44D8-BBD7-CCE9431645EC}">
                        <a14:shadowObscured xmlns:a14="http://schemas.microsoft.com/office/drawing/2010/main"/>
                      </a:ext>
                    </a:extLst>
                  </pic:spPr>
                </pic:pic>
              </a:graphicData>
            </a:graphic>
          </wp:inline>
        </w:drawing>
      </w:r>
      <w:r w:rsidR="00D70DB5">
        <w:rPr>
          <w:rFonts w:ascii="宋体" w:hAnsi="宋体" w:hint="eastAsia"/>
          <w:b/>
          <w:szCs w:val="24"/>
        </w:rPr>
        <w:t xml:space="preserve"> </w:t>
      </w:r>
      <w:r w:rsidR="00CC3226">
        <w:rPr>
          <w:noProof/>
        </w:rPr>
        <w:drawing>
          <wp:inline distT="0" distB="0" distL="0" distR="0" wp14:anchorId="0348AEFC" wp14:editId="166DAEF9">
            <wp:extent cx="2335237" cy="1484142"/>
            <wp:effectExtent l="0" t="0" r="8255" b="1905"/>
            <wp:docPr id="6149" name="图表 6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0DB5" w:rsidRPr="00B42736" w:rsidRDefault="00D70DB5" w:rsidP="00D70DB5">
      <w:pPr>
        <w:spacing w:line="360" w:lineRule="auto"/>
        <w:ind w:firstLineChars="1300" w:firstLine="2730"/>
        <w:rPr>
          <w:rFonts w:ascii="宋体" w:hAnsi="宋体"/>
          <w:szCs w:val="24"/>
        </w:rPr>
      </w:pPr>
      <w:r w:rsidRPr="00B42736">
        <w:rPr>
          <w:rFonts w:ascii="宋体" w:hAnsi="宋体" w:hint="eastAsia"/>
          <w:szCs w:val="24"/>
        </w:rPr>
        <w:t xml:space="preserve">（A）色谱图           </w:t>
      </w:r>
      <w:r>
        <w:rPr>
          <w:rFonts w:ascii="宋体" w:hAnsi="宋体" w:hint="eastAsia"/>
          <w:szCs w:val="24"/>
        </w:rPr>
        <w:t xml:space="preserve">        </w:t>
      </w:r>
      <w:r w:rsidRPr="00B42736">
        <w:rPr>
          <w:rFonts w:ascii="宋体" w:hAnsi="宋体" w:hint="eastAsia"/>
          <w:szCs w:val="24"/>
        </w:rPr>
        <w:t>（B）峰面积与浓度的线性回归</w:t>
      </w:r>
    </w:p>
    <w:p w:rsidR="00D70DB5" w:rsidRPr="00B42736" w:rsidRDefault="00D70DB5" w:rsidP="00D70DB5">
      <w:pPr>
        <w:spacing w:line="360" w:lineRule="auto"/>
        <w:ind w:firstLineChars="200" w:firstLine="422"/>
        <w:jc w:val="center"/>
        <w:rPr>
          <w:rFonts w:ascii="宋体" w:hAnsi="宋体"/>
          <w:b/>
          <w:szCs w:val="24"/>
        </w:rPr>
      </w:pPr>
      <w:r w:rsidRPr="00B42736">
        <w:rPr>
          <w:rFonts w:ascii="宋体" w:hAnsi="宋体" w:hint="eastAsia"/>
          <w:b/>
          <w:szCs w:val="24"/>
        </w:rPr>
        <w:t>图</w:t>
      </w:r>
      <w:r w:rsidR="002722FD">
        <w:rPr>
          <w:rFonts w:ascii="宋体" w:hAnsi="宋体" w:hint="eastAsia"/>
          <w:b/>
          <w:szCs w:val="24"/>
        </w:rPr>
        <w:t>4</w:t>
      </w:r>
      <w:r w:rsidRPr="00D70DB5">
        <w:rPr>
          <w:rFonts w:ascii="宋体" w:hAnsi="宋体" w:hint="eastAsia"/>
          <w:b/>
          <w:szCs w:val="24"/>
        </w:rPr>
        <w:t xml:space="preserve"> 头</w:t>
      </w:r>
      <w:proofErr w:type="gramStart"/>
      <w:r w:rsidRPr="00D70DB5">
        <w:rPr>
          <w:rFonts w:ascii="宋体" w:hAnsi="宋体" w:hint="eastAsia"/>
          <w:b/>
          <w:szCs w:val="24"/>
        </w:rPr>
        <w:t>孢</w:t>
      </w:r>
      <w:proofErr w:type="gramEnd"/>
      <w:r>
        <w:rPr>
          <w:rFonts w:ascii="宋体" w:hAnsi="宋体" w:hint="eastAsia"/>
          <w:b/>
          <w:szCs w:val="24"/>
        </w:rPr>
        <w:t>噻吩</w:t>
      </w:r>
      <w:r w:rsidRPr="00D70DB5">
        <w:rPr>
          <w:rFonts w:ascii="宋体" w:hAnsi="宋体" w:hint="eastAsia"/>
          <w:b/>
          <w:szCs w:val="24"/>
        </w:rPr>
        <w:t>的HPLC色谱图（A）及其不同浓度的回归曲线分析（B）</w:t>
      </w:r>
    </w:p>
    <w:p w:rsidR="00416DD0" w:rsidRDefault="00416DD0" w:rsidP="00416DD0">
      <w:pPr>
        <w:spacing w:line="360" w:lineRule="auto"/>
        <w:rPr>
          <w:rFonts w:ascii="黑体" w:eastAsia="黑体" w:hAnsi="金山简标宋"/>
          <w:b/>
          <w:sz w:val="24"/>
        </w:rPr>
      </w:pPr>
      <w:r>
        <w:rPr>
          <w:rFonts w:ascii="黑体" w:eastAsia="黑体" w:hAnsi="金山简标宋" w:hint="eastAsia"/>
          <w:b/>
          <w:sz w:val="24"/>
        </w:rPr>
        <w:t>八</w:t>
      </w:r>
      <w:r w:rsidRPr="004C5DE5">
        <w:rPr>
          <w:rFonts w:ascii="黑体" w:eastAsia="黑体" w:hAnsi="金山简标宋" w:hint="eastAsia"/>
          <w:b/>
          <w:sz w:val="24"/>
        </w:rPr>
        <w:t>、</w:t>
      </w:r>
      <w:r>
        <w:rPr>
          <w:rFonts w:ascii="黑体" w:eastAsia="黑体" w:hAnsi="金山简标宋" w:hint="eastAsia"/>
          <w:b/>
          <w:sz w:val="24"/>
        </w:rPr>
        <w:t>第三方单位的验证结果</w:t>
      </w:r>
    </w:p>
    <w:p w:rsidR="00635D79" w:rsidRDefault="00416DD0" w:rsidP="009065AB">
      <w:pPr>
        <w:spacing w:line="360" w:lineRule="auto"/>
        <w:ind w:firstLine="480"/>
        <w:jc w:val="left"/>
        <w:rPr>
          <w:rFonts w:ascii="宋体" w:hAnsi="宋体"/>
          <w:sz w:val="24"/>
        </w:rPr>
      </w:pPr>
      <w:r w:rsidRPr="000D58B8">
        <w:rPr>
          <w:rFonts w:ascii="宋体" w:hAnsi="宋体" w:hint="eastAsia"/>
          <w:sz w:val="24"/>
        </w:rPr>
        <w:t>本标</w:t>
      </w:r>
      <w:r w:rsidR="002722FD">
        <w:rPr>
          <w:rFonts w:ascii="宋体" w:hAnsi="宋体" w:hint="eastAsia"/>
          <w:sz w:val="24"/>
        </w:rPr>
        <w:t>准邀请杭州师范大学、浙江工商大学、浙江理工大学进行了第三方验证，分别对盐酸普鲁卡因</w:t>
      </w:r>
      <w:r w:rsidR="00E410DD">
        <w:rPr>
          <w:rFonts w:ascii="宋体" w:hAnsi="宋体" w:hint="eastAsia"/>
          <w:sz w:val="24"/>
        </w:rPr>
        <w:t>和</w:t>
      </w:r>
      <w:r w:rsidR="002722FD">
        <w:rPr>
          <w:rFonts w:ascii="宋体" w:hAnsi="宋体" w:hint="eastAsia"/>
          <w:sz w:val="24"/>
        </w:rPr>
        <w:t>头</w:t>
      </w:r>
      <w:proofErr w:type="gramStart"/>
      <w:r w:rsidR="002722FD">
        <w:rPr>
          <w:rFonts w:ascii="宋体" w:hAnsi="宋体" w:hint="eastAsia"/>
          <w:sz w:val="24"/>
        </w:rPr>
        <w:t>孢</w:t>
      </w:r>
      <w:proofErr w:type="gramEnd"/>
      <w:r w:rsidR="002722FD">
        <w:rPr>
          <w:rFonts w:ascii="宋体" w:hAnsi="宋体" w:hint="eastAsia"/>
          <w:sz w:val="24"/>
        </w:rPr>
        <w:t>拉定、</w:t>
      </w:r>
      <w:r w:rsidR="002722FD" w:rsidRPr="002376DC">
        <w:rPr>
          <w:rFonts w:ascii="宋体" w:hAnsi="宋体" w:hint="eastAsia"/>
          <w:sz w:val="24"/>
        </w:rPr>
        <w:t>头</w:t>
      </w:r>
      <w:proofErr w:type="gramStart"/>
      <w:r w:rsidR="002722FD" w:rsidRPr="002376DC">
        <w:rPr>
          <w:rFonts w:ascii="宋体" w:hAnsi="宋体" w:hint="eastAsia"/>
          <w:sz w:val="24"/>
        </w:rPr>
        <w:t>孢呋</w:t>
      </w:r>
      <w:proofErr w:type="gramEnd"/>
      <w:r w:rsidR="002722FD" w:rsidRPr="002376DC">
        <w:rPr>
          <w:rFonts w:ascii="宋体" w:hAnsi="宋体" w:hint="eastAsia"/>
          <w:sz w:val="24"/>
        </w:rPr>
        <w:t>辛</w:t>
      </w:r>
      <w:r w:rsidR="00E410DD">
        <w:rPr>
          <w:rFonts w:ascii="宋体" w:hAnsi="宋体" w:hint="eastAsia"/>
          <w:sz w:val="24"/>
        </w:rPr>
        <w:t>和</w:t>
      </w:r>
      <w:r w:rsidR="002722FD" w:rsidRPr="009259F8">
        <w:rPr>
          <w:rFonts w:ascii="宋体" w:hAnsi="宋体" w:hint="eastAsia"/>
          <w:sz w:val="24"/>
        </w:rPr>
        <w:t>头</w:t>
      </w:r>
      <w:proofErr w:type="gramStart"/>
      <w:r w:rsidR="002722FD" w:rsidRPr="009259F8">
        <w:rPr>
          <w:rFonts w:ascii="宋体" w:hAnsi="宋体" w:hint="eastAsia"/>
          <w:sz w:val="24"/>
        </w:rPr>
        <w:t>孢哌</w:t>
      </w:r>
      <w:proofErr w:type="gramEnd"/>
      <w:r w:rsidR="002722FD" w:rsidRPr="009259F8">
        <w:rPr>
          <w:rFonts w:ascii="宋体" w:hAnsi="宋体" w:hint="eastAsia"/>
          <w:sz w:val="24"/>
        </w:rPr>
        <w:t>酮</w:t>
      </w:r>
      <w:r w:rsidR="002722FD">
        <w:rPr>
          <w:rFonts w:ascii="宋体" w:hAnsi="宋体" w:hint="eastAsia"/>
          <w:sz w:val="24"/>
        </w:rPr>
        <w:t>、</w:t>
      </w:r>
      <w:r w:rsidR="002722FD" w:rsidRPr="009259F8">
        <w:rPr>
          <w:rFonts w:ascii="宋体" w:hAnsi="宋体" w:hint="eastAsia"/>
          <w:sz w:val="24"/>
        </w:rPr>
        <w:t>头</w:t>
      </w:r>
      <w:proofErr w:type="gramStart"/>
      <w:r w:rsidR="002722FD" w:rsidRPr="009259F8">
        <w:rPr>
          <w:rFonts w:ascii="宋体" w:hAnsi="宋体" w:hint="eastAsia"/>
          <w:sz w:val="24"/>
        </w:rPr>
        <w:t>孢</w:t>
      </w:r>
      <w:r w:rsidR="002722FD">
        <w:rPr>
          <w:rFonts w:ascii="宋体" w:hAnsi="宋体" w:hint="eastAsia"/>
          <w:sz w:val="24"/>
        </w:rPr>
        <w:t>唑</w:t>
      </w:r>
      <w:proofErr w:type="gramEnd"/>
      <w:r w:rsidR="002722FD">
        <w:rPr>
          <w:rFonts w:ascii="宋体" w:hAnsi="宋体" w:hint="eastAsia"/>
          <w:sz w:val="24"/>
        </w:rPr>
        <w:t>林</w:t>
      </w:r>
      <w:r w:rsidR="00E410DD">
        <w:rPr>
          <w:rFonts w:ascii="宋体" w:hAnsi="宋体" w:hint="eastAsia"/>
          <w:sz w:val="24"/>
        </w:rPr>
        <w:t>和头</w:t>
      </w:r>
      <w:proofErr w:type="gramStart"/>
      <w:r w:rsidR="00E410DD">
        <w:rPr>
          <w:rFonts w:ascii="宋体" w:hAnsi="宋体" w:hint="eastAsia"/>
          <w:sz w:val="24"/>
        </w:rPr>
        <w:t>孢</w:t>
      </w:r>
      <w:proofErr w:type="gramEnd"/>
      <w:r w:rsidR="00E410DD">
        <w:rPr>
          <w:rFonts w:ascii="宋体" w:hAnsi="宋体" w:hint="eastAsia"/>
          <w:sz w:val="24"/>
        </w:rPr>
        <w:t>替</w:t>
      </w:r>
      <w:proofErr w:type="gramStart"/>
      <w:r w:rsidR="00E410DD">
        <w:rPr>
          <w:rFonts w:ascii="宋体" w:hAnsi="宋体" w:hint="eastAsia"/>
          <w:sz w:val="24"/>
        </w:rPr>
        <w:t>唑</w:t>
      </w:r>
      <w:proofErr w:type="gramEnd"/>
      <w:r w:rsidR="00E410DD">
        <w:rPr>
          <w:rFonts w:ascii="宋体" w:hAnsi="宋体" w:hint="eastAsia"/>
          <w:sz w:val="24"/>
        </w:rPr>
        <w:t>进行了</w:t>
      </w:r>
      <w:r w:rsidR="00E64D49">
        <w:rPr>
          <w:rFonts w:ascii="宋体" w:hAnsi="宋体" w:hint="eastAsia"/>
          <w:sz w:val="24"/>
        </w:rPr>
        <w:t>测定，结果表</w:t>
      </w:r>
      <w:r w:rsidR="00C41566">
        <w:rPr>
          <w:rFonts w:ascii="宋体" w:hAnsi="宋体" w:hint="eastAsia"/>
          <w:sz w:val="24"/>
        </w:rPr>
        <w:t>明</w:t>
      </w:r>
      <w:r w:rsidR="00E64D49">
        <w:rPr>
          <w:rFonts w:ascii="宋体" w:hAnsi="宋体" w:hint="eastAsia"/>
          <w:sz w:val="24"/>
        </w:rPr>
        <w:t>，借助高效凝胶色谱</w:t>
      </w:r>
      <w:proofErr w:type="gramStart"/>
      <w:r w:rsidR="00E64D49">
        <w:rPr>
          <w:rFonts w:ascii="宋体" w:hAnsi="宋体" w:hint="eastAsia"/>
          <w:sz w:val="24"/>
        </w:rPr>
        <w:t>柱进行</w:t>
      </w:r>
      <w:proofErr w:type="gramEnd"/>
      <w:r w:rsidR="00E64D49">
        <w:rPr>
          <w:rFonts w:ascii="宋体" w:hAnsi="宋体" w:hint="eastAsia"/>
          <w:sz w:val="24"/>
        </w:rPr>
        <w:t>液相色谱</w:t>
      </w:r>
      <w:bookmarkStart w:id="5" w:name="_GoBack"/>
      <w:bookmarkEnd w:id="5"/>
      <w:r w:rsidR="00E64D49">
        <w:rPr>
          <w:rFonts w:ascii="宋体" w:hAnsi="宋体" w:hint="eastAsia"/>
          <w:sz w:val="24"/>
        </w:rPr>
        <w:t>分析，抗生素主成分的色谱峰塔板数都可达到</w:t>
      </w:r>
      <w:r w:rsidR="00E64D49">
        <w:rPr>
          <w:rFonts w:ascii="宋体" w:hAnsi="宋体" w:hint="eastAsia"/>
          <w:sz w:val="24"/>
        </w:rPr>
        <w:lastRenderedPageBreak/>
        <w:t>10000以上，与杂质可以达到有效分离。</w:t>
      </w:r>
    </w:p>
    <w:p w:rsidR="00635D79" w:rsidRPr="00B42736" w:rsidRDefault="00635D79" w:rsidP="00635D79">
      <w:pPr>
        <w:spacing w:line="360" w:lineRule="auto"/>
        <w:ind w:firstLineChars="200" w:firstLine="480"/>
        <w:rPr>
          <w:rFonts w:ascii="宋体" w:hAnsi="宋体"/>
          <w:sz w:val="24"/>
          <w:szCs w:val="24"/>
        </w:rPr>
      </w:pPr>
      <w:r>
        <w:rPr>
          <w:rFonts w:ascii="宋体" w:hAnsi="宋体" w:hint="eastAsia"/>
          <w:sz w:val="24"/>
          <w:szCs w:val="24"/>
        </w:rPr>
        <w:t>（</w:t>
      </w:r>
      <w:r w:rsidR="002722FD">
        <w:rPr>
          <w:rFonts w:ascii="宋体" w:hAnsi="宋体" w:hint="eastAsia"/>
          <w:sz w:val="24"/>
          <w:szCs w:val="24"/>
        </w:rPr>
        <w:t>1</w:t>
      </w:r>
      <w:r>
        <w:rPr>
          <w:rFonts w:ascii="宋体" w:hAnsi="宋体" w:hint="eastAsia"/>
          <w:sz w:val="24"/>
          <w:szCs w:val="24"/>
        </w:rPr>
        <w:t>）</w:t>
      </w:r>
      <w:r w:rsidR="002376DC" w:rsidRPr="002376DC">
        <w:rPr>
          <w:rFonts w:ascii="宋体" w:hAnsi="宋体" w:hint="eastAsia"/>
          <w:sz w:val="24"/>
        </w:rPr>
        <w:t>盐酸普鲁卡因</w:t>
      </w:r>
      <w:r>
        <w:rPr>
          <w:rFonts w:ascii="宋体" w:hAnsi="宋体" w:hint="eastAsia"/>
          <w:sz w:val="24"/>
          <w:szCs w:val="24"/>
        </w:rPr>
        <w:t>。利用高效凝胶色谱柱对</w:t>
      </w:r>
      <w:r w:rsidR="002376DC" w:rsidRPr="002376DC">
        <w:rPr>
          <w:rFonts w:ascii="宋体" w:hAnsi="宋体" w:hint="eastAsia"/>
          <w:sz w:val="24"/>
        </w:rPr>
        <w:t>盐酸普鲁卡因</w:t>
      </w:r>
      <w:r>
        <w:rPr>
          <w:rFonts w:ascii="宋体" w:hAnsi="宋体" w:hint="eastAsia"/>
          <w:sz w:val="24"/>
          <w:szCs w:val="24"/>
        </w:rPr>
        <w:t>进行HPLC测定,进样5μL，主峰理论塔板数为1</w:t>
      </w:r>
      <w:r w:rsidR="002376DC">
        <w:rPr>
          <w:rFonts w:ascii="宋体" w:hAnsi="宋体" w:hint="eastAsia"/>
          <w:sz w:val="24"/>
          <w:szCs w:val="24"/>
        </w:rPr>
        <w:t>4709</w:t>
      </w:r>
      <w:r>
        <w:rPr>
          <w:rFonts w:ascii="宋体" w:hAnsi="宋体" w:hint="eastAsia"/>
          <w:sz w:val="24"/>
          <w:szCs w:val="24"/>
        </w:rPr>
        <w:t>，在0.0</w:t>
      </w:r>
      <w:r w:rsidR="002376DC">
        <w:rPr>
          <w:rFonts w:ascii="宋体" w:hAnsi="宋体" w:hint="eastAsia"/>
          <w:sz w:val="24"/>
          <w:szCs w:val="24"/>
        </w:rPr>
        <w:t>4</w:t>
      </w:r>
      <w:r>
        <w:rPr>
          <w:rFonts w:ascii="宋体" w:hAnsi="宋体" w:hint="eastAsia"/>
          <w:sz w:val="24"/>
          <w:szCs w:val="24"/>
        </w:rPr>
        <w:t>-5 mg/mL范围内，回归曲线的</w:t>
      </w:r>
      <w:proofErr w:type="gramStart"/>
      <w:r>
        <w:rPr>
          <w:rFonts w:ascii="宋体" w:hAnsi="宋体" w:hint="eastAsia"/>
          <w:sz w:val="24"/>
          <w:szCs w:val="24"/>
        </w:rPr>
        <w:t>的</w:t>
      </w:r>
      <w:proofErr w:type="gramEnd"/>
      <w:r w:rsidRPr="00B42736">
        <w:rPr>
          <w:rFonts w:ascii="宋体" w:hAnsi="宋体" w:hint="eastAsia"/>
          <w:i/>
          <w:sz w:val="24"/>
          <w:szCs w:val="24"/>
        </w:rPr>
        <w:t xml:space="preserve"> R</w:t>
      </w:r>
      <w:r w:rsidRPr="00B42736">
        <w:rPr>
          <w:rFonts w:ascii="宋体" w:hAnsi="宋体" w:hint="eastAsia"/>
          <w:i/>
          <w:sz w:val="24"/>
          <w:szCs w:val="24"/>
          <w:vertAlign w:val="superscript"/>
        </w:rPr>
        <w:t>2</w:t>
      </w:r>
      <w:r>
        <w:rPr>
          <w:rFonts w:ascii="宋体" w:hAnsi="宋体" w:hint="eastAsia"/>
          <w:sz w:val="24"/>
          <w:szCs w:val="24"/>
        </w:rPr>
        <w:t>为</w:t>
      </w:r>
      <w:r w:rsidR="002376DC">
        <w:rPr>
          <w:rFonts w:ascii="宋体" w:hAnsi="宋体" w:hint="eastAsia"/>
          <w:sz w:val="24"/>
          <w:szCs w:val="24"/>
        </w:rPr>
        <w:t>0.9996</w:t>
      </w:r>
      <w:r>
        <w:rPr>
          <w:rFonts w:ascii="宋体" w:hAnsi="宋体" w:hint="eastAsia"/>
          <w:sz w:val="24"/>
          <w:szCs w:val="24"/>
        </w:rPr>
        <w:t>。</w:t>
      </w:r>
    </w:p>
    <w:p w:rsidR="00635D79" w:rsidRDefault="002376DC" w:rsidP="009065AB">
      <w:pPr>
        <w:spacing w:line="360" w:lineRule="auto"/>
        <w:ind w:firstLineChars="200" w:firstLine="420"/>
        <w:jc w:val="center"/>
        <w:rPr>
          <w:rFonts w:ascii="宋体" w:hAnsi="宋体"/>
          <w:b/>
          <w:szCs w:val="24"/>
        </w:rPr>
      </w:pPr>
      <w:r>
        <w:rPr>
          <w:rFonts w:hint="eastAsia"/>
          <w:noProof/>
        </w:rPr>
        <w:drawing>
          <wp:inline distT="0" distB="0" distL="0" distR="0" wp14:anchorId="7ED3ED00" wp14:editId="23381F59">
            <wp:extent cx="2667000" cy="1301750"/>
            <wp:effectExtent l="0" t="0" r="0" b="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lum contrast="20000"/>
                    </a:blip>
                    <a:srcRect l="1085" t="3540" r="48259" b="5751"/>
                    <a:stretch/>
                  </pic:blipFill>
                  <pic:spPr bwMode="auto">
                    <a:xfrm>
                      <a:off x="0" y="0"/>
                      <a:ext cx="2671721" cy="1304054"/>
                    </a:xfrm>
                    <a:prstGeom prst="rect">
                      <a:avLst/>
                    </a:prstGeom>
                    <a:noFill/>
                    <a:ln>
                      <a:noFill/>
                    </a:ln>
                    <a:extLst>
                      <a:ext uri="{53640926-AAD7-44D8-BBD7-CCE9431645EC}">
                        <a14:shadowObscured xmlns:a14="http://schemas.microsoft.com/office/drawing/2010/main"/>
                      </a:ext>
                    </a:extLst>
                  </pic:spPr>
                </pic:pic>
              </a:graphicData>
            </a:graphic>
          </wp:inline>
        </w:drawing>
      </w:r>
      <w:r w:rsidR="00635D79">
        <w:rPr>
          <w:rFonts w:ascii="宋体" w:hAnsi="宋体" w:hint="eastAsia"/>
          <w:b/>
          <w:szCs w:val="24"/>
        </w:rPr>
        <w:t xml:space="preserve"> </w:t>
      </w:r>
      <w:r w:rsidR="00CC3226">
        <w:rPr>
          <w:rFonts w:ascii="宋体" w:hAnsi="宋体" w:hint="eastAsia"/>
          <w:b/>
          <w:szCs w:val="24"/>
        </w:rPr>
        <w:t xml:space="preserve">    </w:t>
      </w:r>
      <w:r w:rsidR="00CC3226">
        <w:rPr>
          <w:noProof/>
        </w:rPr>
        <w:drawing>
          <wp:inline distT="0" distB="0" distL="0" distR="0" wp14:anchorId="3787BFD8" wp14:editId="6DD78DE5">
            <wp:extent cx="2011680" cy="1463040"/>
            <wp:effectExtent l="0" t="0" r="7620" b="3810"/>
            <wp:docPr id="6147" name="图表 6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5D79" w:rsidRDefault="00635D79" w:rsidP="00635D79">
      <w:pPr>
        <w:spacing w:line="360" w:lineRule="auto"/>
        <w:ind w:firstLineChars="1300" w:firstLine="2730"/>
        <w:rPr>
          <w:rFonts w:ascii="宋体" w:hAnsi="宋体"/>
          <w:szCs w:val="24"/>
        </w:rPr>
      </w:pPr>
      <w:r w:rsidRPr="00B42736">
        <w:rPr>
          <w:rFonts w:ascii="宋体" w:hAnsi="宋体" w:hint="eastAsia"/>
          <w:szCs w:val="24"/>
        </w:rPr>
        <w:t xml:space="preserve">（A）色谱图           </w:t>
      </w:r>
      <w:r w:rsidR="00CC3226">
        <w:rPr>
          <w:rFonts w:ascii="宋体" w:hAnsi="宋体" w:hint="eastAsia"/>
          <w:szCs w:val="24"/>
        </w:rPr>
        <w:t xml:space="preserve">       </w:t>
      </w:r>
      <w:r w:rsidRPr="00B42736">
        <w:rPr>
          <w:rFonts w:ascii="宋体" w:hAnsi="宋体" w:hint="eastAsia"/>
          <w:szCs w:val="24"/>
        </w:rPr>
        <w:t>（B）峰面积与浓度的线性回归</w:t>
      </w:r>
    </w:p>
    <w:p w:rsidR="002376DC" w:rsidRPr="00B42736" w:rsidRDefault="002376DC" w:rsidP="002376DC">
      <w:pPr>
        <w:spacing w:line="360" w:lineRule="auto"/>
        <w:ind w:firstLineChars="200" w:firstLine="422"/>
        <w:jc w:val="center"/>
        <w:rPr>
          <w:rFonts w:ascii="宋体" w:hAnsi="宋体"/>
          <w:b/>
          <w:szCs w:val="24"/>
        </w:rPr>
      </w:pPr>
      <w:r w:rsidRPr="00B42736">
        <w:rPr>
          <w:rFonts w:ascii="宋体" w:hAnsi="宋体" w:hint="eastAsia"/>
          <w:b/>
          <w:szCs w:val="24"/>
        </w:rPr>
        <w:t>图</w:t>
      </w:r>
      <w:r w:rsidR="00262C1C">
        <w:rPr>
          <w:rFonts w:ascii="宋体" w:hAnsi="宋体" w:hint="eastAsia"/>
          <w:b/>
          <w:szCs w:val="24"/>
        </w:rPr>
        <w:t>5</w:t>
      </w:r>
      <w:r w:rsidRPr="002376DC">
        <w:rPr>
          <w:rFonts w:ascii="宋体" w:hAnsi="宋体" w:hint="eastAsia"/>
          <w:b/>
          <w:szCs w:val="24"/>
        </w:rPr>
        <w:t>盐酸普鲁卡因</w:t>
      </w:r>
      <w:r w:rsidRPr="00B42736">
        <w:rPr>
          <w:rFonts w:ascii="宋体" w:hAnsi="宋体" w:hint="eastAsia"/>
          <w:b/>
          <w:szCs w:val="24"/>
        </w:rPr>
        <w:t>的</w:t>
      </w:r>
      <w:r>
        <w:rPr>
          <w:rFonts w:ascii="宋体" w:hAnsi="宋体" w:hint="eastAsia"/>
          <w:b/>
          <w:szCs w:val="24"/>
        </w:rPr>
        <w:t>HPLC</w:t>
      </w:r>
      <w:r w:rsidRPr="00B42736">
        <w:rPr>
          <w:rFonts w:ascii="宋体" w:hAnsi="宋体" w:hint="eastAsia"/>
          <w:b/>
          <w:szCs w:val="24"/>
        </w:rPr>
        <w:t>色谱图（A）及</w:t>
      </w:r>
      <w:r>
        <w:rPr>
          <w:rFonts w:ascii="宋体" w:hAnsi="宋体" w:hint="eastAsia"/>
          <w:b/>
          <w:szCs w:val="24"/>
        </w:rPr>
        <w:t>其不同浓度的</w:t>
      </w:r>
      <w:r w:rsidRPr="00B42736">
        <w:rPr>
          <w:rFonts w:ascii="宋体" w:hAnsi="宋体" w:hint="eastAsia"/>
          <w:b/>
          <w:szCs w:val="24"/>
        </w:rPr>
        <w:t>回归曲线分析（B）</w:t>
      </w:r>
    </w:p>
    <w:p w:rsidR="002376DC" w:rsidRPr="00B42736" w:rsidRDefault="002376DC" w:rsidP="002376DC">
      <w:pPr>
        <w:spacing w:line="360" w:lineRule="auto"/>
        <w:ind w:firstLineChars="200" w:firstLine="480"/>
        <w:rPr>
          <w:rFonts w:ascii="宋体" w:hAnsi="宋体"/>
          <w:sz w:val="24"/>
          <w:szCs w:val="24"/>
        </w:rPr>
      </w:pPr>
      <w:r>
        <w:rPr>
          <w:rFonts w:ascii="宋体" w:hAnsi="宋体" w:hint="eastAsia"/>
          <w:sz w:val="24"/>
          <w:szCs w:val="24"/>
        </w:rPr>
        <w:t>（</w:t>
      </w:r>
      <w:r w:rsidR="002722FD">
        <w:rPr>
          <w:rFonts w:ascii="宋体" w:hAnsi="宋体" w:hint="eastAsia"/>
          <w:sz w:val="24"/>
          <w:szCs w:val="24"/>
        </w:rPr>
        <w:t>2</w:t>
      </w:r>
      <w:r>
        <w:rPr>
          <w:rFonts w:ascii="宋体" w:hAnsi="宋体" w:hint="eastAsia"/>
          <w:sz w:val="24"/>
          <w:szCs w:val="24"/>
        </w:rPr>
        <w:t>）</w:t>
      </w:r>
      <w:r>
        <w:rPr>
          <w:rFonts w:ascii="宋体" w:hAnsi="宋体" w:hint="eastAsia"/>
          <w:sz w:val="24"/>
        </w:rPr>
        <w:t>头</w:t>
      </w:r>
      <w:proofErr w:type="gramStart"/>
      <w:r>
        <w:rPr>
          <w:rFonts w:ascii="宋体" w:hAnsi="宋体" w:hint="eastAsia"/>
          <w:sz w:val="24"/>
        </w:rPr>
        <w:t>孢</w:t>
      </w:r>
      <w:proofErr w:type="gramEnd"/>
      <w:r>
        <w:rPr>
          <w:rFonts w:ascii="宋体" w:hAnsi="宋体" w:hint="eastAsia"/>
          <w:sz w:val="24"/>
        </w:rPr>
        <w:t>拉定</w:t>
      </w:r>
      <w:r>
        <w:rPr>
          <w:rFonts w:ascii="宋体" w:hAnsi="宋体" w:hint="eastAsia"/>
          <w:sz w:val="24"/>
          <w:szCs w:val="24"/>
        </w:rPr>
        <w:t>。利用高效凝胶色谱柱对</w:t>
      </w:r>
      <w:r>
        <w:rPr>
          <w:rFonts w:ascii="宋体" w:hAnsi="宋体" w:hint="eastAsia"/>
          <w:sz w:val="24"/>
        </w:rPr>
        <w:t>头</w:t>
      </w:r>
      <w:proofErr w:type="gramStart"/>
      <w:r>
        <w:rPr>
          <w:rFonts w:ascii="宋体" w:hAnsi="宋体" w:hint="eastAsia"/>
          <w:sz w:val="24"/>
        </w:rPr>
        <w:t>孢</w:t>
      </w:r>
      <w:proofErr w:type="gramEnd"/>
      <w:r>
        <w:rPr>
          <w:rFonts w:ascii="宋体" w:hAnsi="宋体" w:hint="eastAsia"/>
          <w:sz w:val="24"/>
        </w:rPr>
        <w:t>拉</w:t>
      </w:r>
      <w:proofErr w:type="gramStart"/>
      <w:r>
        <w:rPr>
          <w:rFonts w:ascii="宋体" w:hAnsi="宋体" w:hint="eastAsia"/>
          <w:sz w:val="24"/>
        </w:rPr>
        <w:t>定</w:t>
      </w:r>
      <w:r>
        <w:rPr>
          <w:rFonts w:ascii="宋体" w:hAnsi="宋体" w:hint="eastAsia"/>
          <w:sz w:val="24"/>
          <w:szCs w:val="24"/>
        </w:rPr>
        <w:t>进行</w:t>
      </w:r>
      <w:proofErr w:type="gramEnd"/>
      <w:r>
        <w:rPr>
          <w:rFonts w:ascii="宋体" w:hAnsi="宋体" w:hint="eastAsia"/>
          <w:sz w:val="24"/>
          <w:szCs w:val="24"/>
        </w:rPr>
        <w:t>HPLC测定,进样5μL，主峰理论塔板数为18076，在0.04-5 mg/mL范围内，回归曲线的</w:t>
      </w:r>
      <w:proofErr w:type="gramStart"/>
      <w:r>
        <w:rPr>
          <w:rFonts w:ascii="宋体" w:hAnsi="宋体" w:hint="eastAsia"/>
          <w:sz w:val="24"/>
          <w:szCs w:val="24"/>
        </w:rPr>
        <w:t>的</w:t>
      </w:r>
      <w:proofErr w:type="gramEnd"/>
      <w:r w:rsidRPr="00B42736">
        <w:rPr>
          <w:rFonts w:ascii="宋体" w:hAnsi="宋体" w:hint="eastAsia"/>
          <w:i/>
          <w:sz w:val="24"/>
          <w:szCs w:val="24"/>
        </w:rPr>
        <w:t xml:space="preserve"> R</w:t>
      </w:r>
      <w:r w:rsidRPr="00B42736">
        <w:rPr>
          <w:rFonts w:ascii="宋体" w:hAnsi="宋体" w:hint="eastAsia"/>
          <w:i/>
          <w:sz w:val="24"/>
          <w:szCs w:val="24"/>
          <w:vertAlign w:val="superscript"/>
        </w:rPr>
        <w:t>2</w:t>
      </w:r>
      <w:r>
        <w:rPr>
          <w:rFonts w:ascii="宋体" w:hAnsi="宋体" w:hint="eastAsia"/>
          <w:sz w:val="24"/>
          <w:szCs w:val="24"/>
        </w:rPr>
        <w:t>为0.9999。</w:t>
      </w:r>
    </w:p>
    <w:p w:rsidR="002376DC" w:rsidRDefault="002376DC" w:rsidP="009065AB">
      <w:pPr>
        <w:spacing w:line="360" w:lineRule="auto"/>
        <w:ind w:firstLineChars="200" w:firstLine="420"/>
        <w:jc w:val="center"/>
        <w:rPr>
          <w:rFonts w:ascii="宋体" w:hAnsi="宋体"/>
          <w:b/>
          <w:szCs w:val="24"/>
        </w:rPr>
      </w:pPr>
      <w:r>
        <w:rPr>
          <w:rFonts w:hint="eastAsia"/>
          <w:noProof/>
        </w:rPr>
        <w:drawing>
          <wp:inline distT="0" distB="0" distL="0" distR="0" wp14:anchorId="0F0D799B" wp14:editId="12FEF1FF">
            <wp:extent cx="3066757" cy="1511862"/>
            <wp:effectExtent l="0" t="0" r="635" b="0"/>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a:lum bright="20000"/>
                    </a:blip>
                    <a:srcRect l="842" t="3087" r="35139" b="5648"/>
                    <a:stretch/>
                  </pic:blipFill>
                  <pic:spPr bwMode="auto">
                    <a:xfrm>
                      <a:off x="0" y="0"/>
                      <a:ext cx="3064571" cy="151078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hint="eastAsia"/>
          <w:b/>
          <w:szCs w:val="24"/>
        </w:rPr>
        <w:t xml:space="preserve"> </w:t>
      </w:r>
      <w:r w:rsidR="00CC3226">
        <w:rPr>
          <w:noProof/>
        </w:rPr>
        <w:drawing>
          <wp:inline distT="0" distB="0" distL="0" distR="0" wp14:anchorId="4B834AB0" wp14:editId="06D51BB5">
            <wp:extent cx="2475913" cy="1702191"/>
            <wp:effectExtent l="0" t="0" r="635" b="0"/>
            <wp:docPr id="6150" name="图表 6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76DC" w:rsidRDefault="002376DC" w:rsidP="009065AB">
      <w:pPr>
        <w:spacing w:line="360" w:lineRule="auto"/>
        <w:ind w:firstLineChars="1100" w:firstLine="2310"/>
        <w:rPr>
          <w:rFonts w:ascii="宋体" w:hAnsi="宋体"/>
          <w:szCs w:val="24"/>
        </w:rPr>
      </w:pPr>
      <w:r w:rsidRPr="00B42736">
        <w:rPr>
          <w:rFonts w:ascii="宋体" w:hAnsi="宋体" w:hint="eastAsia"/>
          <w:szCs w:val="24"/>
        </w:rPr>
        <w:t xml:space="preserve">（A）色谱图           </w:t>
      </w:r>
      <w:r>
        <w:rPr>
          <w:rFonts w:ascii="宋体" w:hAnsi="宋体" w:hint="eastAsia"/>
          <w:szCs w:val="24"/>
        </w:rPr>
        <w:t xml:space="preserve">    </w:t>
      </w:r>
      <w:r w:rsidR="00EA6B7A">
        <w:rPr>
          <w:rFonts w:ascii="宋体" w:hAnsi="宋体" w:hint="eastAsia"/>
          <w:szCs w:val="24"/>
        </w:rPr>
        <w:t xml:space="preserve">  </w:t>
      </w:r>
      <w:r>
        <w:rPr>
          <w:rFonts w:ascii="宋体" w:hAnsi="宋体" w:hint="eastAsia"/>
          <w:szCs w:val="24"/>
        </w:rPr>
        <w:t xml:space="preserve">    </w:t>
      </w:r>
      <w:r w:rsidRPr="00B42736">
        <w:rPr>
          <w:rFonts w:ascii="宋体" w:hAnsi="宋体" w:hint="eastAsia"/>
          <w:szCs w:val="24"/>
        </w:rPr>
        <w:t>（B）峰面积与浓度的线性回归</w:t>
      </w:r>
    </w:p>
    <w:p w:rsidR="002376DC" w:rsidRPr="00B42736" w:rsidRDefault="002376DC" w:rsidP="002376DC">
      <w:pPr>
        <w:spacing w:line="360" w:lineRule="auto"/>
        <w:ind w:firstLineChars="200" w:firstLine="422"/>
        <w:jc w:val="center"/>
        <w:rPr>
          <w:rFonts w:ascii="宋体" w:hAnsi="宋体"/>
          <w:b/>
          <w:szCs w:val="24"/>
        </w:rPr>
      </w:pPr>
      <w:r w:rsidRPr="00B42736">
        <w:rPr>
          <w:rFonts w:ascii="宋体" w:hAnsi="宋体" w:hint="eastAsia"/>
          <w:b/>
          <w:szCs w:val="24"/>
        </w:rPr>
        <w:t>图</w:t>
      </w:r>
      <w:r w:rsidR="0002497B">
        <w:rPr>
          <w:rFonts w:ascii="宋体" w:hAnsi="宋体" w:hint="eastAsia"/>
          <w:b/>
          <w:szCs w:val="24"/>
        </w:rPr>
        <w:t>6</w:t>
      </w:r>
      <w:r w:rsidR="00262C1C" w:rsidRPr="00262C1C">
        <w:rPr>
          <w:rFonts w:ascii="宋体" w:hAnsi="宋体" w:hint="eastAsia"/>
          <w:b/>
          <w:szCs w:val="24"/>
        </w:rPr>
        <w:t>头</w:t>
      </w:r>
      <w:proofErr w:type="gramStart"/>
      <w:r w:rsidR="00262C1C" w:rsidRPr="00262C1C">
        <w:rPr>
          <w:rFonts w:ascii="宋体" w:hAnsi="宋体" w:hint="eastAsia"/>
          <w:b/>
          <w:szCs w:val="24"/>
        </w:rPr>
        <w:t>孢</w:t>
      </w:r>
      <w:proofErr w:type="gramEnd"/>
      <w:r w:rsidR="00262C1C" w:rsidRPr="00262C1C">
        <w:rPr>
          <w:rFonts w:ascii="宋体" w:hAnsi="宋体" w:hint="eastAsia"/>
          <w:b/>
          <w:szCs w:val="24"/>
        </w:rPr>
        <w:t>拉定</w:t>
      </w:r>
      <w:r w:rsidRPr="00B42736">
        <w:rPr>
          <w:rFonts w:ascii="宋体" w:hAnsi="宋体" w:hint="eastAsia"/>
          <w:b/>
          <w:szCs w:val="24"/>
        </w:rPr>
        <w:t>的</w:t>
      </w:r>
      <w:r>
        <w:rPr>
          <w:rFonts w:ascii="宋体" w:hAnsi="宋体" w:hint="eastAsia"/>
          <w:b/>
          <w:szCs w:val="24"/>
        </w:rPr>
        <w:t>HPLC</w:t>
      </w:r>
      <w:r w:rsidRPr="00B42736">
        <w:rPr>
          <w:rFonts w:ascii="宋体" w:hAnsi="宋体" w:hint="eastAsia"/>
          <w:b/>
          <w:szCs w:val="24"/>
        </w:rPr>
        <w:t>色谱图（A）及</w:t>
      </w:r>
      <w:r>
        <w:rPr>
          <w:rFonts w:ascii="宋体" w:hAnsi="宋体" w:hint="eastAsia"/>
          <w:b/>
          <w:szCs w:val="24"/>
        </w:rPr>
        <w:t>其不同浓度的</w:t>
      </w:r>
      <w:r w:rsidRPr="00B42736">
        <w:rPr>
          <w:rFonts w:ascii="宋体" w:hAnsi="宋体" w:hint="eastAsia"/>
          <w:b/>
          <w:szCs w:val="24"/>
        </w:rPr>
        <w:t>回归曲线分析（B）</w:t>
      </w:r>
    </w:p>
    <w:p w:rsidR="002376DC" w:rsidRPr="00B42736" w:rsidRDefault="002376DC" w:rsidP="002376DC">
      <w:pPr>
        <w:spacing w:line="360" w:lineRule="auto"/>
        <w:ind w:firstLineChars="200" w:firstLine="480"/>
        <w:rPr>
          <w:rFonts w:ascii="宋体" w:hAnsi="宋体"/>
          <w:sz w:val="24"/>
          <w:szCs w:val="24"/>
        </w:rPr>
      </w:pPr>
      <w:r>
        <w:rPr>
          <w:rFonts w:ascii="宋体" w:hAnsi="宋体" w:hint="eastAsia"/>
          <w:sz w:val="24"/>
          <w:szCs w:val="24"/>
        </w:rPr>
        <w:t>（</w:t>
      </w:r>
      <w:r w:rsidR="002722FD">
        <w:rPr>
          <w:rFonts w:ascii="宋体" w:hAnsi="宋体" w:hint="eastAsia"/>
          <w:sz w:val="24"/>
          <w:szCs w:val="24"/>
        </w:rPr>
        <w:t>3</w:t>
      </w:r>
      <w:r>
        <w:rPr>
          <w:rFonts w:ascii="宋体" w:hAnsi="宋体" w:hint="eastAsia"/>
          <w:sz w:val="24"/>
          <w:szCs w:val="24"/>
        </w:rPr>
        <w:t>）</w:t>
      </w:r>
      <w:r w:rsidRPr="002376DC">
        <w:rPr>
          <w:rFonts w:ascii="宋体" w:hAnsi="宋体" w:hint="eastAsia"/>
          <w:sz w:val="24"/>
        </w:rPr>
        <w:t>头</w:t>
      </w:r>
      <w:proofErr w:type="gramStart"/>
      <w:r w:rsidRPr="002376DC">
        <w:rPr>
          <w:rFonts w:ascii="宋体" w:hAnsi="宋体" w:hint="eastAsia"/>
          <w:sz w:val="24"/>
        </w:rPr>
        <w:t>孢呋</w:t>
      </w:r>
      <w:proofErr w:type="gramEnd"/>
      <w:r w:rsidRPr="002376DC">
        <w:rPr>
          <w:rFonts w:ascii="宋体" w:hAnsi="宋体" w:hint="eastAsia"/>
          <w:sz w:val="24"/>
        </w:rPr>
        <w:t>辛</w:t>
      </w:r>
      <w:r>
        <w:rPr>
          <w:rFonts w:ascii="宋体" w:hAnsi="宋体" w:hint="eastAsia"/>
          <w:sz w:val="24"/>
          <w:szCs w:val="24"/>
        </w:rPr>
        <w:t>。利用高效凝胶色谱柱对</w:t>
      </w:r>
      <w:r w:rsidRPr="002376DC">
        <w:rPr>
          <w:rFonts w:ascii="宋体" w:hAnsi="宋体" w:hint="eastAsia"/>
          <w:sz w:val="24"/>
        </w:rPr>
        <w:t>头</w:t>
      </w:r>
      <w:proofErr w:type="gramStart"/>
      <w:r w:rsidRPr="002376DC">
        <w:rPr>
          <w:rFonts w:ascii="宋体" w:hAnsi="宋体" w:hint="eastAsia"/>
          <w:sz w:val="24"/>
        </w:rPr>
        <w:t>孢呋辛</w:t>
      </w:r>
      <w:r>
        <w:rPr>
          <w:rFonts w:ascii="宋体" w:hAnsi="宋体" w:hint="eastAsia"/>
          <w:sz w:val="24"/>
          <w:szCs w:val="24"/>
        </w:rPr>
        <w:t>进行</w:t>
      </w:r>
      <w:proofErr w:type="gramEnd"/>
      <w:r>
        <w:rPr>
          <w:rFonts w:ascii="宋体" w:hAnsi="宋体" w:hint="eastAsia"/>
          <w:sz w:val="24"/>
          <w:szCs w:val="24"/>
        </w:rPr>
        <w:t>HPLC测定,进样</w:t>
      </w:r>
      <w:r w:rsidR="0002497B">
        <w:rPr>
          <w:rFonts w:ascii="宋体" w:hAnsi="宋体" w:hint="eastAsia"/>
          <w:sz w:val="24"/>
          <w:szCs w:val="24"/>
        </w:rPr>
        <w:t>10</w:t>
      </w:r>
      <w:r>
        <w:rPr>
          <w:rFonts w:ascii="宋体" w:hAnsi="宋体" w:hint="eastAsia"/>
          <w:sz w:val="24"/>
          <w:szCs w:val="24"/>
        </w:rPr>
        <w:t>μL，主峰理论塔板数为15706，在0.0016-5 mg/mL范围内，回归曲线的</w:t>
      </w:r>
      <w:proofErr w:type="gramStart"/>
      <w:r>
        <w:rPr>
          <w:rFonts w:ascii="宋体" w:hAnsi="宋体" w:hint="eastAsia"/>
          <w:sz w:val="24"/>
          <w:szCs w:val="24"/>
        </w:rPr>
        <w:t>的</w:t>
      </w:r>
      <w:proofErr w:type="gramEnd"/>
      <w:r w:rsidRPr="00B42736">
        <w:rPr>
          <w:rFonts w:ascii="宋体" w:hAnsi="宋体" w:hint="eastAsia"/>
          <w:i/>
          <w:sz w:val="24"/>
          <w:szCs w:val="24"/>
        </w:rPr>
        <w:t xml:space="preserve"> R</w:t>
      </w:r>
      <w:r w:rsidRPr="00B42736">
        <w:rPr>
          <w:rFonts w:ascii="宋体" w:hAnsi="宋体" w:hint="eastAsia"/>
          <w:i/>
          <w:sz w:val="24"/>
          <w:szCs w:val="24"/>
          <w:vertAlign w:val="superscript"/>
        </w:rPr>
        <w:t>2</w:t>
      </w:r>
      <w:r>
        <w:rPr>
          <w:rFonts w:ascii="宋体" w:hAnsi="宋体" w:hint="eastAsia"/>
          <w:sz w:val="24"/>
          <w:szCs w:val="24"/>
        </w:rPr>
        <w:t>为</w:t>
      </w:r>
      <w:r w:rsidR="009259F8">
        <w:rPr>
          <w:rFonts w:ascii="宋体" w:hAnsi="宋体" w:hint="eastAsia"/>
          <w:sz w:val="24"/>
          <w:szCs w:val="24"/>
        </w:rPr>
        <w:t>0.9987</w:t>
      </w:r>
      <w:r>
        <w:rPr>
          <w:rFonts w:ascii="宋体" w:hAnsi="宋体" w:hint="eastAsia"/>
          <w:sz w:val="24"/>
          <w:szCs w:val="24"/>
        </w:rPr>
        <w:t>。</w:t>
      </w:r>
    </w:p>
    <w:p w:rsidR="002376DC" w:rsidRDefault="002376DC" w:rsidP="009065AB">
      <w:pPr>
        <w:spacing w:line="360" w:lineRule="auto"/>
        <w:ind w:firstLineChars="200" w:firstLine="420"/>
        <w:jc w:val="center"/>
        <w:rPr>
          <w:rFonts w:ascii="宋体" w:hAnsi="宋体"/>
          <w:b/>
          <w:szCs w:val="24"/>
        </w:rPr>
      </w:pPr>
      <w:r>
        <w:rPr>
          <w:rFonts w:hint="eastAsia"/>
          <w:noProof/>
        </w:rPr>
        <w:drawing>
          <wp:inline distT="0" distB="0" distL="0" distR="0" wp14:anchorId="6805D0E4" wp14:editId="422BB21D">
            <wp:extent cx="2841674" cy="1546311"/>
            <wp:effectExtent l="0" t="0" r="0" b="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0">
                      <a:lum bright="20000"/>
                    </a:blip>
                    <a:srcRect l="964" t="2778" r="35469" b="5555"/>
                    <a:stretch/>
                  </pic:blipFill>
                  <pic:spPr bwMode="auto">
                    <a:xfrm>
                      <a:off x="0" y="0"/>
                      <a:ext cx="2845525" cy="154840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hint="eastAsia"/>
          <w:b/>
          <w:szCs w:val="24"/>
        </w:rPr>
        <w:t xml:space="preserve"> </w:t>
      </w:r>
      <w:r>
        <w:rPr>
          <w:noProof/>
        </w:rPr>
        <w:drawing>
          <wp:inline distT="0" distB="0" distL="0" distR="0" wp14:anchorId="4A44DAA0" wp14:editId="4E841B51">
            <wp:extent cx="2756958" cy="1593850"/>
            <wp:effectExtent l="0" t="0" r="5715" b="635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376DC" w:rsidRDefault="002376DC" w:rsidP="009065AB">
      <w:pPr>
        <w:spacing w:line="360" w:lineRule="auto"/>
        <w:ind w:firstLineChars="1200" w:firstLine="2520"/>
        <w:rPr>
          <w:rFonts w:ascii="宋体" w:hAnsi="宋体"/>
          <w:szCs w:val="24"/>
        </w:rPr>
      </w:pPr>
      <w:r w:rsidRPr="00B42736">
        <w:rPr>
          <w:rFonts w:ascii="宋体" w:hAnsi="宋体" w:hint="eastAsia"/>
          <w:szCs w:val="24"/>
        </w:rPr>
        <w:t xml:space="preserve">（A）色谱图           </w:t>
      </w:r>
      <w:r>
        <w:rPr>
          <w:rFonts w:ascii="宋体" w:hAnsi="宋体" w:hint="eastAsia"/>
          <w:szCs w:val="24"/>
        </w:rPr>
        <w:t xml:space="preserve">        </w:t>
      </w:r>
      <w:r w:rsidRPr="00B42736">
        <w:rPr>
          <w:rFonts w:ascii="宋体" w:hAnsi="宋体" w:hint="eastAsia"/>
          <w:szCs w:val="24"/>
        </w:rPr>
        <w:t>（B）峰面积与浓度的线性回归</w:t>
      </w:r>
    </w:p>
    <w:p w:rsidR="002376DC" w:rsidRDefault="002376DC" w:rsidP="002376DC">
      <w:pPr>
        <w:spacing w:line="360" w:lineRule="auto"/>
        <w:ind w:firstLineChars="200" w:firstLine="422"/>
        <w:jc w:val="center"/>
        <w:rPr>
          <w:rFonts w:ascii="宋体" w:hAnsi="宋体"/>
          <w:b/>
          <w:szCs w:val="24"/>
        </w:rPr>
      </w:pPr>
      <w:r w:rsidRPr="00B42736">
        <w:rPr>
          <w:rFonts w:ascii="宋体" w:hAnsi="宋体" w:hint="eastAsia"/>
          <w:b/>
          <w:szCs w:val="24"/>
        </w:rPr>
        <w:lastRenderedPageBreak/>
        <w:t>图</w:t>
      </w:r>
      <w:r w:rsidR="0002497B">
        <w:rPr>
          <w:rFonts w:ascii="宋体" w:hAnsi="宋体" w:hint="eastAsia"/>
          <w:b/>
          <w:szCs w:val="24"/>
        </w:rPr>
        <w:t>7</w:t>
      </w:r>
      <w:r w:rsidRPr="002376DC">
        <w:rPr>
          <w:rFonts w:ascii="宋体" w:hAnsi="宋体" w:hint="eastAsia"/>
          <w:b/>
          <w:szCs w:val="24"/>
        </w:rPr>
        <w:t>头</w:t>
      </w:r>
      <w:proofErr w:type="gramStart"/>
      <w:r w:rsidRPr="002376DC">
        <w:rPr>
          <w:rFonts w:ascii="宋体" w:hAnsi="宋体" w:hint="eastAsia"/>
          <w:b/>
          <w:szCs w:val="24"/>
        </w:rPr>
        <w:t>孢呋</w:t>
      </w:r>
      <w:proofErr w:type="gramEnd"/>
      <w:r w:rsidRPr="002376DC">
        <w:rPr>
          <w:rFonts w:ascii="宋体" w:hAnsi="宋体" w:hint="eastAsia"/>
          <w:b/>
          <w:szCs w:val="24"/>
        </w:rPr>
        <w:t>辛</w:t>
      </w:r>
      <w:r w:rsidRPr="00B42736">
        <w:rPr>
          <w:rFonts w:ascii="宋体" w:hAnsi="宋体" w:hint="eastAsia"/>
          <w:b/>
          <w:szCs w:val="24"/>
        </w:rPr>
        <w:t>的</w:t>
      </w:r>
      <w:r>
        <w:rPr>
          <w:rFonts w:ascii="宋体" w:hAnsi="宋体" w:hint="eastAsia"/>
          <w:b/>
          <w:szCs w:val="24"/>
        </w:rPr>
        <w:t>HPLC</w:t>
      </w:r>
      <w:r w:rsidRPr="00B42736">
        <w:rPr>
          <w:rFonts w:ascii="宋体" w:hAnsi="宋体" w:hint="eastAsia"/>
          <w:b/>
          <w:szCs w:val="24"/>
        </w:rPr>
        <w:t>色谱图（A）及</w:t>
      </w:r>
      <w:r>
        <w:rPr>
          <w:rFonts w:ascii="宋体" w:hAnsi="宋体" w:hint="eastAsia"/>
          <w:b/>
          <w:szCs w:val="24"/>
        </w:rPr>
        <w:t>其不同浓度的</w:t>
      </w:r>
      <w:r w:rsidRPr="00B42736">
        <w:rPr>
          <w:rFonts w:ascii="宋体" w:hAnsi="宋体" w:hint="eastAsia"/>
          <w:b/>
          <w:szCs w:val="24"/>
        </w:rPr>
        <w:t>回归曲线分析（B）</w:t>
      </w:r>
    </w:p>
    <w:p w:rsidR="009259F8" w:rsidRPr="00B42736" w:rsidRDefault="009259F8" w:rsidP="009259F8">
      <w:pPr>
        <w:spacing w:line="360" w:lineRule="auto"/>
        <w:ind w:firstLineChars="200" w:firstLine="480"/>
        <w:rPr>
          <w:rFonts w:ascii="宋体" w:hAnsi="宋体"/>
          <w:sz w:val="24"/>
          <w:szCs w:val="24"/>
        </w:rPr>
      </w:pPr>
      <w:r>
        <w:rPr>
          <w:rFonts w:ascii="宋体" w:hAnsi="宋体" w:hint="eastAsia"/>
          <w:sz w:val="24"/>
          <w:szCs w:val="24"/>
        </w:rPr>
        <w:t>（</w:t>
      </w:r>
      <w:r w:rsidR="002722FD">
        <w:rPr>
          <w:rFonts w:ascii="宋体" w:hAnsi="宋体" w:hint="eastAsia"/>
          <w:sz w:val="24"/>
          <w:szCs w:val="24"/>
        </w:rPr>
        <w:t>4</w:t>
      </w:r>
      <w:r>
        <w:rPr>
          <w:rFonts w:ascii="宋体" w:hAnsi="宋体" w:hint="eastAsia"/>
          <w:sz w:val="24"/>
          <w:szCs w:val="24"/>
        </w:rPr>
        <w:t>）</w:t>
      </w:r>
      <w:r w:rsidRPr="009259F8">
        <w:rPr>
          <w:rFonts w:ascii="宋体" w:hAnsi="宋体" w:hint="eastAsia"/>
          <w:sz w:val="24"/>
        </w:rPr>
        <w:t>头</w:t>
      </w:r>
      <w:proofErr w:type="gramStart"/>
      <w:r w:rsidRPr="009259F8">
        <w:rPr>
          <w:rFonts w:ascii="宋体" w:hAnsi="宋体" w:hint="eastAsia"/>
          <w:sz w:val="24"/>
        </w:rPr>
        <w:t>孢哌</w:t>
      </w:r>
      <w:proofErr w:type="gramEnd"/>
      <w:r w:rsidRPr="009259F8">
        <w:rPr>
          <w:rFonts w:ascii="宋体" w:hAnsi="宋体" w:hint="eastAsia"/>
          <w:sz w:val="24"/>
        </w:rPr>
        <w:t>酮</w:t>
      </w:r>
      <w:r>
        <w:rPr>
          <w:rFonts w:ascii="宋体" w:hAnsi="宋体" w:hint="eastAsia"/>
          <w:sz w:val="24"/>
          <w:szCs w:val="24"/>
        </w:rPr>
        <w:t>。利用高效凝胶色谱柱对</w:t>
      </w:r>
      <w:r w:rsidRPr="009259F8">
        <w:rPr>
          <w:rFonts w:ascii="宋体" w:hAnsi="宋体" w:hint="eastAsia"/>
          <w:sz w:val="24"/>
        </w:rPr>
        <w:t>头</w:t>
      </w:r>
      <w:proofErr w:type="gramStart"/>
      <w:r w:rsidRPr="009259F8">
        <w:rPr>
          <w:rFonts w:ascii="宋体" w:hAnsi="宋体" w:hint="eastAsia"/>
          <w:sz w:val="24"/>
        </w:rPr>
        <w:t>孢哌酮</w:t>
      </w:r>
      <w:r>
        <w:rPr>
          <w:rFonts w:ascii="宋体" w:hAnsi="宋体" w:hint="eastAsia"/>
          <w:sz w:val="24"/>
          <w:szCs w:val="24"/>
        </w:rPr>
        <w:t>进行</w:t>
      </w:r>
      <w:proofErr w:type="gramEnd"/>
      <w:r>
        <w:rPr>
          <w:rFonts w:ascii="宋体" w:hAnsi="宋体" w:hint="eastAsia"/>
          <w:sz w:val="24"/>
          <w:szCs w:val="24"/>
        </w:rPr>
        <w:t>HPLC测定,进样</w:t>
      </w:r>
      <w:r w:rsidR="0002497B">
        <w:rPr>
          <w:rFonts w:ascii="宋体" w:hAnsi="宋体" w:hint="eastAsia"/>
          <w:sz w:val="24"/>
          <w:szCs w:val="24"/>
        </w:rPr>
        <w:t>10</w:t>
      </w:r>
      <w:r>
        <w:rPr>
          <w:rFonts w:ascii="宋体" w:hAnsi="宋体" w:hint="eastAsia"/>
          <w:sz w:val="24"/>
          <w:szCs w:val="24"/>
        </w:rPr>
        <w:t>μL，主峰理论塔板数为20568，在0.0016-5 mg/mL范围内，回归曲线的</w:t>
      </w:r>
      <w:proofErr w:type="gramStart"/>
      <w:r>
        <w:rPr>
          <w:rFonts w:ascii="宋体" w:hAnsi="宋体" w:hint="eastAsia"/>
          <w:sz w:val="24"/>
          <w:szCs w:val="24"/>
        </w:rPr>
        <w:t>的</w:t>
      </w:r>
      <w:proofErr w:type="gramEnd"/>
      <w:r w:rsidRPr="00B42736">
        <w:rPr>
          <w:rFonts w:ascii="宋体" w:hAnsi="宋体" w:hint="eastAsia"/>
          <w:i/>
          <w:sz w:val="24"/>
          <w:szCs w:val="24"/>
        </w:rPr>
        <w:t xml:space="preserve"> R</w:t>
      </w:r>
      <w:r w:rsidRPr="00B42736">
        <w:rPr>
          <w:rFonts w:ascii="宋体" w:hAnsi="宋体" w:hint="eastAsia"/>
          <w:i/>
          <w:sz w:val="24"/>
          <w:szCs w:val="24"/>
          <w:vertAlign w:val="superscript"/>
        </w:rPr>
        <w:t>2</w:t>
      </w:r>
      <w:r>
        <w:rPr>
          <w:rFonts w:ascii="宋体" w:hAnsi="宋体" w:hint="eastAsia"/>
          <w:sz w:val="24"/>
          <w:szCs w:val="24"/>
        </w:rPr>
        <w:t>为1。</w:t>
      </w:r>
    </w:p>
    <w:p w:rsidR="009259F8" w:rsidRDefault="009259F8" w:rsidP="009065AB">
      <w:pPr>
        <w:spacing w:line="360" w:lineRule="auto"/>
        <w:ind w:firstLineChars="200" w:firstLine="420"/>
        <w:jc w:val="center"/>
        <w:rPr>
          <w:rFonts w:ascii="宋体" w:hAnsi="宋体"/>
          <w:b/>
          <w:szCs w:val="24"/>
        </w:rPr>
      </w:pPr>
      <w:r>
        <w:rPr>
          <w:rFonts w:hint="eastAsia"/>
          <w:noProof/>
        </w:rPr>
        <w:drawing>
          <wp:inline distT="0" distB="0" distL="0" distR="0" wp14:anchorId="6D326108" wp14:editId="40C15715">
            <wp:extent cx="2931057" cy="1357532"/>
            <wp:effectExtent l="0" t="0" r="3175"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lum bright="20000"/>
                    </a:blip>
                    <a:srcRect l="724" t="3240" r="41259" b="4630"/>
                    <a:stretch/>
                  </pic:blipFill>
                  <pic:spPr bwMode="auto">
                    <a:xfrm>
                      <a:off x="0" y="0"/>
                      <a:ext cx="2947195" cy="136500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hint="eastAsia"/>
          <w:b/>
          <w:szCs w:val="24"/>
        </w:rPr>
        <w:t xml:space="preserve"> </w:t>
      </w:r>
      <w:r>
        <w:rPr>
          <w:noProof/>
        </w:rPr>
        <w:drawing>
          <wp:inline distT="0" distB="0" distL="0" distR="0" wp14:anchorId="11541251" wp14:editId="614F6C84">
            <wp:extent cx="2560320" cy="1385667"/>
            <wp:effectExtent l="0" t="0" r="0" b="508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259F8" w:rsidRDefault="009259F8" w:rsidP="009259F8">
      <w:pPr>
        <w:spacing w:line="360" w:lineRule="auto"/>
        <w:ind w:firstLineChars="1200" w:firstLine="2520"/>
        <w:rPr>
          <w:rFonts w:ascii="宋体" w:hAnsi="宋体"/>
          <w:szCs w:val="24"/>
        </w:rPr>
      </w:pPr>
      <w:r w:rsidRPr="00B42736">
        <w:rPr>
          <w:rFonts w:ascii="宋体" w:hAnsi="宋体" w:hint="eastAsia"/>
          <w:szCs w:val="24"/>
        </w:rPr>
        <w:t xml:space="preserve">（A）色谱图           </w:t>
      </w:r>
      <w:r>
        <w:rPr>
          <w:rFonts w:ascii="宋体" w:hAnsi="宋体" w:hint="eastAsia"/>
          <w:szCs w:val="24"/>
        </w:rPr>
        <w:t xml:space="preserve">        </w:t>
      </w:r>
      <w:r w:rsidRPr="00B42736">
        <w:rPr>
          <w:rFonts w:ascii="宋体" w:hAnsi="宋体" w:hint="eastAsia"/>
          <w:szCs w:val="24"/>
        </w:rPr>
        <w:t>（B）峰面积与浓度的线性回归</w:t>
      </w:r>
    </w:p>
    <w:p w:rsidR="009259F8" w:rsidRPr="00B42736" w:rsidRDefault="009259F8" w:rsidP="009259F8">
      <w:pPr>
        <w:spacing w:line="360" w:lineRule="auto"/>
        <w:ind w:firstLineChars="200" w:firstLine="422"/>
        <w:jc w:val="center"/>
        <w:rPr>
          <w:rFonts w:ascii="宋体" w:hAnsi="宋体"/>
          <w:b/>
          <w:szCs w:val="24"/>
        </w:rPr>
      </w:pPr>
      <w:r w:rsidRPr="00B42736">
        <w:rPr>
          <w:rFonts w:ascii="宋体" w:hAnsi="宋体" w:hint="eastAsia"/>
          <w:b/>
          <w:szCs w:val="24"/>
        </w:rPr>
        <w:t>图</w:t>
      </w:r>
      <w:r w:rsidR="0002497B">
        <w:rPr>
          <w:rFonts w:ascii="宋体" w:hAnsi="宋体" w:hint="eastAsia"/>
          <w:b/>
          <w:szCs w:val="24"/>
        </w:rPr>
        <w:t>8</w:t>
      </w:r>
      <w:r w:rsidRPr="009259F8">
        <w:rPr>
          <w:rFonts w:ascii="宋体" w:hAnsi="宋体" w:hint="eastAsia"/>
          <w:b/>
          <w:szCs w:val="24"/>
        </w:rPr>
        <w:t>头</w:t>
      </w:r>
      <w:proofErr w:type="gramStart"/>
      <w:r w:rsidRPr="009259F8">
        <w:rPr>
          <w:rFonts w:ascii="宋体" w:hAnsi="宋体" w:hint="eastAsia"/>
          <w:b/>
          <w:szCs w:val="24"/>
        </w:rPr>
        <w:t>孢哌</w:t>
      </w:r>
      <w:proofErr w:type="gramEnd"/>
      <w:r w:rsidRPr="009259F8">
        <w:rPr>
          <w:rFonts w:ascii="宋体" w:hAnsi="宋体" w:hint="eastAsia"/>
          <w:b/>
          <w:szCs w:val="24"/>
        </w:rPr>
        <w:t>酮</w:t>
      </w:r>
      <w:r w:rsidRPr="00B42736">
        <w:rPr>
          <w:rFonts w:ascii="宋体" w:hAnsi="宋体" w:hint="eastAsia"/>
          <w:b/>
          <w:szCs w:val="24"/>
        </w:rPr>
        <w:t>的</w:t>
      </w:r>
      <w:r>
        <w:rPr>
          <w:rFonts w:ascii="宋体" w:hAnsi="宋体" w:hint="eastAsia"/>
          <w:b/>
          <w:szCs w:val="24"/>
        </w:rPr>
        <w:t>HPLC</w:t>
      </w:r>
      <w:r w:rsidRPr="00B42736">
        <w:rPr>
          <w:rFonts w:ascii="宋体" w:hAnsi="宋体" w:hint="eastAsia"/>
          <w:b/>
          <w:szCs w:val="24"/>
        </w:rPr>
        <w:t>色谱图（A）及</w:t>
      </w:r>
      <w:r>
        <w:rPr>
          <w:rFonts w:ascii="宋体" w:hAnsi="宋体" w:hint="eastAsia"/>
          <w:b/>
          <w:szCs w:val="24"/>
        </w:rPr>
        <w:t>其不同浓度的</w:t>
      </w:r>
      <w:r w:rsidRPr="00B42736">
        <w:rPr>
          <w:rFonts w:ascii="宋体" w:hAnsi="宋体" w:hint="eastAsia"/>
          <w:b/>
          <w:szCs w:val="24"/>
        </w:rPr>
        <w:t>回归曲线分析（B）</w:t>
      </w:r>
    </w:p>
    <w:p w:rsidR="009259F8" w:rsidRPr="00B42736" w:rsidRDefault="009259F8" w:rsidP="009259F8">
      <w:pPr>
        <w:spacing w:line="360" w:lineRule="auto"/>
        <w:ind w:firstLineChars="200" w:firstLine="480"/>
        <w:rPr>
          <w:rFonts w:ascii="宋体" w:hAnsi="宋体"/>
          <w:sz w:val="24"/>
          <w:szCs w:val="24"/>
        </w:rPr>
      </w:pPr>
      <w:r>
        <w:rPr>
          <w:rFonts w:ascii="宋体" w:hAnsi="宋体" w:hint="eastAsia"/>
          <w:sz w:val="24"/>
          <w:szCs w:val="24"/>
        </w:rPr>
        <w:t>（5）</w:t>
      </w:r>
      <w:r w:rsidRPr="009259F8">
        <w:rPr>
          <w:rFonts w:ascii="宋体" w:hAnsi="宋体" w:hint="eastAsia"/>
          <w:sz w:val="24"/>
        </w:rPr>
        <w:t>头</w:t>
      </w:r>
      <w:proofErr w:type="gramStart"/>
      <w:r w:rsidRPr="009259F8">
        <w:rPr>
          <w:rFonts w:ascii="宋体" w:hAnsi="宋体" w:hint="eastAsia"/>
          <w:sz w:val="24"/>
        </w:rPr>
        <w:t>孢</w:t>
      </w:r>
      <w:r>
        <w:rPr>
          <w:rFonts w:ascii="宋体" w:hAnsi="宋体" w:hint="eastAsia"/>
          <w:sz w:val="24"/>
        </w:rPr>
        <w:t>唑</w:t>
      </w:r>
      <w:proofErr w:type="gramEnd"/>
      <w:r>
        <w:rPr>
          <w:rFonts w:ascii="宋体" w:hAnsi="宋体" w:hint="eastAsia"/>
          <w:sz w:val="24"/>
        </w:rPr>
        <w:t>林</w:t>
      </w:r>
      <w:r>
        <w:rPr>
          <w:rFonts w:ascii="宋体" w:hAnsi="宋体" w:hint="eastAsia"/>
          <w:sz w:val="24"/>
          <w:szCs w:val="24"/>
        </w:rPr>
        <w:t>。利用高效凝胶色谱柱对</w:t>
      </w:r>
      <w:r w:rsidRPr="009259F8">
        <w:rPr>
          <w:rFonts w:ascii="宋体" w:hAnsi="宋体" w:hint="eastAsia"/>
          <w:sz w:val="24"/>
        </w:rPr>
        <w:t>头</w:t>
      </w:r>
      <w:proofErr w:type="gramStart"/>
      <w:r w:rsidRPr="009259F8">
        <w:rPr>
          <w:rFonts w:ascii="宋体" w:hAnsi="宋体" w:hint="eastAsia"/>
          <w:sz w:val="24"/>
        </w:rPr>
        <w:t>孢</w:t>
      </w:r>
      <w:r>
        <w:rPr>
          <w:rFonts w:ascii="宋体" w:hAnsi="宋体" w:hint="eastAsia"/>
          <w:sz w:val="24"/>
        </w:rPr>
        <w:t>唑</w:t>
      </w:r>
      <w:proofErr w:type="gramEnd"/>
      <w:r>
        <w:rPr>
          <w:rFonts w:ascii="宋体" w:hAnsi="宋体" w:hint="eastAsia"/>
          <w:sz w:val="24"/>
        </w:rPr>
        <w:t>林</w:t>
      </w:r>
      <w:r>
        <w:rPr>
          <w:rFonts w:ascii="宋体" w:hAnsi="宋体" w:hint="eastAsia"/>
          <w:sz w:val="24"/>
          <w:szCs w:val="24"/>
        </w:rPr>
        <w:t>进行HPLC测定,进样</w:t>
      </w:r>
      <w:r w:rsidR="0002497B">
        <w:rPr>
          <w:rFonts w:ascii="宋体" w:hAnsi="宋体" w:hint="eastAsia"/>
          <w:sz w:val="24"/>
          <w:szCs w:val="24"/>
        </w:rPr>
        <w:t>10</w:t>
      </w:r>
      <w:r>
        <w:rPr>
          <w:rFonts w:ascii="宋体" w:hAnsi="宋体" w:hint="eastAsia"/>
          <w:sz w:val="24"/>
          <w:szCs w:val="24"/>
        </w:rPr>
        <w:t>μL，主峰理论塔板数为</w:t>
      </w:r>
      <w:r w:rsidR="003A304F">
        <w:rPr>
          <w:rFonts w:ascii="宋体" w:hAnsi="宋体" w:hint="eastAsia"/>
          <w:sz w:val="24"/>
          <w:szCs w:val="24"/>
        </w:rPr>
        <w:t>19096</w:t>
      </w:r>
      <w:r>
        <w:rPr>
          <w:rFonts w:ascii="宋体" w:hAnsi="宋体" w:hint="eastAsia"/>
          <w:sz w:val="24"/>
          <w:szCs w:val="24"/>
        </w:rPr>
        <w:t>，在0.0016-5 mg/mL范围内，回归曲线的</w:t>
      </w:r>
      <w:proofErr w:type="gramStart"/>
      <w:r>
        <w:rPr>
          <w:rFonts w:ascii="宋体" w:hAnsi="宋体" w:hint="eastAsia"/>
          <w:sz w:val="24"/>
          <w:szCs w:val="24"/>
        </w:rPr>
        <w:t>的</w:t>
      </w:r>
      <w:proofErr w:type="gramEnd"/>
      <w:r w:rsidRPr="00B42736">
        <w:rPr>
          <w:rFonts w:ascii="宋体" w:hAnsi="宋体" w:hint="eastAsia"/>
          <w:i/>
          <w:sz w:val="24"/>
          <w:szCs w:val="24"/>
        </w:rPr>
        <w:t xml:space="preserve"> R</w:t>
      </w:r>
      <w:r w:rsidRPr="00B42736">
        <w:rPr>
          <w:rFonts w:ascii="宋体" w:hAnsi="宋体" w:hint="eastAsia"/>
          <w:i/>
          <w:sz w:val="24"/>
          <w:szCs w:val="24"/>
          <w:vertAlign w:val="superscript"/>
        </w:rPr>
        <w:t>2</w:t>
      </w:r>
      <w:r>
        <w:rPr>
          <w:rFonts w:ascii="宋体" w:hAnsi="宋体" w:hint="eastAsia"/>
          <w:sz w:val="24"/>
          <w:szCs w:val="24"/>
        </w:rPr>
        <w:t>为1。</w:t>
      </w:r>
    </w:p>
    <w:p w:rsidR="009259F8" w:rsidRDefault="0051334F" w:rsidP="009065AB">
      <w:pPr>
        <w:spacing w:line="360" w:lineRule="auto"/>
        <w:ind w:firstLineChars="200" w:firstLine="420"/>
        <w:jc w:val="center"/>
        <w:rPr>
          <w:rFonts w:ascii="宋体" w:hAnsi="宋体"/>
          <w:b/>
          <w:szCs w:val="24"/>
        </w:rPr>
      </w:pPr>
      <w:r>
        <w:rPr>
          <w:rFonts w:hint="eastAsia"/>
          <w:noProof/>
        </w:rPr>
        <w:drawing>
          <wp:inline distT="0" distB="0" distL="0" distR="0" wp14:anchorId="08C26FD6" wp14:editId="26492B67">
            <wp:extent cx="2818978" cy="1385668"/>
            <wp:effectExtent l="0" t="0" r="635" b="508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lum bright="20000"/>
                    </a:blip>
                    <a:srcRect l="859" t="3300" r="34910" b="3632"/>
                    <a:stretch/>
                  </pic:blipFill>
                  <pic:spPr bwMode="auto">
                    <a:xfrm>
                      <a:off x="0" y="0"/>
                      <a:ext cx="2847500" cy="1399688"/>
                    </a:xfrm>
                    <a:prstGeom prst="rect">
                      <a:avLst/>
                    </a:prstGeom>
                    <a:noFill/>
                    <a:ln>
                      <a:noFill/>
                    </a:ln>
                    <a:extLst>
                      <a:ext uri="{53640926-AAD7-44D8-BBD7-CCE9431645EC}">
                        <a14:shadowObscured xmlns:a14="http://schemas.microsoft.com/office/drawing/2010/main"/>
                      </a:ext>
                    </a:extLst>
                  </pic:spPr>
                </pic:pic>
              </a:graphicData>
            </a:graphic>
          </wp:inline>
        </w:drawing>
      </w:r>
      <w:r w:rsidR="009259F8">
        <w:rPr>
          <w:rFonts w:ascii="宋体" w:hAnsi="宋体" w:hint="eastAsia"/>
          <w:b/>
          <w:szCs w:val="24"/>
        </w:rPr>
        <w:t xml:space="preserve"> </w:t>
      </w:r>
      <w:r w:rsidR="009259F8">
        <w:rPr>
          <w:noProof/>
        </w:rPr>
        <w:drawing>
          <wp:inline distT="0" distB="0" distL="0" distR="0" wp14:anchorId="12FEA89B" wp14:editId="4E96FAE1">
            <wp:extent cx="2489981" cy="1392702"/>
            <wp:effectExtent l="0" t="0" r="5715" b="0"/>
            <wp:docPr id="6145" name="图表 6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59F8" w:rsidRDefault="009259F8" w:rsidP="009259F8">
      <w:pPr>
        <w:spacing w:line="360" w:lineRule="auto"/>
        <w:ind w:firstLineChars="1200" w:firstLine="2520"/>
        <w:rPr>
          <w:rFonts w:ascii="宋体" w:hAnsi="宋体"/>
          <w:szCs w:val="24"/>
        </w:rPr>
      </w:pPr>
      <w:r w:rsidRPr="00B42736">
        <w:rPr>
          <w:rFonts w:ascii="宋体" w:hAnsi="宋体" w:hint="eastAsia"/>
          <w:szCs w:val="24"/>
        </w:rPr>
        <w:t xml:space="preserve">（A）色谱图           </w:t>
      </w:r>
      <w:r>
        <w:rPr>
          <w:rFonts w:ascii="宋体" w:hAnsi="宋体" w:hint="eastAsia"/>
          <w:szCs w:val="24"/>
        </w:rPr>
        <w:t xml:space="preserve">        </w:t>
      </w:r>
      <w:r w:rsidRPr="00B42736">
        <w:rPr>
          <w:rFonts w:ascii="宋体" w:hAnsi="宋体" w:hint="eastAsia"/>
          <w:szCs w:val="24"/>
        </w:rPr>
        <w:t>（B）峰面积与浓度的线性回归</w:t>
      </w:r>
    </w:p>
    <w:p w:rsidR="009259F8" w:rsidRDefault="009259F8" w:rsidP="009259F8">
      <w:pPr>
        <w:spacing w:line="360" w:lineRule="auto"/>
        <w:ind w:firstLineChars="200" w:firstLine="422"/>
        <w:jc w:val="center"/>
        <w:rPr>
          <w:rFonts w:ascii="宋体" w:hAnsi="宋体"/>
          <w:b/>
          <w:szCs w:val="24"/>
        </w:rPr>
      </w:pPr>
      <w:r w:rsidRPr="00B42736">
        <w:rPr>
          <w:rFonts w:ascii="宋体" w:hAnsi="宋体" w:hint="eastAsia"/>
          <w:b/>
          <w:szCs w:val="24"/>
        </w:rPr>
        <w:t>图</w:t>
      </w:r>
      <w:r w:rsidR="0002497B">
        <w:rPr>
          <w:rFonts w:ascii="宋体" w:hAnsi="宋体" w:hint="eastAsia"/>
          <w:b/>
          <w:szCs w:val="24"/>
        </w:rPr>
        <w:t>9</w:t>
      </w:r>
      <w:r w:rsidR="0051334F" w:rsidRPr="0051334F">
        <w:rPr>
          <w:rFonts w:ascii="宋体" w:hAnsi="宋体" w:hint="eastAsia"/>
          <w:b/>
          <w:szCs w:val="24"/>
        </w:rPr>
        <w:t>头</w:t>
      </w:r>
      <w:proofErr w:type="gramStart"/>
      <w:r w:rsidR="0051334F" w:rsidRPr="0051334F">
        <w:rPr>
          <w:rFonts w:ascii="宋体" w:hAnsi="宋体" w:hint="eastAsia"/>
          <w:b/>
          <w:szCs w:val="24"/>
        </w:rPr>
        <w:t>孢唑</w:t>
      </w:r>
      <w:proofErr w:type="gramEnd"/>
      <w:r w:rsidR="0051334F" w:rsidRPr="0051334F">
        <w:rPr>
          <w:rFonts w:ascii="宋体" w:hAnsi="宋体" w:hint="eastAsia"/>
          <w:b/>
          <w:szCs w:val="24"/>
        </w:rPr>
        <w:t>林</w:t>
      </w:r>
      <w:r w:rsidRPr="00B42736">
        <w:rPr>
          <w:rFonts w:ascii="宋体" w:hAnsi="宋体" w:hint="eastAsia"/>
          <w:b/>
          <w:szCs w:val="24"/>
        </w:rPr>
        <w:t>的</w:t>
      </w:r>
      <w:r>
        <w:rPr>
          <w:rFonts w:ascii="宋体" w:hAnsi="宋体" w:hint="eastAsia"/>
          <w:b/>
          <w:szCs w:val="24"/>
        </w:rPr>
        <w:t>HPLC</w:t>
      </w:r>
      <w:r w:rsidRPr="00B42736">
        <w:rPr>
          <w:rFonts w:ascii="宋体" w:hAnsi="宋体" w:hint="eastAsia"/>
          <w:b/>
          <w:szCs w:val="24"/>
        </w:rPr>
        <w:t>色谱图（A）及</w:t>
      </w:r>
      <w:r>
        <w:rPr>
          <w:rFonts w:ascii="宋体" w:hAnsi="宋体" w:hint="eastAsia"/>
          <w:b/>
          <w:szCs w:val="24"/>
        </w:rPr>
        <w:t>其不同浓度的</w:t>
      </w:r>
      <w:r w:rsidRPr="00B42736">
        <w:rPr>
          <w:rFonts w:ascii="宋体" w:hAnsi="宋体" w:hint="eastAsia"/>
          <w:b/>
          <w:szCs w:val="24"/>
        </w:rPr>
        <w:t>回归曲线分析（B）</w:t>
      </w:r>
    </w:p>
    <w:p w:rsidR="003A304F" w:rsidRPr="00B42736" w:rsidRDefault="003A304F" w:rsidP="003A304F">
      <w:pPr>
        <w:spacing w:line="360" w:lineRule="auto"/>
        <w:ind w:firstLineChars="200" w:firstLine="480"/>
        <w:rPr>
          <w:rFonts w:ascii="宋体" w:hAnsi="宋体"/>
          <w:sz w:val="24"/>
          <w:szCs w:val="24"/>
        </w:rPr>
      </w:pPr>
      <w:r>
        <w:rPr>
          <w:rFonts w:ascii="宋体" w:hAnsi="宋体" w:hint="eastAsia"/>
          <w:sz w:val="24"/>
          <w:szCs w:val="24"/>
        </w:rPr>
        <w:t>（6）</w:t>
      </w:r>
      <w:r w:rsidRPr="003A304F">
        <w:rPr>
          <w:rFonts w:ascii="宋体" w:hAnsi="宋体" w:hint="eastAsia"/>
          <w:sz w:val="24"/>
        </w:rPr>
        <w:t>头</w:t>
      </w:r>
      <w:proofErr w:type="gramStart"/>
      <w:r w:rsidRPr="003A304F">
        <w:rPr>
          <w:rFonts w:ascii="宋体" w:hAnsi="宋体" w:hint="eastAsia"/>
          <w:sz w:val="24"/>
        </w:rPr>
        <w:t>孢</w:t>
      </w:r>
      <w:proofErr w:type="gramEnd"/>
      <w:r w:rsidRPr="003A304F">
        <w:rPr>
          <w:rFonts w:ascii="宋体" w:hAnsi="宋体" w:hint="eastAsia"/>
          <w:sz w:val="24"/>
        </w:rPr>
        <w:t>替</w:t>
      </w:r>
      <w:proofErr w:type="gramStart"/>
      <w:r w:rsidRPr="003A304F">
        <w:rPr>
          <w:rFonts w:ascii="宋体" w:hAnsi="宋体" w:hint="eastAsia"/>
          <w:sz w:val="24"/>
        </w:rPr>
        <w:t>唑</w:t>
      </w:r>
      <w:proofErr w:type="gramEnd"/>
      <w:r>
        <w:rPr>
          <w:rFonts w:ascii="宋体" w:hAnsi="宋体" w:hint="eastAsia"/>
          <w:sz w:val="24"/>
          <w:szCs w:val="24"/>
        </w:rPr>
        <w:t>。利用高效凝胶色谱柱对</w:t>
      </w:r>
      <w:r w:rsidRPr="003A304F">
        <w:rPr>
          <w:rFonts w:ascii="宋体" w:hAnsi="宋体" w:hint="eastAsia"/>
          <w:sz w:val="24"/>
        </w:rPr>
        <w:t>头</w:t>
      </w:r>
      <w:proofErr w:type="gramStart"/>
      <w:r w:rsidRPr="003A304F">
        <w:rPr>
          <w:rFonts w:ascii="宋体" w:hAnsi="宋体" w:hint="eastAsia"/>
          <w:sz w:val="24"/>
        </w:rPr>
        <w:t>孢</w:t>
      </w:r>
      <w:proofErr w:type="gramEnd"/>
      <w:r w:rsidRPr="003A304F">
        <w:rPr>
          <w:rFonts w:ascii="宋体" w:hAnsi="宋体" w:hint="eastAsia"/>
          <w:sz w:val="24"/>
        </w:rPr>
        <w:t>替</w:t>
      </w:r>
      <w:proofErr w:type="gramStart"/>
      <w:r w:rsidRPr="003A304F">
        <w:rPr>
          <w:rFonts w:ascii="宋体" w:hAnsi="宋体" w:hint="eastAsia"/>
          <w:sz w:val="24"/>
        </w:rPr>
        <w:t>唑</w:t>
      </w:r>
      <w:proofErr w:type="gramEnd"/>
      <w:r>
        <w:rPr>
          <w:rFonts w:ascii="宋体" w:hAnsi="宋体" w:hint="eastAsia"/>
          <w:sz w:val="24"/>
          <w:szCs w:val="24"/>
        </w:rPr>
        <w:t>进行HPLC测定,进样10μL，主峰理论塔板数为10087，在0.0016-5 mg/mL范围内，回归曲线的</w:t>
      </w:r>
      <w:proofErr w:type="gramStart"/>
      <w:r>
        <w:rPr>
          <w:rFonts w:ascii="宋体" w:hAnsi="宋体" w:hint="eastAsia"/>
          <w:sz w:val="24"/>
          <w:szCs w:val="24"/>
        </w:rPr>
        <w:t>的</w:t>
      </w:r>
      <w:proofErr w:type="gramEnd"/>
      <w:r w:rsidRPr="00B42736">
        <w:rPr>
          <w:rFonts w:ascii="宋体" w:hAnsi="宋体" w:hint="eastAsia"/>
          <w:i/>
          <w:sz w:val="24"/>
          <w:szCs w:val="24"/>
        </w:rPr>
        <w:t xml:space="preserve"> R</w:t>
      </w:r>
      <w:r w:rsidRPr="00B42736">
        <w:rPr>
          <w:rFonts w:ascii="宋体" w:hAnsi="宋体" w:hint="eastAsia"/>
          <w:i/>
          <w:sz w:val="24"/>
          <w:szCs w:val="24"/>
          <w:vertAlign w:val="superscript"/>
        </w:rPr>
        <w:t>2</w:t>
      </w:r>
      <w:r>
        <w:rPr>
          <w:rFonts w:ascii="宋体" w:hAnsi="宋体" w:hint="eastAsia"/>
          <w:sz w:val="24"/>
          <w:szCs w:val="24"/>
        </w:rPr>
        <w:t>为1。</w:t>
      </w:r>
    </w:p>
    <w:p w:rsidR="003A304F" w:rsidRDefault="003A304F" w:rsidP="003A304F">
      <w:pPr>
        <w:spacing w:line="360" w:lineRule="auto"/>
        <w:ind w:firstLineChars="200" w:firstLine="420"/>
        <w:jc w:val="center"/>
        <w:rPr>
          <w:rFonts w:ascii="宋体" w:hAnsi="宋体"/>
          <w:b/>
          <w:szCs w:val="24"/>
        </w:rPr>
      </w:pPr>
      <w:r>
        <w:rPr>
          <w:rFonts w:hint="eastAsia"/>
          <w:noProof/>
        </w:rPr>
        <w:drawing>
          <wp:inline distT="0" distB="0" distL="0" distR="0" wp14:anchorId="21E63437" wp14:editId="176DD383">
            <wp:extent cx="2818978" cy="1498209"/>
            <wp:effectExtent l="0" t="0" r="635" b="6985"/>
            <wp:docPr id="615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lum bright="20000"/>
                    </a:blip>
                    <a:srcRect l="859" t="3300" r="34910" b="3632"/>
                    <a:stretch/>
                  </pic:blipFill>
                  <pic:spPr bwMode="auto">
                    <a:xfrm>
                      <a:off x="0" y="0"/>
                      <a:ext cx="2847500" cy="151336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hint="eastAsia"/>
          <w:b/>
          <w:szCs w:val="24"/>
        </w:rPr>
        <w:t xml:space="preserve"> </w:t>
      </w:r>
      <w:r>
        <w:rPr>
          <w:noProof/>
        </w:rPr>
        <w:drawing>
          <wp:inline distT="0" distB="0" distL="0" distR="0" wp14:anchorId="2FC4A9B1" wp14:editId="26AEA67F">
            <wp:extent cx="2497015" cy="158261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A304F" w:rsidRDefault="003A304F" w:rsidP="003A304F">
      <w:pPr>
        <w:spacing w:line="360" w:lineRule="auto"/>
        <w:ind w:firstLineChars="1200" w:firstLine="2520"/>
        <w:rPr>
          <w:rFonts w:ascii="宋体" w:hAnsi="宋体"/>
          <w:szCs w:val="24"/>
        </w:rPr>
      </w:pPr>
      <w:r w:rsidRPr="00B42736">
        <w:rPr>
          <w:rFonts w:ascii="宋体" w:hAnsi="宋体" w:hint="eastAsia"/>
          <w:szCs w:val="24"/>
        </w:rPr>
        <w:t xml:space="preserve">（A）色谱图           </w:t>
      </w:r>
      <w:r>
        <w:rPr>
          <w:rFonts w:ascii="宋体" w:hAnsi="宋体" w:hint="eastAsia"/>
          <w:szCs w:val="24"/>
        </w:rPr>
        <w:t xml:space="preserve">        </w:t>
      </w:r>
      <w:r w:rsidRPr="00B42736">
        <w:rPr>
          <w:rFonts w:ascii="宋体" w:hAnsi="宋体" w:hint="eastAsia"/>
          <w:szCs w:val="24"/>
        </w:rPr>
        <w:t>（B）峰面积与浓度的线性回归</w:t>
      </w:r>
    </w:p>
    <w:p w:rsidR="003A304F" w:rsidRPr="00B42736" w:rsidRDefault="003A304F" w:rsidP="003A304F">
      <w:pPr>
        <w:spacing w:line="360" w:lineRule="auto"/>
        <w:ind w:firstLineChars="200" w:firstLine="422"/>
        <w:jc w:val="center"/>
        <w:rPr>
          <w:rFonts w:ascii="宋体" w:hAnsi="宋体"/>
          <w:b/>
          <w:szCs w:val="24"/>
        </w:rPr>
      </w:pPr>
      <w:r w:rsidRPr="00B42736">
        <w:rPr>
          <w:rFonts w:ascii="宋体" w:hAnsi="宋体" w:hint="eastAsia"/>
          <w:b/>
          <w:szCs w:val="24"/>
        </w:rPr>
        <w:t>图</w:t>
      </w:r>
      <w:r>
        <w:rPr>
          <w:rFonts w:ascii="宋体" w:hAnsi="宋体" w:hint="eastAsia"/>
          <w:b/>
          <w:szCs w:val="24"/>
        </w:rPr>
        <w:t>10</w:t>
      </w:r>
      <w:r w:rsidRPr="003A304F">
        <w:rPr>
          <w:rFonts w:ascii="宋体" w:hAnsi="宋体" w:hint="eastAsia"/>
          <w:b/>
          <w:szCs w:val="24"/>
        </w:rPr>
        <w:t>头</w:t>
      </w:r>
      <w:proofErr w:type="gramStart"/>
      <w:r w:rsidRPr="003A304F">
        <w:rPr>
          <w:rFonts w:ascii="宋体" w:hAnsi="宋体" w:hint="eastAsia"/>
          <w:b/>
          <w:szCs w:val="24"/>
        </w:rPr>
        <w:t>孢</w:t>
      </w:r>
      <w:proofErr w:type="gramEnd"/>
      <w:r w:rsidRPr="003A304F">
        <w:rPr>
          <w:rFonts w:ascii="宋体" w:hAnsi="宋体" w:hint="eastAsia"/>
          <w:b/>
          <w:szCs w:val="24"/>
        </w:rPr>
        <w:t>替</w:t>
      </w:r>
      <w:proofErr w:type="gramStart"/>
      <w:r w:rsidRPr="003A304F">
        <w:rPr>
          <w:rFonts w:ascii="宋体" w:hAnsi="宋体" w:hint="eastAsia"/>
          <w:b/>
          <w:szCs w:val="24"/>
        </w:rPr>
        <w:t>唑</w:t>
      </w:r>
      <w:proofErr w:type="gramEnd"/>
      <w:r w:rsidRPr="00B42736">
        <w:rPr>
          <w:rFonts w:ascii="宋体" w:hAnsi="宋体" w:hint="eastAsia"/>
          <w:b/>
          <w:szCs w:val="24"/>
        </w:rPr>
        <w:t>的</w:t>
      </w:r>
      <w:r>
        <w:rPr>
          <w:rFonts w:ascii="宋体" w:hAnsi="宋体" w:hint="eastAsia"/>
          <w:b/>
          <w:szCs w:val="24"/>
        </w:rPr>
        <w:t>HPLC</w:t>
      </w:r>
      <w:r w:rsidRPr="00B42736">
        <w:rPr>
          <w:rFonts w:ascii="宋体" w:hAnsi="宋体" w:hint="eastAsia"/>
          <w:b/>
          <w:szCs w:val="24"/>
        </w:rPr>
        <w:t>色谱图（A）及</w:t>
      </w:r>
      <w:r>
        <w:rPr>
          <w:rFonts w:ascii="宋体" w:hAnsi="宋体" w:hint="eastAsia"/>
          <w:b/>
          <w:szCs w:val="24"/>
        </w:rPr>
        <w:t>其不同浓度的</w:t>
      </w:r>
      <w:r w:rsidRPr="00B42736">
        <w:rPr>
          <w:rFonts w:ascii="宋体" w:hAnsi="宋体" w:hint="eastAsia"/>
          <w:b/>
          <w:szCs w:val="24"/>
        </w:rPr>
        <w:t>回归曲线分析（B）</w:t>
      </w:r>
    </w:p>
    <w:p w:rsidR="00694EE6" w:rsidRPr="009065AB" w:rsidRDefault="00416DD0" w:rsidP="009065AB">
      <w:pPr>
        <w:spacing w:line="360" w:lineRule="auto"/>
        <w:rPr>
          <w:rFonts w:ascii="黑体" w:eastAsia="黑体" w:hAnsi="金山简标宋"/>
          <w:sz w:val="24"/>
        </w:rPr>
      </w:pPr>
      <w:bookmarkStart w:id="6" w:name="OLE_LINK8"/>
      <w:bookmarkStart w:id="7" w:name="OLE_LINK9"/>
      <w:r>
        <w:rPr>
          <w:rFonts w:ascii="黑体" w:eastAsia="黑体" w:hAnsi="金山简标宋" w:hint="eastAsia"/>
          <w:sz w:val="24"/>
        </w:rPr>
        <w:t>八</w:t>
      </w:r>
      <w:r w:rsidR="00694EE6" w:rsidRPr="009065AB">
        <w:rPr>
          <w:rFonts w:ascii="黑体" w:eastAsia="黑体" w:hAnsi="金山简标宋" w:hint="eastAsia"/>
          <w:sz w:val="24"/>
        </w:rPr>
        <w:t>、与有关的现行法律、法规和强制性国家标准的关系</w:t>
      </w:r>
    </w:p>
    <w:bookmarkEnd w:id="6"/>
    <w:bookmarkEnd w:id="7"/>
    <w:p w:rsidR="00694EE6" w:rsidRPr="00B329E4" w:rsidRDefault="00694EE6">
      <w:pPr>
        <w:spacing w:line="360" w:lineRule="auto"/>
        <w:ind w:firstLineChars="200" w:firstLine="480"/>
        <w:rPr>
          <w:rFonts w:ascii="宋体" w:hAnsi="宋体"/>
          <w:i/>
          <w:sz w:val="24"/>
        </w:rPr>
      </w:pPr>
      <w:r w:rsidRPr="004C5DE5">
        <w:rPr>
          <w:rFonts w:ascii="宋体" w:hAnsi="宋体" w:hint="eastAsia"/>
          <w:sz w:val="24"/>
        </w:rPr>
        <w:lastRenderedPageBreak/>
        <w:t>本标准符合国家现行法律、法规、规章和强制性国家标准的要求</w:t>
      </w:r>
      <w:r w:rsidRPr="009065AB">
        <w:rPr>
          <w:rFonts w:ascii="宋体" w:hAnsi="宋体" w:hint="eastAsia"/>
          <w:sz w:val="24"/>
        </w:rPr>
        <w:t>。</w:t>
      </w:r>
    </w:p>
    <w:p w:rsidR="00694EE6" w:rsidRPr="009065AB" w:rsidRDefault="00416DD0" w:rsidP="009065AB">
      <w:pPr>
        <w:spacing w:line="360" w:lineRule="auto"/>
        <w:rPr>
          <w:rFonts w:ascii="黑体" w:eastAsia="黑体" w:hAnsi="金山简标宋"/>
          <w:sz w:val="24"/>
        </w:rPr>
      </w:pPr>
      <w:r>
        <w:rPr>
          <w:rFonts w:ascii="黑体" w:eastAsia="黑体" w:hAnsi="金山简标宋" w:hint="eastAsia"/>
          <w:sz w:val="24"/>
        </w:rPr>
        <w:t>九</w:t>
      </w:r>
      <w:r w:rsidR="00694EE6" w:rsidRPr="009065AB">
        <w:rPr>
          <w:rFonts w:ascii="黑体" w:eastAsia="黑体" w:hAnsi="金山简标宋" w:hint="eastAsia"/>
          <w:sz w:val="24"/>
        </w:rPr>
        <w:t>、标准属性的建议</w:t>
      </w:r>
    </w:p>
    <w:p w:rsidR="00694EE6" w:rsidRDefault="00694EE6" w:rsidP="009065AB">
      <w:pPr>
        <w:pStyle w:val="a5"/>
        <w:widowControl w:val="0"/>
        <w:spacing w:before="0" w:beforeAutospacing="0" w:after="0" w:afterAutospacing="0" w:line="360" w:lineRule="auto"/>
        <w:ind w:firstLineChars="200" w:firstLine="480"/>
        <w:rPr>
          <w:sz w:val="24"/>
          <w:szCs w:val="24"/>
        </w:rPr>
      </w:pPr>
      <w:r>
        <w:rPr>
          <w:rFonts w:hAnsi="金山简标宋" w:hint="eastAsia"/>
          <w:sz w:val="24"/>
          <w:szCs w:val="24"/>
        </w:rPr>
        <w:t>本标准属于</w:t>
      </w:r>
      <w:r w:rsidR="00416DD0">
        <w:rPr>
          <w:rFonts w:hAnsi="金山简标宋" w:hint="eastAsia"/>
          <w:sz w:val="24"/>
          <w:szCs w:val="24"/>
        </w:rPr>
        <w:t>检测方法</w:t>
      </w:r>
      <w:r>
        <w:rPr>
          <w:rFonts w:hAnsi="金山简标宋" w:hint="eastAsia"/>
          <w:sz w:val="24"/>
          <w:szCs w:val="24"/>
        </w:rPr>
        <w:t>标准，</w:t>
      </w:r>
      <w:r>
        <w:rPr>
          <w:rFonts w:hint="eastAsia"/>
          <w:sz w:val="24"/>
          <w:szCs w:val="24"/>
        </w:rPr>
        <w:t>建议作为推荐性标准批准发布。</w:t>
      </w:r>
    </w:p>
    <w:p w:rsidR="00694EE6" w:rsidRPr="009065AB" w:rsidRDefault="00416DD0" w:rsidP="009065AB">
      <w:pPr>
        <w:spacing w:line="360" w:lineRule="auto"/>
        <w:rPr>
          <w:rFonts w:ascii="黑体" w:eastAsia="黑体" w:hAnsi="金山简标宋"/>
          <w:sz w:val="24"/>
        </w:rPr>
      </w:pPr>
      <w:bookmarkStart w:id="8" w:name="OLE_LINK10"/>
      <w:bookmarkStart w:id="9" w:name="OLE_LINK12"/>
      <w:bookmarkStart w:id="10" w:name="OLE_LINK13"/>
      <w:bookmarkStart w:id="11" w:name="OLE_LINK14"/>
      <w:bookmarkStart w:id="12" w:name="OLE_LINK4"/>
      <w:bookmarkStart w:id="13" w:name="OLE_LINK5"/>
      <w:bookmarkStart w:id="14" w:name="OLE_LINK6"/>
      <w:bookmarkStart w:id="15" w:name="OLE_LINK7"/>
      <w:r>
        <w:rPr>
          <w:rFonts w:ascii="黑体" w:eastAsia="黑体" w:hAnsi="金山简标宋" w:hint="eastAsia"/>
          <w:sz w:val="24"/>
        </w:rPr>
        <w:t>十</w:t>
      </w:r>
      <w:r w:rsidR="00694EE6" w:rsidRPr="009065AB">
        <w:rPr>
          <w:rFonts w:ascii="黑体" w:eastAsia="黑体" w:hAnsi="金山简标宋" w:hint="eastAsia"/>
          <w:sz w:val="24"/>
        </w:rPr>
        <w:t>、贯彻国家标准的要求和措施建议</w:t>
      </w:r>
      <w:bookmarkEnd w:id="8"/>
      <w:bookmarkEnd w:id="9"/>
      <w:bookmarkEnd w:id="10"/>
      <w:bookmarkEnd w:id="11"/>
    </w:p>
    <w:p w:rsidR="00BA349B" w:rsidRPr="00BA349B" w:rsidRDefault="00BA349B" w:rsidP="009065AB">
      <w:pPr>
        <w:pStyle w:val="a5"/>
        <w:widowControl w:val="0"/>
        <w:spacing w:before="0" w:beforeAutospacing="0" w:after="0" w:afterAutospacing="0" w:line="360" w:lineRule="auto"/>
        <w:ind w:firstLineChars="200" w:firstLine="480"/>
        <w:rPr>
          <w:rFonts w:hAnsi="金山简标宋"/>
          <w:sz w:val="24"/>
          <w:szCs w:val="24"/>
        </w:rPr>
      </w:pPr>
      <w:r w:rsidRPr="00BA349B">
        <w:rPr>
          <w:rFonts w:hAnsi="金山简标宋" w:hint="eastAsia"/>
          <w:sz w:val="24"/>
          <w:szCs w:val="24"/>
        </w:rPr>
        <w:t>为了贯彻好本标准，使其有效发挥作用，建议在标准发布后，在</w:t>
      </w:r>
      <w:r w:rsidR="00B329E4" w:rsidRPr="00B329E4">
        <w:rPr>
          <w:rFonts w:hAnsi="金山简标宋" w:hint="eastAsia"/>
          <w:sz w:val="24"/>
          <w:szCs w:val="24"/>
        </w:rPr>
        <w:t>国家</w:t>
      </w:r>
      <w:r w:rsidR="00B329E4">
        <w:rPr>
          <w:rFonts w:hAnsi="金山简标宋" w:hint="eastAsia"/>
          <w:sz w:val="24"/>
          <w:szCs w:val="24"/>
        </w:rPr>
        <w:t>及地方</w:t>
      </w:r>
      <w:r w:rsidR="00B329E4" w:rsidRPr="00B329E4">
        <w:rPr>
          <w:rFonts w:hAnsi="金山简标宋" w:hint="eastAsia"/>
          <w:sz w:val="24"/>
          <w:szCs w:val="24"/>
        </w:rPr>
        <w:t>药品监督管理局</w:t>
      </w:r>
      <w:r w:rsidR="00B329E4">
        <w:rPr>
          <w:rFonts w:hAnsi="金山简标宋" w:hint="eastAsia"/>
          <w:sz w:val="24"/>
          <w:szCs w:val="24"/>
        </w:rPr>
        <w:t>、</w:t>
      </w:r>
      <w:r w:rsidR="00416DD0">
        <w:rPr>
          <w:rFonts w:hAnsi="金山简标宋" w:hint="eastAsia"/>
          <w:sz w:val="24"/>
          <w:szCs w:val="24"/>
        </w:rPr>
        <w:t>抗生素</w:t>
      </w:r>
      <w:r w:rsidR="00B329E4">
        <w:rPr>
          <w:rFonts w:hAnsi="金山简标宋" w:hint="eastAsia"/>
          <w:sz w:val="24"/>
          <w:szCs w:val="24"/>
        </w:rPr>
        <w:t>生产</w:t>
      </w:r>
      <w:r w:rsidR="00416DD0">
        <w:rPr>
          <w:rFonts w:hAnsi="金山简标宋" w:hint="eastAsia"/>
          <w:sz w:val="24"/>
          <w:szCs w:val="24"/>
        </w:rPr>
        <w:t>企业</w:t>
      </w:r>
      <w:r w:rsidR="00653E79">
        <w:rPr>
          <w:rFonts w:hAnsi="金山简标宋" w:hint="eastAsia"/>
          <w:sz w:val="24"/>
          <w:szCs w:val="24"/>
        </w:rPr>
        <w:t>和</w:t>
      </w:r>
      <w:r w:rsidRPr="00BA349B">
        <w:rPr>
          <w:rFonts w:hAnsi="金山简标宋" w:hint="eastAsia"/>
          <w:sz w:val="24"/>
          <w:szCs w:val="24"/>
        </w:rPr>
        <w:t>有关机构进行宣传和贯彻，并组织有关部门成员进行学习和培训。</w:t>
      </w:r>
    </w:p>
    <w:bookmarkEnd w:id="12"/>
    <w:bookmarkEnd w:id="13"/>
    <w:bookmarkEnd w:id="14"/>
    <w:bookmarkEnd w:id="15"/>
    <w:p w:rsidR="00694EE6" w:rsidRPr="009065AB" w:rsidRDefault="00FF734F" w:rsidP="009065AB">
      <w:pPr>
        <w:spacing w:line="360" w:lineRule="auto"/>
        <w:rPr>
          <w:rFonts w:ascii="黑体" w:eastAsia="黑体" w:hAnsi="金山简标宋"/>
          <w:sz w:val="24"/>
        </w:rPr>
      </w:pPr>
      <w:r w:rsidRPr="009065AB">
        <w:rPr>
          <w:rFonts w:ascii="黑体" w:eastAsia="黑体" w:hAnsi="金山简标宋" w:hint="eastAsia"/>
          <w:sz w:val="24"/>
        </w:rPr>
        <w:t>十</w:t>
      </w:r>
      <w:r w:rsidR="00416DD0">
        <w:rPr>
          <w:rFonts w:ascii="黑体" w:eastAsia="黑体" w:hAnsi="金山简标宋" w:hint="eastAsia"/>
          <w:sz w:val="24"/>
        </w:rPr>
        <w:t>一</w:t>
      </w:r>
      <w:r w:rsidRPr="009065AB">
        <w:rPr>
          <w:rFonts w:ascii="黑体" w:eastAsia="黑体" w:hAnsi="金山简标宋" w:hint="eastAsia"/>
          <w:sz w:val="24"/>
        </w:rPr>
        <w:t>、其他应予说明的事项</w:t>
      </w:r>
    </w:p>
    <w:p w:rsidR="00FF734F" w:rsidRPr="00FF734F" w:rsidRDefault="00FF734F" w:rsidP="009065AB">
      <w:pPr>
        <w:pStyle w:val="a5"/>
        <w:widowControl w:val="0"/>
        <w:spacing w:before="0" w:beforeAutospacing="0" w:after="0" w:afterAutospacing="0" w:line="360" w:lineRule="auto"/>
        <w:ind w:firstLineChars="200" w:firstLine="480"/>
        <w:rPr>
          <w:sz w:val="24"/>
          <w:szCs w:val="24"/>
        </w:rPr>
      </w:pPr>
      <w:r>
        <w:rPr>
          <w:rFonts w:hint="eastAsia"/>
          <w:sz w:val="24"/>
          <w:szCs w:val="24"/>
        </w:rPr>
        <w:t>无</w:t>
      </w:r>
    </w:p>
    <w:p w:rsidR="00694EE6" w:rsidRPr="00301C94" w:rsidRDefault="00694EE6">
      <w:pPr>
        <w:spacing w:beforeLines="50" w:before="156" w:line="360" w:lineRule="auto"/>
        <w:rPr>
          <w:sz w:val="24"/>
          <w:szCs w:val="24"/>
        </w:rPr>
      </w:pPr>
    </w:p>
    <w:p w:rsidR="00D47FE8" w:rsidRPr="00694EE6" w:rsidRDefault="00D47FE8" w:rsidP="009065AB">
      <w:pPr>
        <w:spacing w:line="360" w:lineRule="auto"/>
      </w:pPr>
    </w:p>
    <w:sectPr w:rsidR="00D47FE8" w:rsidRPr="00694EE6">
      <w:footerReference w:type="even" r:id="rId27"/>
      <w:footerReference w:type="default" r:id="rId28"/>
      <w:pgSz w:w="11906" w:h="16838"/>
      <w:pgMar w:top="1418" w:right="1134" w:bottom="1418" w:left="141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26" w:rsidRDefault="00CC3226">
      <w:r>
        <w:separator/>
      </w:r>
    </w:p>
  </w:endnote>
  <w:endnote w:type="continuationSeparator" w:id="0">
    <w:p w:rsidR="00CC3226" w:rsidRDefault="00CC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金山简标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26" w:rsidRDefault="00CC3226">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CC3226" w:rsidRDefault="00CC32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26" w:rsidRDefault="00CC3226">
    <w:pPr>
      <w:pStyle w:val="a4"/>
      <w:framePr w:wrap="around" w:vAnchor="text" w:hAnchor="margin" w:xAlign="center" w:y="1"/>
      <w:rPr>
        <w:rStyle w:val="a3"/>
      </w:rPr>
    </w:pPr>
    <w:r>
      <w:fldChar w:fldCharType="begin"/>
    </w:r>
    <w:r>
      <w:rPr>
        <w:rStyle w:val="a3"/>
      </w:rPr>
      <w:instrText xml:space="preserve">PAGE  </w:instrText>
    </w:r>
    <w:r>
      <w:fldChar w:fldCharType="separate"/>
    </w:r>
    <w:r w:rsidR="00C41566">
      <w:rPr>
        <w:rStyle w:val="a3"/>
        <w:noProof/>
      </w:rPr>
      <w:t>5</w:t>
    </w:r>
    <w:r>
      <w:fldChar w:fldCharType="end"/>
    </w:r>
  </w:p>
  <w:p w:rsidR="00CC3226" w:rsidRDefault="00CC32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26" w:rsidRDefault="00CC3226">
      <w:r>
        <w:separator/>
      </w:r>
    </w:p>
  </w:footnote>
  <w:footnote w:type="continuationSeparator" w:id="0">
    <w:p w:rsidR="00CC3226" w:rsidRDefault="00CC3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E70AE"/>
    <w:multiLevelType w:val="hybridMultilevel"/>
    <w:tmpl w:val="485AF57C"/>
    <w:lvl w:ilvl="0" w:tplc="23BA0A88">
      <w:start w:val="1"/>
      <w:numFmt w:val="japaneseCounting"/>
      <w:lvlText w:val="（%1）"/>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92F4296"/>
    <w:multiLevelType w:val="multilevel"/>
    <w:tmpl w:val="492F429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E6"/>
    <w:rsid w:val="0002497B"/>
    <w:rsid w:val="00073A61"/>
    <w:rsid w:val="000D1875"/>
    <w:rsid w:val="001534DD"/>
    <w:rsid w:val="00160B31"/>
    <w:rsid w:val="00161754"/>
    <w:rsid w:val="001C2BC1"/>
    <w:rsid w:val="001C471E"/>
    <w:rsid w:val="001E1017"/>
    <w:rsid w:val="002376DC"/>
    <w:rsid w:val="00240860"/>
    <w:rsid w:val="00250300"/>
    <w:rsid w:val="00251ED1"/>
    <w:rsid w:val="00252F6A"/>
    <w:rsid w:val="00262C1C"/>
    <w:rsid w:val="002722FD"/>
    <w:rsid w:val="002860C9"/>
    <w:rsid w:val="002A0745"/>
    <w:rsid w:val="002B24AA"/>
    <w:rsid w:val="002D1743"/>
    <w:rsid w:val="002F0F23"/>
    <w:rsid w:val="00347FAD"/>
    <w:rsid w:val="003641D1"/>
    <w:rsid w:val="003805E8"/>
    <w:rsid w:val="00391861"/>
    <w:rsid w:val="003A304F"/>
    <w:rsid w:val="003B163D"/>
    <w:rsid w:val="003D1880"/>
    <w:rsid w:val="003F1B6D"/>
    <w:rsid w:val="00416DD0"/>
    <w:rsid w:val="004A4ADE"/>
    <w:rsid w:val="004D24C6"/>
    <w:rsid w:val="004D2B33"/>
    <w:rsid w:val="004E2B1C"/>
    <w:rsid w:val="004E4345"/>
    <w:rsid w:val="0051334F"/>
    <w:rsid w:val="00526A6A"/>
    <w:rsid w:val="005272FC"/>
    <w:rsid w:val="005945E2"/>
    <w:rsid w:val="005A1367"/>
    <w:rsid w:val="005B0A34"/>
    <w:rsid w:val="005B240D"/>
    <w:rsid w:val="005D26FC"/>
    <w:rsid w:val="00635D79"/>
    <w:rsid w:val="00653E79"/>
    <w:rsid w:val="00656FE3"/>
    <w:rsid w:val="0066678D"/>
    <w:rsid w:val="00683292"/>
    <w:rsid w:val="00694EE6"/>
    <w:rsid w:val="006D2811"/>
    <w:rsid w:val="006D2EE1"/>
    <w:rsid w:val="00777BD4"/>
    <w:rsid w:val="007B38CD"/>
    <w:rsid w:val="00873879"/>
    <w:rsid w:val="008744A3"/>
    <w:rsid w:val="00881E87"/>
    <w:rsid w:val="008A2B92"/>
    <w:rsid w:val="009065AB"/>
    <w:rsid w:val="00910274"/>
    <w:rsid w:val="009259F8"/>
    <w:rsid w:val="009440C2"/>
    <w:rsid w:val="00991C8A"/>
    <w:rsid w:val="009A2D27"/>
    <w:rsid w:val="009A7B6E"/>
    <w:rsid w:val="009F3CF7"/>
    <w:rsid w:val="00A0259C"/>
    <w:rsid w:val="00A040B9"/>
    <w:rsid w:val="00A14E09"/>
    <w:rsid w:val="00B329E4"/>
    <w:rsid w:val="00B32EA6"/>
    <w:rsid w:val="00B337A5"/>
    <w:rsid w:val="00BA349B"/>
    <w:rsid w:val="00BA483B"/>
    <w:rsid w:val="00BB5182"/>
    <w:rsid w:val="00BF229D"/>
    <w:rsid w:val="00C41566"/>
    <w:rsid w:val="00C5167E"/>
    <w:rsid w:val="00C81F9C"/>
    <w:rsid w:val="00CC3226"/>
    <w:rsid w:val="00CE09B5"/>
    <w:rsid w:val="00D01163"/>
    <w:rsid w:val="00D23810"/>
    <w:rsid w:val="00D47FE8"/>
    <w:rsid w:val="00D50AD6"/>
    <w:rsid w:val="00D70DB5"/>
    <w:rsid w:val="00DA7ED4"/>
    <w:rsid w:val="00DD4630"/>
    <w:rsid w:val="00E20A43"/>
    <w:rsid w:val="00E410DD"/>
    <w:rsid w:val="00E50CE8"/>
    <w:rsid w:val="00E64D49"/>
    <w:rsid w:val="00E91A74"/>
    <w:rsid w:val="00E97FEE"/>
    <w:rsid w:val="00EA6B7A"/>
    <w:rsid w:val="00EB281A"/>
    <w:rsid w:val="00EF0FAF"/>
    <w:rsid w:val="00F14709"/>
    <w:rsid w:val="00FF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C81F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1F9C"/>
    <w:rPr>
      <w:rFonts w:ascii="Times New Roman" w:eastAsia="宋体" w:hAnsi="Times New Roman" w:cs="Times New Roman"/>
      <w:sz w:val="18"/>
      <w:szCs w:val="18"/>
    </w:rPr>
  </w:style>
  <w:style w:type="character" w:styleId="a7">
    <w:name w:val="annotation reference"/>
    <w:basedOn w:val="a0"/>
    <w:uiPriority w:val="99"/>
    <w:semiHidden/>
    <w:unhideWhenUsed/>
    <w:rsid w:val="00C81F9C"/>
    <w:rPr>
      <w:sz w:val="21"/>
      <w:szCs w:val="21"/>
    </w:rPr>
  </w:style>
  <w:style w:type="paragraph" w:styleId="a8">
    <w:name w:val="annotation text"/>
    <w:basedOn w:val="a"/>
    <w:link w:val="Char1"/>
    <w:uiPriority w:val="99"/>
    <w:semiHidden/>
    <w:unhideWhenUsed/>
    <w:rsid w:val="00C81F9C"/>
    <w:pPr>
      <w:jc w:val="left"/>
    </w:pPr>
  </w:style>
  <w:style w:type="character" w:customStyle="1" w:styleId="Char1">
    <w:name w:val="批注文字 Char"/>
    <w:basedOn w:val="a0"/>
    <w:link w:val="a8"/>
    <w:uiPriority w:val="99"/>
    <w:semiHidden/>
    <w:rsid w:val="00C81F9C"/>
    <w:rPr>
      <w:rFonts w:ascii="Times New Roman" w:eastAsia="宋体" w:hAnsi="Times New Roman" w:cs="Times New Roman"/>
      <w:szCs w:val="20"/>
    </w:rPr>
  </w:style>
  <w:style w:type="paragraph" w:styleId="a9">
    <w:name w:val="annotation subject"/>
    <w:basedOn w:val="a8"/>
    <w:next w:val="a8"/>
    <w:link w:val="Char2"/>
    <w:uiPriority w:val="99"/>
    <w:semiHidden/>
    <w:unhideWhenUsed/>
    <w:rsid w:val="00C81F9C"/>
    <w:rPr>
      <w:b/>
      <w:bCs/>
    </w:rPr>
  </w:style>
  <w:style w:type="character" w:customStyle="1" w:styleId="Char2">
    <w:name w:val="批注主题 Char"/>
    <w:basedOn w:val="Char1"/>
    <w:link w:val="a9"/>
    <w:uiPriority w:val="99"/>
    <w:semiHidden/>
    <w:rsid w:val="00C81F9C"/>
    <w:rPr>
      <w:rFonts w:ascii="Times New Roman" w:eastAsia="宋体" w:hAnsi="Times New Roman" w:cs="Times New Roman"/>
      <w:b/>
      <w:bCs/>
      <w:szCs w:val="20"/>
    </w:rPr>
  </w:style>
  <w:style w:type="paragraph" w:styleId="aa">
    <w:name w:val="Balloon Text"/>
    <w:basedOn w:val="a"/>
    <w:link w:val="Char3"/>
    <w:uiPriority w:val="99"/>
    <w:semiHidden/>
    <w:unhideWhenUsed/>
    <w:rsid w:val="00C81F9C"/>
    <w:rPr>
      <w:sz w:val="18"/>
      <w:szCs w:val="18"/>
    </w:rPr>
  </w:style>
  <w:style w:type="character" w:customStyle="1" w:styleId="Char3">
    <w:name w:val="批注框文本 Char"/>
    <w:basedOn w:val="a0"/>
    <w:link w:val="aa"/>
    <w:uiPriority w:val="99"/>
    <w:semiHidden/>
    <w:rsid w:val="00C81F9C"/>
    <w:rPr>
      <w:rFonts w:ascii="Times New Roman" w:eastAsia="宋体" w:hAnsi="Times New Roman" w:cs="Times New Roman"/>
      <w:sz w:val="18"/>
      <w:szCs w:val="18"/>
    </w:rPr>
  </w:style>
  <w:style w:type="paragraph" w:styleId="ab">
    <w:name w:val="List Paragraph"/>
    <w:basedOn w:val="a"/>
    <w:uiPriority w:val="34"/>
    <w:qFormat/>
    <w:rsid w:val="00C81F9C"/>
    <w:pPr>
      <w:ind w:firstLineChars="200" w:firstLine="420"/>
    </w:pPr>
  </w:style>
  <w:style w:type="table" w:styleId="ac">
    <w:name w:val="Table Grid"/>
    <w:basedOn w:val="a1"/>
    <w:uiPriority w:val="39"/>
    <w:rsid w:val="00CE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ubtle Emphasis"/>
    <w:basedOn w:val="a0"/>
    <w:uiPriority w:val="19"/>
    <w:qFormat/>
    <w:rsid w:val="004E2B1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C81F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1F9C"/>
    <w:rPr>
      <w:rFonts w:ascii="Times New Roman" w:eastAsia="宋体" w:hAnsi="Times New Roman" w:cs="Times New Roman"/>
      <w:sz w:val="18"/>
      <w:szCs w:val="18"/>
    </w:rPr>
  </w:style>
  <w:style w:type="character" w:styleId="a7">
    <w:name w:val="annotation reference"/>
    <w:basedOn w:val="a0"/>
    <w:uiPriority w:val="99"/>
    <w:semiHidden/>
    <w:unhideWhenUsed/>
    <w:rsid w:val="00C81F9C"/>
    <w:rPr>
      <w:sz w:val="21"/>
      <w:szCs w:val="21"/>
    </w:rPr>
  </w:style>
  <w:style w:type="paragraph" w:styleId="a8">
    <w:name w:val="annotation text"/>
    <w:basedOn w:val="a"/>
    <w:link w:val="Char1"/>
    <w:uiPriority w:val="99"/>
    <w:semiHidden/>
    <w:unhideWhenUsed/>
    <w:rsid w:val="00C81F9C"/>
    <w:pPr>
      <w:jc w:val="left"/>
    </w:pPr>
  </w:style>
  <w:style w:type="character" w:customStyle="1" w:styleId="Char1">
    <w:name w:val="批注文字 Char"/>
    <w:basedOn w:val="a0"/>
    <w:link w:val="a8"/>
    <w:uiPriority w:val="99"/>
    <w:semiHidden/>
    <w:rsid w:val="00C81F9C"/>
    <w:rPr>
      <w:rFonts w:ascii="Times New Roman" w:eastAsia="宋体" w:hAnsi="Times New Roman" w:cs="Times New Roman"/>
      <w:szCs w:val="20"/>
    </w:rPr>
  </w:style>
  <w:style w:type="paragraph" w:styleId="a9">
    <w:name w:val="annotation subject"/>
    <w:basedOn w:val="a8"/>
    <w:next w:val="a8"/>
    <w:link w:val="Char2"/>
    <w:uiPriority w:val="99"/>
    <w:semiHidden/>
    <w:unhideWhenUsed/>
    <w:rsid w:val="00C81F9C"/>
    <w:rPr>
      <w:b/>
      <w:bCs/>
    </w:rPr>
  </w:style>
  <w:style w:type="character" w:customStyle="1" w:styleId="Char2">
    <w:name w:val="批注主题 Char"/>
    <w:basedOn w:val="Char1"/>
    <w:link w:val="a9"/>
    <w:uiPriority w:val="99"/>
    <w:semiHidden/>
    <w:rsid w:val="00C81F9C"/>
    <w:rPr>
      <w:rFonts w:ascii="Times New Roman" w:eastAsia="宋体" w:hAnsi="Times New Roman" w:cs="Times New Roman"/>
      <w:b/>
      <w:bCs/>
      <w:szCs w:val="20"/>
    </w:rPr>
  </w:style>
  <w:style w:type="paragraph" w:styleId="aa">
    <w:name w:val="Balloon Text"/>
    <w:basedOn w:val="a"/>
    <w:link w:val="Char3"/>
    <w:uiPriority w:val="99"/>
    <w:semiHidden/>
    <w:unhideWhenUsed/>
    <w:rsid w:val="00C81F9C"/>
    <w:rPr>
      <w:sz w:val="18"/>
      <w:szCs w:val="18"/>
    </w:rPr>
  </w:style>
  <w:style w:type="character" w:customStyle="1" w:styleId="Char3">
    <w:name w:val="批注框文本 Char"/>
    <w:basedOn w:val="a0"/>
    <w:link w:val="aa"/>
    <w:uiPriority w:val="99"/>
    <w:semiHidden/>
    <w:rsid w:val="00C81F9C"/>
    <w:rPr>
      <w:rFonts w:ascii="Times New Roman" w:eastAsia="宋体" w:hAnsi="Times New Roman" w:cs="Times New Roman"/>
      <w:sz w:val="18"/>
      <w:szCs w:val="18"/>
    </w:rPr>
  </w:style>
  <w:style w:type="paragraph" w:styleId="ab">
    <w:name w:val="List Paragraph"/>
    <w:basedOn w:val="a"/>
    <w:uiPriority w:val="34"/>
    <w:qFormat/>
    <w:rsid w:val="00C81F9C"/>
    <w:pPr>
      <w:ind w:firstLineChars="200" w:firstLine="420"/>
    </w:pPr>
  </w:style>
  <w:style w:type="table" w:styleId="ac">
    <w:name w:val="Table Grid"/>
    <w:basedOn w:val="a1"/>
    <w:uiPriority w:val="39"/>
    <w:rsid w:val="00CE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ubtle Emphasis"/>
    <w:basedOn w:val="a0"/>
    <w:uiPriority w:val="19"/>
    <w:qFormat/>
    <w:rsid w:val="004E2B1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image" Target="media/image6.emf"/><Relationship Id="rId26"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8.xm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J:\&#26631;&#20934;-&#27425;&#29983;&#20195;&#35874;&#20135;&#29289;\&#26631;&#20934;&#25776;&#20889;2-&#39640;&#20998;&#23376;&#32858;&#21512;&#29289;\503waters&#26816;&#27979;\&#27987;&#24230;&#19982;&#23792;&#38754;&#31215;&#21450;&#22612;&#26495;&#2596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J:\&#26631;&#20934;-&#27425;&#29983;&#20195;&#35874;&#20135;&#29289;\&#26631;&#20934;&#25776;&#20889;2-&#39640;&#20998;&#23376;&#32858;&#21512;&#29289;\503waters&#26816;&#27979;\&#27987;&#24230;&#19982;&#23792;&#38754;&#31215;&#21450;&#22612;&#26495;&#2596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26631;&#20934;-&#27425;&#29983;&#20195;&#35874;&#20135;&#29289;\&#26631;&#20934;&#25776;&#20889;2-&#39640;&#20998;&#23376;&#32858;&#21512;&#29289;\503waters&#26816;&#27979;\&#27987;&#24230;&#19982;&#23792;&#38754;&#31215;&#21450;&#22612;&#26495;&#2596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J:\&#26631;&#20934;-&#27425;&#29983;&#20195;&#35874;&#20135;&#29289;\&#26631;&#20934;&#25776;&#20889;2-&#39640;&#20998;&#23376;&#32858;&#21512;&#29289;\503waters&#26816;&#27979;\&#27987;&#24230;&#19982;&#23792;&#38754;&#31215;&#21450;&#22612;&#26495;&#2596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J:\&#26631;&#20934;-&#27425;&#29983;&#20195;&#35874;&#20135;&#29289;\&#26631;&#20934;&#25776;&#20889;2-&#39640;&#20998;&#23376;&#32858;&#21512;&#29289;\503waters&#26816;&#27979;\&#27987;&#24230;&#19982;&#23792;&#38754;&#31215;&#21450;&#22612;&#26495;&#2596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26631;&#20934;-&#27425;&#29983;&#20195;&#35874;&#20135;&#29289;\&#26631;&#20934;&#25776;&#20889;2-&#39640;&#20998;&#23376;&#32858;&#21512;&#29289;\503waters&#26816;&#27979;\&#27987;&#24230;&#19982;&#23792;&#38754;&#31215;&#21450;&#22612;&#26495;&#2596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J:\&#26631;&#20934;-&#27425;&#29983;&#20195;&#35874;&#20135;&#29289;\&#26631;&#20934;&#25776;&#20889;2-&#39640;&#20998;&#23376;&#32858;&#21512;&#29289;\503waters&#26816;&#27979;\&#27987;&#24230;&#19982;&#23792;&#38754;&#31215;&#21450;&#22612;&#26495;&#2596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J:\&#26631;&#20934;-&#27425;&#29983;&#20195;&#35874;&#20135;&#29289;\&#26631;&#20934;&#25776;&#20889;2-&#39640;&#20998;&#23376;&#32858;&#21512;&#29289;\503waters&#26816;&#27979;\&#27987;&#24230;&#19982;&#23792;&#38754;&#31215;&#21450;&#22612;&#26495;&#2596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J:\&#26631;&#20934;-&#27425;&#29983;&#20195;&#35874;&#20135;&#29289;\&#26631;&#20934;&#25776;&#20889;2-&#39640;&#20998;&#23376;&#32858;&#21512;&#29289;\503waters&#26816;&#27979;\&#27987;&#24230;&#19982;&#23792;&#38754;&#31215;&#21450;&#22612;&#26495;&#2596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J:\&#26631;&#20934;-&#27425;&#29983;&#20195;&#35874;&#20135;&#29289;\&#26631;&#20934;&#25776;&#20889;2-&#39640;&#20998;&#23376;&#32858;&#21512;&#29289;\503waters&#26816;&#27979;\&#27987;&#24230;&#19982;&#23792;&#38754;&#31215;&#21450;&#22612;&#26495;&#2596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numFmt formatCode="G/通用格式" sourceLinked="0"/>
            </c:trendlineLbl>
          </c:trendline>
          <c:xVal>
            <c:numRef>
              <c:f>Sheet1!$B$110:$B$115</c:f>
              <c:numCache>
                <c:formatCode>G/通用格式</c:formatCode>
                <c:ptCount val="6"/>
                <c:pt idx="0">
                  <c:v>1.6000000000000001E-3</c:v>
                </c:pt>
                <c:pt idx="1">
                  <c:v>8.0000000000000002E-3</c:v>
                </c:pt>
                <c:pt idx="2">
                  <c:v>0.04</c:v>
                </c:pt>
                <c:pt idx="3">
                  <c:v>0.2</c:v>
                </c:pt>
                <c:pt idx="4">
                  <c:v>1</c:v>
                </c:pt>
                <c:pt idx="5">
                  <c:v>5</c:v>
                </c:pt>
              </c:numCache>
            </c:numRef>
          </c:xVal>
          <c:yVal>
            <c:numRef>
              <c:f>Sheet1!$C$110:$C$115</c:f>
              <c:numCache>
                <c:formatCode>G/通用格式</c:formatCode>
                <c:ptCount val="6"/>
                <c:pt idx="0">
                  <c:v>7966</c:v>
                </c:pt>
                <c:pt idx="1">
                  <c:v>48285</c:v>
                </c:pt>
                <c:pt idx="2">
                  <c:v>250466</c:v>
                </c:pt>
                <c:pt idx="3">
                  <c:v>1227161</c:v>
                </c:pt>
                <c:pt idx="4">
                  <c:v>5916307</c:v>
                </c:pt>
                <c:pt idx="5">
                  <c:v>28793057</c:v>
                </c:pt>
              </c:numCache>
            </c:numRef>
          </c:yVal>
          <c:smooth val="0"/>
        </c:ser>
        <c:dLbls>
          <c:showLegendKey val="0"/>
          <c:showVal val="0"/>
          <c:showCatName val="0"/>
          <c:showSerName val="0"/>
          <c:showPercent val="0"/>
          <c:showBubbleSize val="0"/>
        </c:dLbls>
        <c:axId val="140907648"/>
        <c:axId val="140909184"/>
      </c:scatterChart>
      <c:valAx>
        <c:axId val="140907648"/>
        <c:scaling>
          <c:orientation val="minMax"/>
        </c:scaling>
        <c:delete val="0"/>
        <c:axPos val="b"/>
        <c:numFmt formatCode="G/通用格式" sourceLinked="1"/>
        <c:majorTickMark val="out"/>
        <c:minorTickMark val="none"/>
        <c:tickLblPos val="nextTo"/>
        <c:crossAx val="140909184"/>
        <c:crosses val="autoZero"/>
        <c:crossBetween val="midCat"/>
      </c:valAx>
      <c:valAx>
        <c:axId val="140909184"/>
        <c:scaling>
          <c:orientation val="minMax"/>
        </c:scaling>
        <c:delete val="0"/>
        <c:axPos val="l"/>
        <c:majorGridlines/>
        <c:numFmt formatCode="G/通用格式" sourceLinked="1"/>
        <c:majorTickMark val="out"/>
        <c:minorTickMark val="none"/>
        <c:tickLblPos val="nextTo"/>
        <c:crossAx val="140907648"/>
        <c:crosses val="autoZero"/>
        <c:crossBetween val="midCat"/>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numFmt formatCode="G/通用格式" sourceLinked="0"/>
            </c:trendlineLbl>
          </c:trendline>
          <c:xVal>
            <c:numRef>
              <c:f>Sheet1!$B$150:$B$155</c:f>
              <c:numCache>
                <c:formatCode>G/通用格式</c:formatCode>
                <c:ptCount val="6"/>
                <c:pt idx="0">
                  <c:v>1.6000000000000001E-3</c:v>
                </c:pt>
                <c:pt idx="1">
                  <c:v>8.0000000000000002E-3</c:v>
                </c:pt>
                <c:pt idx="2">
                  <c:v>0.04</c:v>
                </c:pt>
                <c:pt idx="3">
                  <c:v>0.2</c:v>
                </c:pt>
                <c:pt idx="4">
                  <c:v>1</c:v>
                </c:pt>
                <c:pt idx="5">
                  <c:v>5</c:v>
                </c:pt>
              </c:numCache>
            </c:numRef>
          </c:xVal>
          <c:yVal>
            <c:numRef>
              <c:f>Sheet1!$C$150:$C$155</c:f>
              <c:numCache>
                <c:formatCode>G/通用格式</c:formatCode>
                <c:ptCount val="6"/>
                <c:pt idx="0">
                  <c:v>9187</c:v>
                </c:pt>
                <c:pt idx="1">
                  <c:v>49507</c:v>
                </c:pt>
                <c:pt idx="2">
                  <c:v>259956</c:v>
                </c:pt>
                <c:pt idx="3">
                  <c:v>1292955</c:v>
                </c:pt>
                <c:pt idx="4">
                  <c:v>6505658</c:v>
                </c:pt>
                <c:pt idx="5">
                  <c:v>32849835</c:v>
                </c:pt>
              </c:numCache>
            </c:numRef>
          </c:yVal>
          <c:smooth val="0"/>
        </c:ser>
        <c:dLbls>
          <c:showLegendKey val="0"/>
          <c:showVal val="0"/>
          <c:showCatName val="0"/>
          <c:showSerName val="0"/>
          <c:showPercent val="0"/>
          <c:showBubbleSize val="0"/>
        </c:dLbls>
        <c:axId val="39397632"/>
        <c:axId val="39428096"/>
      </c:scatterChart>
      <c:valAx>
        <c:axId val="39397632"/>
        <c:scaling>
          <c:orientation val="minMax"/>
        </c:scaling>
        <c:delete val="0"/>
        <c:axPos val="b"/>
        <c:numFmt formatCode="G/通用格式" sourceLinked="1"/>
        <c:majorTickMark val="out"/>
        <c:minorTickMark val="none"/>
        <c:tickLblPos val="nextTo"/>
        <c:crossAx val="39428096"/>
        <c:crosses val="autoZero"/>
        <c:crossBetween val="midCat"/>
      </c:valAx>
      <c:valAx>
        <c:axId val="39428096"/>
        <c:scaling>
          <c:orientation val="minMax"/>
          <c:min val="0"/>
        </c:scaling>
        <c:delete val="0"/>
        <c:axPos val="l"/>
        <c:majorGridlines/>
        <c:numFmt formatCode="G/通用格式" sourceLinked="1"/>
        <c:majorTickMark val="out"/>
        <c:minorTickMark val="none"/>
        <c:tickLblPos val="nextTo"/>
        <c:crossAx val="39397632"/>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numFmt formatCode="G/通用格式" sourceLinked="0"/>
            </c:trendlineLbl>
          </c:trendline>
          <c:xVal>
            <c:numRef>
              <c:f>Sheet1!$B$120:$B$123</c:f>
              <c:numCache>
                <c:formatCode>G/通用格式</c:formatCode>
                <c:ptCount val="4"/>
                <c:pt idx="0">
                  <c:v>0.04</c:v>
                </c:pt>
                <c:pt idx="1">
                  <c:v>0.2</c:v>
                </c:pt>
                <c:pt idx="2">
                  <c:v>1</c:v>
                </c:pt>
                <c:pt idx="3">
                  <c:v>5</c:v>
                </c:pt>
              </c:numCache>
            </c:numRef>
          </c:xVal>
          <c:yVal>
            <c:numRef>
              <c:f>Sheet1!$C$120:$C$123</c:f>
              <c:numCache>
                <c:formatCode>G/通用格式</c:formatCode>
                <c:ptCount val="4"/>
                <c:pt idx="0">
                  <c:v>15014</c:v>
                </c:pt>
                <c:pt idx="1">
                  <c:v>75948</c:v>
                </c:pt>
                <c:pt idx="2">
                  <c:v>368245</c:v>
                </c:pt>
                <c:pt idx="3">
                  <c:v>1863496</c:v>
                </c:pt>
              </c:numCache>
            </c:numRef>
          </c:yVal>
          <c:smooth val="0"/>
        </c:ser>
        <c:dLbls>
          <c:showLegendKey val="0"/>
          <c:showVal val="0"/>
          <c:showCatName val="0"/>
          <c:showSerName val="0"/>
          <c:showPercent val="0"/>
          <c:showBubbleSize val="0"/>
        </c:dLbls>
        <c:axId val="162529280"/>
        <c:axId val="240737280"/>
      </c:scatterChart>
      <c:valAx>
        <c:axId val="162529280"/>
        <c:scaling>
          <c:orientation val="minMax"/>
        </c:scaling>
        <c:delete val="0"/>
        <c:axPos val="b"/>
        <c:numFmt formatCode="G/通用格式" sourceLinked="1"/>
        <c:majorTickMark val="out"/>
        <c:minorTickMark val="none"/>
        <c:tickLblPos val="nextTo"/>
        <c:crossAx val="240737280"/>
        <c:crosses val="autoZero"/>
        <c:crossBetween val="midCat"/>
      </c:valAx>
      <c:valAx>
        <c:axId val="240737280"/>
        <c:scaling>
          <c:orientation val="minMax"/>
        </c:scaling>
        <c:delete val="0"/>
        <c:axPos val="l"/>
        <c:majorGridlines/>
        <c:numFmt formatCode="G/通用格式" sourceLinked="1"/>
        <c:majorTickMark val="out"/>
        <c:minorTickMark val="none"/>
        <c:tickLblPos val="nextTo"/>
        <c:crossAx val="162529280"/>
        <c:crosses val="autoZero"/>
        <c:crossBetween val="midCat"/>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manualLayout>
                  <c:x val="4.6102971305801967E-2"/>
                  <c:y val="-1.741938430024333E-2"/>
                </c:manualLayout>
              </c:layout>
              <c:numFmt formatCode="G/通用格式" sourceLinked="0"/>
            </c:trendlineLbl>
          </c:trendline>
          <c:xVal>
            <c:numRef>
              <c:f>Sheet1!$B$5:$B$9</c:f>
              <c:numCache>
                <c:formatCode>G/通用格式</c:formatCode>
                <c:ptCount val="5"/>
                <c:pt idx="0">
                  <c:v>5.0000000000000001E-3</c:v>
                </c:pt>
                <c:pt idx="1">
                  <c:v>0.05</c:v>
                </c:pt>
                <c:pt idx="2">
                  <c:v>0.5</c:v>
                </c:pt>
                <c:pt idx="3">
                  <c:v>2</c:v>
                </c:pt>
                <c:pt idx="4">
                  <c:v>5</c:v>
                </c:pt>
              </c:numCache>
            </c:numRef>
          </c:xVal>
          <c:yVal>
            <c:numRef>
              <c:f>Sheet1!$C$5:$C$9</c:f>
              <c:numCache>
                <c:formatCode>G/通用格式</c:formatCode>
                <c:ptCount val="5"/>
                <c:pt idx="0">
                  <c:v>10789</c:v>
                </c:pt>
                <c:pt idx="1">
                  <c:v>133642</c:v>
                </c:pt>
                <c:pt idx="2">
                  <c:v>1386581</c:v>
                </c:pt>
                <c:pt idx="3">
                  <c:v>6863104</c:v>
                </c:pt>
                <c:pt idx="4">
                  <c:v>21105464</c:v>
                </c:pt>
              </c:numCache>
            </c:numRef>
          </c:yVal>
          <c:smooth val="0"/>
        </c:ser>
        <c:dLbls>
          <c:showLegendKey val="0"/>
          <c:showVal val="0"/>
          <c:showCatName val="0"/>
          <c:showSerName val="0"/>
          <c:showPercent val="0"/>
          <c:showBubbleSize val="0"/>
        </c:dLbls>
        <c:axId val="406333696"/>
        <c:axId val="406376832"/>
      </c:scatterChart>
      <c:valAx>
        <c:axId val="406333696"/>
        <c:scaling>
          <c:orientation val="minMax"/>
        </c:scaling>
        <c:delete val="0"/>
        <c:axPos val="b"/>
        <c:numFmt formatCode="G/通用格式" sourceLinked="1"/>
        <c:majorTickMark val="out"/>
        <c:minorTickMark val="none"/>
        <c:tickLblPos val="nextTo"/>
        <c:crossAx val="406376832"/>
        <c:crosses val="autoZero"/>
        <c:crossBetween val="midCat"/>
      </c:valAx>
      <c:valAx>
        <c:axId val="406376832"/>
        <c:scaling>
          <c:orientation val="minMax"/>
          <c:min val="0"/>
        </c:scaling>
        <c:delete val="0"/>
        <c:axPos val="l"/>
        <c:majorGridlines/>
        <c:numFmt formatCode="G/通用格式" sourceLinked="1"/>
        <c:majorTickMark val="out"/>
        <c:minorTickMark val="none"/>
        <c:tickLblPos val="nextTo"/>
        <c:crossAx val="406333696"/>
        <c:crosses val="autoZero"/>
        <c:crossBetween val="midCat"/>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numFmt formatCode="G/通用格式" sourceLinked="0"/>
            </c:trendlineLbl>
          </c:trendline>
          <c:xVal>
            <c:numRef>
              <c:f>Sheet1!$B$62:$B$66</c:f>
              <c:numCache>
                <c:formatCode>G/通用格式</c:formatCode>
                <c:ptCount val="5"/>
                <c:pt idx="0">
                  <c:v>8.0000000000000002E-3</c:v>
                </c:pt>
                <c:pt idx="1">
                  <c:v>0.04</c:v>
                </c:pt>
                <c:pt idx="2">
                  <c:v>0.2</c:v>
                </c:pt>
                <c:pt idx="3">
                  <c:v>1</c:v>
                </c:pt>
                <c:pt idx="4">
                  <c:v>5</c:v>
                </c:pt>
              </c:numCache>
            </c:numRef>
          </c:xVal>
          <c:yVal>
            <c:numRef>
              <c:f>Sheet1!$C$62:$C$66</c:f>
              <c:numCache>
                <c:formatCode>G/通用格式</c:formatCode>
                <c:ptCount val="5"/>
                <c:pt idx="0">
                  <c:v>58028</c:v>
                </c:pt>
                <c:pt idx="1">
                  <c:v>787253</c:v>
                </c:pt>
                <c:pt idx="2">
                  <c:v>1502303</c:v>
                </c:pt>
                <c:pt idx="3">
                  <c:v>7533453</c:v>
                </c:pt>
                <c:pt idx="4">
                  <c:v>36791751</c:v>
                </c:pt>
              </c:numCache>
            </c:numRef>
          </c:yVal>
          <c:smooth val="0"/>
        </c:ser>
        <c:dLbls>
          <c:showLegendKey val="0"/>
          <c:showVal val="0"/>
          <c:showCatName val="0"/>
          <c:showSerName val="0"/>
          <c:showPercent val="0"/>
          <c:showBubbleSize val="0"/>
        </c:dLbls>
        <c:axId val="420796672"/>
        <c:axId val="471220224"/>
      </c:scatterChart>
      <c:valAx>
        <c:axId val="420796672"/>
        <c:scaling>
          <c:orientation val="minMax"/>
        </c:scaling>
        <c:delete val="0"/>
        <c:axPos val="b"/>
        <c:numFmt formatCode="G/通用格式" sourceLinked="1"/>
        <c:majorTickMark val="out"/>
        <c:minorTickMark val="none"/>
        <c:tickLblPos val="nextTo"/>
        <c:crossAx val="471220224"/>
        <c:crosses val="autoZero"/>
        <c:crossBetween val="midCat"/>
      </c:valAx>
      <c:valAx>
        <c:axId val="471220224"/>
        <c:scaling>
          <c:orientation val="minMax"/>
        </c:scaling>
        <c:delete val="0"/>
        <c:axPos val="l"/>
        <c:majorGridlines/>
        <c:numFmt formatCode="G/通用格式" sourceLinked="1"/>
        <c:majorTickMark val="out"/>
        <c:minorTickMark val="none"/>
        <c:tickLblPos val="nextTo"/>
        <c:crossAx val="420796672"/>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numFmt formatCode="G/通用格式" sourceLinked="0"/>
            </c:trendlineLbl>
          </c:trendline>
          <c:xVal>
            <c:numRef>
              <c:f>Sheet1!$B$22:$B$26</c:f>
              <c:numCache>
                <c:formatCode>G/通用格式</c:formatCode>
                <c:ptCount val="5"/>
                <c:pt idx="0">
                  <c:v>0.04</c:v>
                </c:pt>
                <c:pt idx="1">
                  <c:v>0.2</c:v>
                </c:pt>
                <c:pt idx="2">
                  <c:v>1</c:v>
                </c:pt>
                <c:pt idx="3">
                  <c:v>2</c:v>
                </c:pt>
                <c:pt idx="4">
                  <c:v>5</c:v>
                </c:pt>
              </c:numCache>
            </c:numRef>
          </c:xVal>
          <c:yVal>
            <c:numRef>
              <c:f>Sheet1!$C$22:$C$26</c:f>
              <c:numCache>
                <c:formatCode>G/通用格式</c:formatCode>
                <c:ptCount val="5"/>
                <c:pt idx="0">
                  <c:v>15968</c:v>
                </c:pt>
                <c:pt idx="1">
                  <c:v>43044</c:v>
                </c:pt>
                <c:pt idx="2">
                  <c:v>142618</c:v>
                </c:pt>
                <c:pt idx="3">
                  <c:v>261436</c:v>
                </c:pt>
                <c:pt idx="4">
                  <c:v>611021</c:v>
                </c:pt>
              </c:numCache>
            </c:numRef>
          </c:yVal>
          <c:smooth val="0"/>
        </c:ser>
        <c:dLbls>
          <c:showLegendKey val="0"/>
          <c:showVal val="0"/>
          <c:showCatName val="0"/>
          <c:showSerName val="0"/>
          <c:showPercent val="0"/>
          <c:showBubbleSize val="0"/>
        </c:dLbls>
        <c:axId val="477416448"/>
        <c:axId val="520249344"/>
      </c:scatterChart>
      <c:valAx>
        <c:axId val="477416448"/>
        <c:scaling>
          <c:orientation val="minMax"/>
        </c:scaling>
        <c:delete val="0"/>
        <c:axPos val="b"/>
        <c:numFmt formatCode="G/通用格式" sourceLinked="1"/>
        <c:majorTickMark val="out"/>
        <c:minorTickMark val="none"/>
        <c:tickLblPos val="nextTo"/>
        <c:crossAx val="520249344"/>
        <c:crosses val="autoZero"/>
        <c:crossBetween val="midCat"/>
      </c:valAx>
      <c:valAx>
        <c:axId val="520249344"/>
        <c:scaling>
          <c:orientation val="minMax"/>
        </c:scaling>
        <c:delete val="0"/>
        <c:axPos val="l"/>
        <c:majorGridlines/>
        <c:numFmt formatCode="G/通用格式" sourceLinked="1"/>
        <c:majorTickMark val="out"/>
        <c:minorTickMark val="none"/>
        <c:tickLblPos val="nextTo"/>
        <c:crossAx val="477416448"/>
        <c:crosses val="autoZero"/>
        <c:crossBetween val="midCat"/>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numFmt formatCode="G/通用格式" sourceLinked="0"/>
            </c:trendlineLbl>
          </c:trendline>
          <c:xVal>
            <c:numRef>
              <c:f>Sheet1!$B$79:$B$83</c:f>
              <c:numCache>
                <c:formatCode>G/通用格式</c:formatCode>
                <c:ptCount val="5"/>
                <c:pt idx="0">
                  <c:v>0.04</c:v>
                </c:pt>
                <c:pt idx="1">
                  <c:v>0.2</c:v>
                </c:pt>
                <c:pt idx="2">
                  <c:v>1</c:v>
                </c:pt>
                <c:pt idx="3">
                  <c:v>2</c:v>
                </c:pt>
                <c:pt idx="4">
                  <c:v>5</c:v>
                </c:pt>
              </c:numCache>
            </c:numRef>
          </c:xVal>
          <c:yVal>
            <c:numRef>
              <c:f>Sheet1!$C$79:$C$83</c:f>
              <c:numCache>
                <c:formatCode>G/通用格式</c:formatCode>
                <c:ptCount val="5"/>
                <c:pt idx="0">
                  <c:v>249727</c:v>
                </c:pt>
                <c:pt idx="1">
                  <c:v>1275036</c:v>
                </c:pt>
                <c:pt idx="2">
                  <c:v>6329327</c:v>
                </c:pt>
                <c:pt idx="3">
                  <c:v>12668734</c:v>
                </c:pt>
                <c:pt idx="4">
                  <c:v>30498752</c:v>
                </c:pt>
              </c:numCache>
            </c:numRef>
          </c:yVal>
          <c:smooth val="0"/>
        </c:ser>
        <c:dLbls>
          <c:showLegendKey val="0"/>
          <c:showVal val="0"/>
          <c:showCatName val="0"/>
          <c:showSerName val="0"/>
          <c:showPercent val="0"/>
          <c:showBubbleSize val="0"/>
        </c:dLbls>
        <c:axId val="663975808"/>
        <c:axId val="663977344"/>
      </c:scatterChart>
      <c:valAx>
        <c:axId val="663975808"/>
        <c:scaling>
          <c:orientation val="minMax"/>
        </c:scaling>
        <c:delete val="0"/>
        <c:axPos val="b"/>
        <c:numFmt formatCode="G/通用格式" sourceLinked="1"/>
        <c:majorTickMark val="out"/>
        <c:minorTickMark val="none"/>
        <c:tickLblPos val="nextTo"/>
        <c:crossAx val="663977344"/>
        <c:crosses val="autoZero"/>
        <c:crossBetween val="midCat"/>
      </c:valAx>
      <c:valAx>
        <c:axId val="663977344"/>
        <c:scaling>
          <c:orientation val="minMax"/>
        </c:scaling>
        <c:delete val="0"/>
        <c:axPos val="l"/>
        <c:majorGridlines/>
        <c:numFmt formatCode="G/通用格式" sourceLinked="1"/>
        <c:majorTickMark val="out"/>
        <c:minorTickMark val="none"/>
        <c:tickLblPos val="nextTo"/>
        <c:crossAx val="663975808"/>
        <c:crosses val="autoZero"/>
        <c:crossBetween val="midCat"/>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numFmt formatCode="G/通用格式" sourceLinked="0"/>
            </c:trendlineLbl>
          </c:trendline>
          <c:xVal>
            <c:numRef>
              <c:f>Sheet1!$B$142:$B$147</c:f>
              <c:numCache>
                <c:formatCode>G/通用格式</c:formatCode>
                <c:ptCount val="6"/>
                <c:pt idx="0">
                  <c:v>1.6000000000000001E-3</c:v>
                </c:pt>
                <c:pt idx="1">
                  <c:v>8.0000000000000002E-3</c:v>
                </c:pt>
                <c:pt idx="2">
                  <c:v>0.04</c:v>
                </c:pt>
                <c:pt idx="3">
                  <c:v>0.2</c:v>
                </c:pt>
                <c:pt idx="4">
                  <c:v>1</c:v>
                </c:pt>
                <c:pt idx="5">
                  <c:v>5</c:v>
                </c:pt>
              </c:numCache>
            </c:numRef>
          </c:xVal>
          <c:yVal>
            <c:numRef>
              <c:f>Sheet1!$C$142:$C$147</c:f>
              <c:numCache>
                <c:formatCode>G/通用格式</c:formatCode>
                <c:ptCount val="6"/>
                <c:pt idx="0">
                  <c:v>28080</c:v>
                </c:pt>
                <c:pt idx="1">
                  <c:v>155351</c:v>
                </c:pt>
                <c:pt idx="2">
                  <c:v>786934</c:v>
                </c:pt>
                <c:pt idx="3">
                  <c:v>4105318</c:v>
                </c:pt>
                <c:pt idx="4">
                  <c:v>21021330</c:v>
                </c:pt>
                <c:pt idx="5">
                  <c:v>88977658</c:v>
                </c:pt>
              </c:numCache>
            </c:numRef>
          </c:yVal>
          <c:smooth val="0"/>
        </c:ser>
        <c:dLbls>
          <c:showLegendKey val="0"/>
          <c:showVal val="0"/>
          <c:showCatName val="0"/>
          <c:showSerName val="0"/>
          <c:showPercent val="0"/>
          <c:showBubbleSize val="0"/>
        </c:dLbls>
        <c:axId val="768717184"/>
        <c:axId val="768718720"/>
      </c:scatterChart>
      <c:valAx>
        <c:axId val="768717184"/>
        <c:scaling>
          <c:orientation val="minMax"/>
        </c:scaling>
        <c:delete val="0"/>
        <c:axPos val="b"/>
        <c:numFmt formatCode="G/通用格式" sourceLinked="1"/>
        <c:majorTickMark val="out"/>
        <c:minorTickMark val="none"/>
        <c:tickLblPos val="nextTo"/>
        <c:crossAx val="768718720"/>
        <c:crosses val="autoZero"/>
        <c:crossBetween val="midCat"/>
      </c:valAx>
      <c:valAx>
        <c:axId val="768718720"/>
        <c:scaling>
          <c:orientation val="minMax"/>
        </c:scaling>
        <c:delete val="0"/>
        <c:axPos val="l"/>
        <c:majorGridlines/>
        <c:numFmt formatCode="G/通用格式" sourceLinked="1"/>
        <c:majorTickMark val="out"/>
        <c:minorTickMark val="none"/>
        <c:tickLblPos val="nextTo"/>
        <c:crossAx val="768717184"/>
        <c:crosses val="autoZero"/>
        <c:crossBetween val="midCat"/>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numFmt formatCode="G/通用格式" sourceLinked="0"/>
            </c:trendlineLbl>
          </c:trendline>
          <c:xVal>
            <c:numRef>
              <c:f>Sheet1!$B$174:$B$179</c:f>
              <c:numCache>
                <c:formatCode>G/通用格式</c:formatCode>
                <c:ptCount val="6"/>
                <c:pt idx="0">
                  <c:v>1.6000000000000001E-3</c:v>
                </c:pt>
                <c:pt idx="1">
                  <c:v>8.0000000000000002E-3</c:v>
                </c:pt>
                <c:pt idx="2">
                  <c:v>0.04</c:v>
                </c:pt>
                <c:pt idx="3">
                  <c:v>0.2</c:v>
                </c:pt>
                <c:pt idx="4">
                  <c:v>1</c:v>
                </c:pt>
                <c:pt idx="5">
                  <c:v>5</c:v>
                </c:pt>
              </c:numCache>
            </c:numRef>
          </c:xVal>
          <c:yVal>
            <c:numRef>
              <c:f>Sheet1!$C$174:$C$179</c:f>
              <c:numCache>
                <c:formatCode>G/通用格式</c:formatCode>
                <c:ptCount val="6"/>
                <c:pt idx="0">
                  <c:v>12330</c:v>
                </c:pt>
                <c:pt idx="1">
                  <c:v>55462</c:v>
                </c:pt>
                <c:pt idx="2">
                  <c:v>382511</c:v>
                </c:pt>
                <c:pt idx="3">
                  <c:v>2652756</c:v>
                </c:pt>
                <c:pt idx="4">
                  <c:v>15694775</c:v>
                </c:pt>
                <c:pt idx="5">
                  <c:v>78654939</c:v>
                </c:pt>
              </c:numCache>
            </c:numRef>
          </c:yVal>
          <c:smooth val="0"/>
        </c:ser>
        <c:dLbls>
          <c:showLegendKey val="0"/>
          <c:showVal val="0"/>
          <c:showCatName val="0"/>
          <c:showSerName val="0"/>
          <c:showPercent val="0"/>
          <c:showBubbleSize val="0"/>
        </c:dLbls>
        <c:axId val="964165632"/>
        <c:axId val="964167168"/>
      </c:scatterChart>
      <c:valAx>
        <c:axId val="964165632"/>
        <c:scaling>
          <c:orientation val="minMax"/>
        </c:scaling>
        <c:delete val="0"/>
        <c:axPos val="b"/>
        <c:numFmt formatCode="G/通用格式" sourceLinked="1"/>
        <c:majorTickMark val="out"/>
        <c:minorTickMark val="none"/>
        <c:tickLblPos val="nextTo"/>
        <c:crossAx val="964167168"/>
        <c:crosses val="autoZero"/>
        <c:crossBetween val="midCat"/>
      </c:valAx>
      <c:valAx>
        <c:axId val="964167168"/>
        <c:scaling>
          <c:orientation val="minMax"/>
          <c:min val="0"/>
        </c:scaling>
        <c:delete val="0"/>
        <c:axPos val="l"/>
        <c:majorGridlines/>
        <c:numFmt formatCode="G/通用格式" sourceLinked="1"/>
        <c:majorTickMark val="out"/>
        <c:minorTickMark val="none"/>
        <c:tickLblPos val="nextTo"/>
        <c:crossAx val="964165632"/>
        <c:crosses val="autoZero"/>
        <c:crossBetween val="midCat"/>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numFmt formatCode="G/通用格式" sourceLinked="0"/>
            </c:trendlineLbl>
          </c:trendline>
          <c:xVal>
            <c:numRef>
              <c:f>Sheet1!$B$214:$B$218</c:f>
              <c:numCache>
                <c:formatCode>G/通用格式</c:formatCode>
                <c:ptCount val="5"/>
                <c:pt idx="0">
                  <c:v>6.25E-2</c:v>
                </c:pt>
                <c:pt idx="1">
                  <c:v>0.125</c:v>
                </c:pt>
                <c:pt idx="2">
                  <c:v>0.25</c:v>
                </c:pt>
                <c:pt idx="3">
                  <c:v>0.5</c:v>
                </c:pt>
                <c:pt idx="4">
                  <c:v>2.5</c:v>
                </c:pt>
              </c:numCache>
            </c:numRef>
          </c:xVal>
          <c:yVal>
            <c:numRef>
              <c:f>Sheet1!$C$214:$C$218</c:f>
              <c:numCache>
                <c:formatCode>G/通用格式</c:formatCode>
                <c:ptCount val="5"/>
                <c:pt idx="0">
                  <c:v>78189</c:v>
                </c:pt>
                <c:pt idx="1">
                  <c:v>444893</c:v>
                </c:pt>
                <c:pt idx="2">
                  <c:v>1883897</c:v>
                </c:pt>
                <c:pt idx="3">
                  <c:v>8059667</c:v>
                </c:pt>
                <c:pt idx="4">
                  <c:v>44303928</c:v>
                </c:pt>
              </c:numCache>
            </c:numRef>
          </c:yVal>
          <c:smooth val="0"/>
        </c:ser>
        <c:dLbls>
          <c:showLegendKey val="0"/>
          <c:showVal val="0"/>
          <c:showCatName val="0"/>
          <c:showSerName val="0"/>
          <c:showPercent val="0"/>
          <c:showBubbleSize val="0"/>
        </c:dLbls>
        <c:axId val="985178112"/>
        <c:axId val="985179648"/>
      </c:scatterChart>
      <c:valAx>
        <c:axId val="985178112"/>
        <c:scaling>
          <c:orientation val="minMax"/>
        </c:scaling>
        <c:delete val="0"/>
        <c:axPos val="b"/>
        <c:numFmt formatCode="G/通用格式" sourceLinked="1"/>
        <c:majorTickMark val="out"/>
        <c:minorTickMark val="none"/>
        <c:tickLblPos val="nextTo"/>
        <c:crossAx val="985179648"/>
        <c:crosses val="autoZero"/>
        <c:crossBetween val="midCat"/>
      </c:valAx>
      <c:valAx>
        <c:axId val="985179648"/>
        <c:scaling>
          <c:orientation val="minMax"/>
          <c:min val="0"/>
        </c:scaling>
        <c:delete val="0"/>
        <c:axPos val="l"/>
        <c:majorGridlines/>
        <c:numFmt formatCode="G/通用格式" sourceLinked="1"/>
        <c:majorTickMark val="out"/>
        <c:minorTickMark val="none"/>
        <c:tickLblPos val="nextTo"/>
        <c:crossAx val="985178112"/>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784</Words>
  <Characters>4473</Characters>
  <Application>Microsoft Office Word</Application>
  <DocSecurity>0</DocSecurity>
  <Lines>37</Lines>
  <Paragraphs>10</Paragraphs>
  <ScaleCrop>false</ScaleCrop>
  <Company>Microsoft</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马爱进</dc:creator>
  <cp:lastModifiedBy>lenovo</cp:lastModifiedBy>
  <cp:revision>8</cp:revision>
  <dcterms:created xsi:type="dcterms:W3CDTF">2019-01-25T06:00:00Z</dcterms:created>
  <dcterms:modified xsi:type="dcterms:W3CDTF">2019-01-25T09:25:00Z</dcterms:modified>
</cp:coreProperties>
</file>