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1D" w:rsidRDefault="00E7366E">
      <w:pPr>
        <w:jc w:val="center"/>
        <w:rPr>
          <w:rFonts w:eastAsia="黑体"/>
          <w:b/>
          <w:sz w:val="48"/>
          <w:szCs w:val="48"/>
        </w:rPr>
      </w:pPr>
      <w:r>
        <w:rPr>
          <w:rFonts w:eastAsia="黑体"/>
          <w:b/>
          <w:sz w:val="48"/>
          <w:szCs w:val="48"/>
        </w:rPr>
        <w:t>国家标准</w:t>
      </w:r>
    </w:p>
    <w:p w:rsidR="0036571D" w:rsidRDefault="0036571D">
      <w:pPr>
        <w:jc w:val="center"/>
        <w:rPr>
          <w:rFonts w:eastAsia="黑体"/>
          <w:b/>
          <w:sz w:val="48"/>
          <w:szCs w:val="48"/>
        </w:rPr>
      </w:pPr>
    </w:p>
    <w:p w:rsidR="0036571D" w:rsidRDefault="0036571D">
      <w:pPr>
        <w:jc w:val="center"/>
        <w:rPr>
          <w:rFonts w:eastAsia="黑体"/>
          <w:b/>
          <w:sz w:val="48"/>
          <w:szCs w:val="48"/>
        </w:rPr>
      </w:pPr>
    </w:p>
    <w:p w:rsidR="0036571D" w:rsidRDefault="00E7366E">
      <w:pPr>
        <w:jc w:val="center"/>
        <w:rPr>
          <w:rFonts w:ascii="黑体" w:eastAsia="黑体" w:hAnsi="Times New Roman" w:cs="Times New Roman"/>
          <w:b/>
          <w:snapToGrid w:val="0"/>
          <w:kern w:val="0"/>
          <w:sz w:val="40"/>
          <w:szCs w:val="36"/>
        </w:rPr>
      </w:pPr>
      <w:r>
        <w:rPr>
          <w:rFonts w:ascii="黑体" w:eastAsia="黑体" w:hAnsi="Times New Roman" w:cs="Times New Roman" w:hint="eastAsia"/>
          <w:b/>
          <w:snapToGrid w:val="0"/>
          <w:kern w:val="0"/>
          <w:sz w:val="40"/>
          <w:szCs w:val="36"/>
        </w:rPr>
        <w:t>《</w:t>
      </w:r>
      <w:r w:rsidR="00374B6A">
        <w:rPr>
          <w:rFonts w:ascii="黑体" w:eastAsia="黑体" w:hAnsi="Times New Roman" w:cs="Times New Roman" w:hint="eastAsia"/>
          <w:b/>
          <w:snapToGrid w:val="0"/>
          <w:kern w:val="0"/>
          <w:sz w:val="40"/>
          <w:szCs w:val="36"/>
        </w:rPr>
        <w:t>硅酸盐</w:t>
      </w:r>
      <w:r w:rsidR="00FD3F4A" w:rsidRPr="00FD3F4A">
        <w:rPr>
          <w:rFonts w:ascii="黑体" w:eastAsia="黑体" w:hAnsi="Times New Roman" w:cs="Times New Roman" w:hint="eastAsia"/>
          <w:b/>
          <w:snapToGrid w:val="0"/>
          <w:kern w:val="0"/>
          <w:sz w:val="40"/>
          <w:szCs w:val="36"/>
        </w:rPr>
        <w:t>水泥熟料</w:t>
      </w:r>
      <w:r>
        <w:rPr>
          <w:rFonts w:ascii="黑体" w:eastAsia="黑体" w:hAnsi="Times New Roman" w:cs="Times New Roman" w:hint="eastAsia"/>
          <w:b/>
          <w:snapToGrid w:val="0"/>
          <w:kern w:val="0"/>
          <w:sz w:val="40"/>
          <w:szCs w:val="36"/>
        </w:rPr>
        <w:t>单位产品碳排放限额》</w:t>
      </w:r>
    </w:p>
    <w:p w:rsidR="0036571D" w:rsidRDefault="0036571D">
      <w:pPr>
        <w:jc w:val="center"/>
        <w:rPr>
          <w:rFonts w:hAnsi="宋体"/>
          <w:b/>
          <w:sz w:val="36"/>
          <w:szCs w:val="36"/>
        </w:rPr>
      </w:pPr>
    </w:p>
    <w:p w:rsidR="0036571D" w:rsidRDefault="00E7366E">
      <w:pPr>
        <w:jc w:val="center"/>
        <w:rPr>
          <w:rFonts w:eastAsia="仿宋_GB2312"/>
          <w:sz w:val="28"/>
        </w:rPr>
      </w:pPr>
      <w:r>
        <w:rPr>
          <w:rFonts w:ascii="华文隶书" w:eastAsia="华文隶书" w:hint="eastAsia"/>
          <w:b/>
          <w:sz w:val="36"/>
          <w:szCs w:val="36"/>
        </w:rPr>
        <w:t>（</w:t>
      </w:r>
      <w:r w:rsidR="00BC4DB4">
        <w:rPr>
          <w:rFonts w:ascii="华文隶书" w:eastAsia="华文隶书" w:hint="eastAsia"/>
          <w:b/>
          <w:sz w:val="36"/>
          <w:szCs w:val="36"/>
        </w:rPr>
        <w:t>征求意见</w:t>
      </w:r>
      <w:r>
        <w:rPr>
          <w:rFonts w:ascii="华文隶书" w:eastAsia="华文隶书" w:hint="eastAsia"/>
          <w:b/>
          <w:sz w:val="36"/>
          <w:szCs w:val="36"/>
        </w:rPr>
        <w:t>稿）</w:t>
      </w:r>
    </w:p>
    <w:p w:rsidR="0036571D" w:rsidRDefault="0036571D">
      <w:pPr>
        <w:jc w:val="center"/>
        <w:rPr>
          <w:rFonts w:eastAsia="华文隶书"/>
          <w:b/>
          <w:sz w:val="48"/>
        </w:rPr>
      </w:pPr>
    </w:p>
    <w:p w:rsidR="0036571D" w:rsidRDefault="0036571D">
      <w:pPr>
        <w:jc w:val="center"/>
        <w:rPr>
          <w:rFonts w:eastAsia="华文隶书"/>
          <w:b/>
          <w:sz w:val="48"/>
        </w:rPr>
      </w:pPr>
    </w:p>
    <w:p w:rsidR="0036571D" w:rsidRDefault="0036571D">
      <w:pPr>
        <w:jc w:val="center"/>
        <w:rPr>
          <w:rFonts w:eastAsia="华文隶书"/>
          <w:b/>
          <w:sz w:val="48"/>
        </w:rPr>
      </w:pPr>
    </w:p>
    <w:p w:rsidR="0036571D" w:rsidRDefault="0036571D">
      <w:pPr>
        <w:jc w:val="center"/>
        <w:rPr>
          <w:rFonts w:eastAsia="华文隶书"/>
          <w:b/>
          <w:sz w:val="48"/>
        </w:rPr>
      </w:pPr>
    </w:p>
    <w:p w:rsidR="0036571D" w:rsidRDefault="0036571D">
      <w:pPr>
        <w:jc w:val="center"/>
        <w:rPr>
          <w:rFonts w:eastAsia="华文隶书"/>
          <w:b/>
          <w:sz w:val="48"/>
        </w:rPr>
      </w:pPr>
    </w:p>
    <w:p w:rsidR="0036571D" w:rsidRDefault="00E7366E">
      <w:pPr>
        <w:jc w:val="center"/>
        <w:rPr>
          <w:rFonts w:eastAsia="华文隶书"/>
          <w:b/>
          <w:w w:val="150"/>
          <w:sz w:val="48"/>
        </w:rPr>
      </w:pPr>
      <w:r>
        <w:rPr>
          <w:rFonts w:eastAsia="华文隶书"/>
          <w:b/>
          <w:w w:val="150"/>
          <w:sz w:val="48"/>
        </w:rPr>
        <w:t>编制说明</w:t>
      </w:r>
    </w:p>
    <w:p w:rsidR="0036571D" w:rsidRDefault="0036571D">
      <w:pPr>
        <w:rPr>
          <w:rFonts w:eastAsia="仿宋_GB2312"/>
          <w:sz w:val="28"/>
        </w:rPr>
      </w:pPr>
    </w:p>
    <w:p w:rsidR="0036571D" w:rsidRDefault="0036571D">
      <w:pPr>
        <w:rPr>
          <w:rFonts w:eastAsia="仿宋_GB2312"/>
          <w:sz w:val="28"/>
        </w:rPr>
      </w:pPr>
    </w:p>
    <w:p w:rsidR="0036571D" w:rsidRDefault="0036571D">
      <w:pPr>
        <w:rPr>
          <w:rFonts w:eastAsia="仿宋_GB2312"/>
          <w:sz w:val="28"/>
        </w:rPr>
      </w:pPr>
    </w:p>
    <w:p w:rsidR="0036571D" w:rsidRDefault="0036571D">
      <w:pPr>
        <w:rPr>
          <w:rFonts w:eastAsia="仿宋_GB2312"/>
          <w:sz w:val="28"/>
        </w:rPr>
      </w:pPr>
    </w:p>
    <w:p w:rsidR="0036571D" w:rsidRDefault="0036571D">
      <w:pPr>
        <w:rPr>
          <w:rFonts w:eastAsia="仿宋_GB2312"/>
          <w:sz w:val="28"/>
        </w:rPr>
      </w:pPr>
    </w:p>
    <w:p w:rsidR="0036571D" w:rsidRDefault="0036571D">
      <w:pPr>
        <w:rPr>
          <w:rFonts w:eastAsia="仿宋_GB2312"/>
          <w:sz w:val="28"/>
        </w:rPr>
      </w:pPr>
    </w:p>
    <w:p w:rsidR="0036571D" w:rsidRDefault="00E7366E">
      <w:pPr>
        <w:jc w:val="center"/>
        <w:rPr>
          <w:rFonts w:eastAsia="华文隶书"/>
          <w:b/>
          <w:bCs/>
          <w:sz w:val="36"/>
          <w:szCs w:val="36"/>
        </w:rPr>
      </w:pPr>
      <w:r>
        <w:rPr>
          <w:rFonts w:eastAsia="华文隶书"/>
          <w:b/>
          <w:bCs/>
          <w:sz w:val="36"/>
          <w:szCs w:val="36"/>
        </w:rPr>
        <w:t>标准起草组</w:t>
      </w:r>
    </w:p>
    <w:p w:rsidR="0036571D" w:rsidRDefault="00E7366E">
      <w:pPr>
        <w:jc w:val="center"/>
        <w:rPr>
          <w:sz w:val="24"/>
        </w:rPr>
      </w:pPr>
      <w:r>
        <w:rPr>
          <w:rFonts w:eastAsia="华文隶书"/>
          <w:b/>
          <w:bCs/>
          <w:sz w:val="36"/>
          <w:szCs w:val="36"/>
        </w:rPr>
        <w:t>二〇</w:t>
      </w:r>
      <w:r>
        <w:rPr>
          <w:rFonts w:eastAsia="华文隶书" w:hint="eastAsia"/>
          <w:b/>
          <w:bCs/>
          <w:sz w:val="36"/>
          <w:szCs w:val="36"/>
        </w:rPr>
        <w:t>一八</w:t>
      </w:r>
      <w:r>
        <w:rPr>
          <w:rFonts w:eastAsia="华文隶书"/>
          <w:b/>
          <w:bCs/>
          <w:sz w:val="36"/>
          <w:szCs w:val="36"/>
        </w:rPr>
        <w:t>年</w:t>
      </w:r>
      <w:r>
        <w:rPr>
          <w:rFonts w:eastAsia="华文隶书" w:hint="eastAsia"/>
          <w:b/>
          <w:bCs/>
          <w:sz w:val="36"/>
          <w:szCs w:val="36"/>
        </w:rPr>
        <w:t>十</w:t>
      </w:r>
      <w:r w:rsidR="00BC4DB4">
        <w:rPr>
          <w:rFonts w:eastAsia="华文隶书" w:hint="eastAsia"/>
          <w:b/>
          <w:bCs/>
          <w:sz w:val="36"/>
          <w:szCs w:val="36"/>
        </w:rPr>
        <w:t>二</w:t>
      </w:r>
      <w:r>
        <w:rPr>
          <w:rFonts w:eastAsia="华文隶书"/>
          <w:b/>
          <w:bCs/>
          <w:sz w:val="36"/>
          <w:szCs w:val="36"/>
        </w:rPr>
        <w:t>月</w:t>
      </w:r>
    </w:p>
    <w:p w:rsidR="0036571D" w:rsidRDefault="0036571D">
      <w:pPr>
        <w:spacing w:line="300" w:lineRule="auto"/>
      </w:pPr>
    </w:p>
    <w:p w:rsidR="0036571D" w:rsidRDefault="0036571D">
      <w:pPr>
        <w:spacing w:line="360" w:lineRule="exact"/>
        <w:rPr>
          <w:sz w:val="24"/>
        </w:rPr>
        <w:sectPr w:rsidR="0036571D">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p>
    <w:p w:rsidR="0036571D" w:rsidRDefault="00E7366E">
      <w:pPr>
        <w:spacing w:line="360" w:lineRule="auto"/>
        <w:jc w:val="center"/>
        <w:rPr>
          <w:b/>
          <w:sz w:val="36"/>
          <w:szCs w:val="36"/>
        </w:rPr>
      </w:pPr>
      <w:r>
        <w:rPr>
          <w:b/>
          <w:sz w:val="36"/>
          <w:szCs w:val="36"/>
        </w:rPr>
        <w:lastRenderedPageBreak/>
        <w:t>国家标准</w:t>
      </w:r>
    </w:p>
    <w:p w:rsidR="0036571D" w:rsidRDefault="00374B6A">
      <w:pPr>
        <w:spacing w:line="360" w:lineRule="auto"/>
        <w:jc w:val="center"/>
        <w:rPr>
          <w:b/>
          <w:sz w:val="36"/>
          <w:szCs w:val="36"/>
        </w:rPr>
      </w:pPr>
      <w:r>
        <w:rPr>
          <w:rFonts w:hint="eastAsia"/>
          <w:b/>
          <w:sz w:val="36"/>
          <w:szCs w:val="36"/>
        </w:rPr>
        <w:t>硅酸盐</w:t>
      </w:r>
      <w:bookmarkStart w:id="0" w:name="_GoBack"/>
      <w:bookmarkEnd w:id="0"/>
      <w:r w:rsidR="00FD3F4A" w:rsidRPr="00FD3F4A">
        <w:rPr>
          <w:rFonts w:hint="eastAsia"/>
          <w:b/>
          <w:sz w:val="36"/>
          <w:szCs w:val="36"/>
        </w:rPr>
        <w:t>水泥熟料</w:t>
      </w:r>
      <w:r w:rsidR="00E7366E">
        <w:rPr>
          <w:rFonts w:hint="eastAsia"/>
          <w:b/>
          <w:sz w:val="36"/>
          <w:szCs w:val="36"/>
        </w:rPr>
        <w:t>单位产品碳排放限额</w:t>
      </w:r>
    </w:p>
    <w:p w:rsidR="0036571D" w:rsidRDefault="00E7366E">
      <w:pPr>
        <w:spacing w:line="360" w:lineRule="auto"/>
        <w:jc w:val="center"/>
        <w:rPr>
          <w:b/>
          <w:sz w:val="36"/>
          <w:szCs w:val="36"/>
        </w:rPr>
      </w:pPr>
      <w:r>
        <w:rPr>
          <w:rFonts w:hint="eastAsia"/>
          <w:b/>
          <w:sz w:val="36"/>
          <w:szCs w:val="36"/>
        </w:rPr>
        <w:t>（</w:t>
      </w:r>
      <w:r w:rsidR="00175D35">
        <w:rPr>
          <w:rFonts w:hint="eastAsia"/>
          <w:b/>
          <w:sz w:val="36"/>
          <w:szCs w:val="36"/>
        </w:rPr>
        <w:t>征求意见</w:t>
      </w:r>
      <w:r>
        <w:rPr>
          <w:b/>
          <w:sz w:val="36"/>
          <w:szCs w:val="36"/>
        </w:rPr>
        <w:t>稿</w:t>
      </w:r>
      <w:r>
        <w:rPr>
          <w:rFonts w:hint="eastAsia"/>
          <w:b/>
          <w:sz w:val="36"/>
          <w:szCs w:val="36"/>
        </w:rPr>
        <w:t>）</w:t>
      </w:r>
    </w:p>
    <w:p w:rsidR="0036571D" w:rsidRDefault="00E7366E">
      <w:pPr>
        <w:spacing w:line="360" w:lineRule="auto"/>
        <w:jc w:val="center"/>
        <w:rPr>
          <w:b/>
          <w:sz w:val="36"/>
          <w:szCs w:val="36"/>
        </w:rPr>
      </w:pPr>
      <w:r>
        <w:rPr>
          <w:b/>
          <w:sz w:val="36"/>
          <w:szCs w:val="36"/>
        </w:rPr>
        <w:t>编制说明</w:t>
      </w:r>
    </w:p>
    <w:p w:rsidR="0036571D" w:rsidRDefault="00E7366E">
      <w:pPr>
        <w:pStyle w:val="1"/>
        <w:rPr>
          <w:sz w:val="34"/>
          <w:szCs w:val="36"/>
        </w:rPr>
      </w:pPr>
      <w:r>
        <w:rPr>
          <w:rFonts w:hAnsi="宋体"/>
          <w:sz w:val="34"/>
          <w:szCs w:val="36"/>
        </w:rPr>
        <w:t>一、工作</w:t>
      </w:r>
      <w:r>
        <w:rPr>
          <w:rFonts w:hAnsi="宋体" w:hint="eastAsia"/>
          <w:sz w:val="34"/>
          <w:szCs w:val="36"/>
        </w:rPr>
        <w:t>简</w:t>
      </w:r>
      <w:r>
        <w:rPr>
          <w:rFonts w:hAnsi="宋体"/>
          <w:sz w:val="34"/>
          <w:szCs w:val="36"/>
        </w:rPr>
        <w:t>况</w:t>
      </w:r>
    </w:p>
    <w:p w:rsidR="0036571D" w:rsidRDefault="00E7366E">
      <w:pPr>
        <w:pStyle w:val="2"/>
        <w:rPr>
          <w:rFonts w:ascii="Times New Roman" w:eastAsia="宋体" w:hAnsi="宋体"/>
          <w:sz w:val="30"/>
        </w:rPr>
      </w:pPr>
      <w:r>
        <w:rPr>
          <w:rFonts w:ascii="Times New Roman" w:eastAsia="宋体" w:hAnsi="Times New Roman"/>
          <w:sz w:val="30"/>
        </w:rPr>
        <w:t xml:space="preserve">1.1 </w:t>
      </w:r>
      <w:r>
        <w:rPr>
          <w:rFonts w:ascii="Times New Roman" w:eastAsia="宋体" w:hAnsi="宋体"/>
          <w:sz w:val="30"/>
        </w:rPr>
        <w:t>前言</w:t>
      </w:r>
    </w:p>
    <w:p w:rsidR="00C9489F" w:rsidRDefault="00C9489F" w:rsidP="00C9489F">
      <w:pPr>
        <w:spacing w:line="360" w:lineRule="auto"/>
        <w:ind w:firstLineChars="200" w:firstLine="480"/>
        <w:rPr>
          <w:rFonts w:ascii="宋体" w:hAnsi="宋体"/>
          <w:sz w:val="24"/>
        </w:rPr>
      </w:pPr>
      <w:r>
        <w:rPr>
          <w:rFonts w:ascii="宋体" w:hAnsi="宋体" w:hint="eastAsia"/>
          <w:sz w:val="24"/>
        </w:rPr>
        <w:t>2013年10月，</w:t>
      </w:r>
      <w:proofErr w:type="gramStart"/>
      <w:r>
        <w:rPr>
          <w:rFonts w:ascii="宋体" w:hAnsi="宋体" w:hint="eastAsia"/>
          <w:sz w:val="24"/>
        </w:rPr>
        <w:t>国家发改委</w:t>
      </w:r>
      <w:proofErr w:type="gramEnd"/>
      <w:r>
        <w:rPr>
          <w:rFonts w:ascii="宋体" w:hAnsi="宋体" w:hint="eastAsia"/>
          <w:sz w:val="24"/>
        </w:rPr>
        <w:t>印发首批《10个行业企业温室气体排放核算方法与报告指南（试行）》（发改办气候[2013]2526号），</w:t>
      </w:r>
      <w:proofErr w:type="gramStart"/>
      <w:r>
        <w:rPr>
          <w:rFonts w:ascii="宋体" w:hAnsi="宋体" w:hint="eastAsia"/>
          <w:sz w:val="24"/>
        </w:rPr>
        <w:t>供开展碳排</w:t>
      </w:r>
      <w:proofErr w:type="gramEnd"/>
      <w:r>
        <w:rPr>
          <w:rFonts w:ascii="宋体" w:hAnsi="宋体" w:hint="eastAsia"/>
          <w:sz w:val="24"/>
        </w:rPr>
        <w:t>放权交易、建立企业温室气体排放报告制度、完善温室气体排放统计核算体系等相关工作参考使用。其中，涉及水泥行业温室企业核算的为《中国水泥生产企业温室气体排放核算方法与报告指南（试行）》。在此基础上，GB/T32151.8-2015《温室气体排放核算与报告要求  第7部分：水泥生产企业》于2015年11月19日发布。</w:t>
      </w:r>
    </w:p>
    <w:p w:rsidR="00C9489F" w:rsidRDefault="00C9489F" w:rsidP="00C9489F">
      <w:pPr>
        <w:spacing w:line="360" w:lineRule="auto"/>
        <w:ind w:firstLineChars="200" w:firstLine="480"/>
        <w:rPr>
          <w:rFonts w:ascii="宋体" w:hAnsi="宋体"/>
          <w:sz w:val="24"/>
        </w:rPr>
      </w:pPr>
      <w:r>
        <w:rPr>
          <w:rFonts w:ascii="宋体" w:hAnsi="宋体" w:hint="eastAsia"/>
          <w:sz w:val="24"/>
        </w:rPr>
        <w:t>2014年11月，中国政府与美国政府在北京联合发表的《气候变化联合声明》提出，中国计划2030年左右二氧化碳排放达到峰值且将努力早日达峰，并计划到2030年非化石能源占一次能源消费比重提高到20%左右。2015年6月，中国政府在《强化应对气候变化行动—中国国家自主贡献》中提出了“国家2030年单位GDP二氧化碳排放比2005年下降60%-65%”的目标。2015年9月，中美双方再次发表关于气候变化的联合声明，中国首次正式对外宣布将于2017年启动全国碳排放交易体系，这个交易体系将覆盖钢铁、电力、化工、建材、造纸和有色金属等重点工业行业。</w:t>
      </w:r>
    </w:p>
    <w:p w:rsidR="00C9489F" w:rsidRDefault="00C9489F" w:rsidP="00C9489F">
      <w:pPr>
        <w:pStyle w:val="ad"/>
        <w:spacing w:line="360" w:lineRule="auto"/>
        <w:ind w:firstLineChars="200" w:firstLine="480"/>
        <w:outlineLvl w:val="9"/>
        <w:rPr>
          <w:rFonts w:ascii="宋体" w:eastAsia="宋体" w:hAnsi="宋体"/>
          <w:sz w:val="24"/>
          <w:szCs w:val="24"/>
        </w:rPr>
      </w:pPr>
      <w:bookmarkStart w:id="1" w:name="OLE_LINK8"/>
      <w:bookmarkStart w:id="2" w:name="OLE_LINK7"/>
      <w:bookmarkStart w:id="3" w:name="OLE_LINK6"/>
      <w:bookmarkStart w:id="4" w:name="OLE_LINK5"/>
      <w:r>
        <w:rPr>
          <w:rFonts w:ascii="宋体" w:eastAsia="宋体" w:hAnsi="宋体" w:hint="eastAsia"/>
          <w:sz w:val="24"/>
          <w:szCs w:val="24"/>
        </w:rPr>
        <w:t>从2013年开始交易试点已经先行在七个省市展开，共有约</w:t>
      </w:r>
      <w:proofErr w:type="gramStart"/>
      <w:r>
        <w:rPr>
          <w:rFonts w:ascii="宋体" w:eastAsia="宋体" w:hAnsi="宋体" w:hint="eastAsia"/>
          <w:sz w:val="24"/>
          <w:szCs w:val="24"/>
        </w:rPr>
        <w:t>2000余家控排企业</w:t>
      </w:r>
      <w:proofErr w:type="gramEnd"/>
      <w:r>
        <w:rPr>
          <w:rFonts w:ascii="宋体" w:eastAsia="宋体" w:hAnsi="宋体" w:hint="eastAsia"/>
          <w:sz w:val="24"/>
          <w:szCs w:val="24"/>
        </w:rPr>
        <w:t>纳入试点范围</w:t>
      </w:r>
      <w:bookmarkEnd w:id="1"/>
      <w:bookmarkEnd w:id="2"/>
      <w:r>
        <w:rPr>
          <w:rFonts w:ascii="宋体" w:eastAsia="宋体" w:hAnsi="宋体" w:hint="eastAsia"/>
          <w:sz w:val="24"/>
          <w:szCs w:val="24"/>
        </w:rPr>
        <w:t>。在我国水泥工业二氧化碳排放约占到全国工业总排放的20%左右，因此建材行业尤其是水泥工业二氧化碳</w:t>
      </w:r>
      <w:proofErr w:type="gramStart"/>
      <w:r>
        <w:rPr>
          <w:rFonts w:ascii="宋体" w:eastAsia="宋体" w:hAnsi="宋体" w:hint="eastAsia"/>
          <w:sz w:val="24"/>
          <w:szCs w:val="24"/>
        </w:rPr>
        <w:t>控排减</w:t>
      </w:r>
      <w:proofErr w:type="gramEnd"/>
      <w:r>
        <w:rPr>
          <w:rFonts w:ascii="宋体" w:eastAsia="宋体" w:hAnsi="宋体" w:hint="eastAsia"/>
          <w:sz w:val="24"/>
          <w:szCs w:val="24"/>
        </w:rPr>
        <w:t>排是达成国家减排目标的重要部分。水泥行业因其具有能耗高、排放大、产业集中的特点，是国家碳排放管控的重点领域。据统计，2016年近1300家熟料企业共生产熟料约14亿吨（水泥</w:t>
      </w:r>
      <w:r>
        <w:rPr>
          <w:rFonts w:ascii="宋体" w:eastAsia="宋体" w:hAnsi="宋体" w:hint="eastAsia"/>
          <w:sz w:val="24"/>
          <w:szCs w:val="24"/>
        </w:rPr>
        <w:lastRenderedPageBreak/>
        <w:t>约24亿吨），二氧化碳排放量约12亿吨，占整个工业碳排放量的20%，占全国碳排放量的12%。</w:t>
      </w:r>
      <w:bookmarkEnd w:id="3"/>
      <w:bookmarkEnd w:id="4"/>
      <w:r>
        <w:rPr>
          <w:rFonts w:ascii="宋体" w:eastAsia="宋体" w:hAnsi="宋体" w:hint="eastAsia"/>
          <w:sz w:val="24"/>
          <w:szCs w:val="24"/>
        </w:rPr>
        <w:t>对水泥企业碳排放进行等级划分及分级管理和评价，是促进水泥工业</w:t>
      </w:r>
      <w:proofErr w:type="gramStart"/>
      <w:r>
        <w:rPr>
          <w:rFonts w:ascii="宋体" w:eastAsia="宋体" w:hAnsi="宋体" w:hint="eastAsia"/>
          <w:sz w:val="24"/>
          <w:szCs w:val="24"/>
        </w:rPr>
        <w:t>节能降碳的</w:t>
      </w:r>
      <w:proofErr w:type="gramEnd"/>
      <w:r>
        <w:rPr>
          <w:rFonts w:ascii="宋体" w:eastAsia="宋体" w:hAnsi="宋体" w:hint="eastAsia"/>
          <w:sz w:val="24"/>
          <w:szCs w:val="24"/>
        </w:rPr>
        <w:t>有效措施之一，然而，目前我国碳排放等级及其评价方面的标准体系还不完善，水泥工业碳排放等级及评价方面的标准尚未建立。</w:t>
      </w:r>
    </w:p>
    <w:p w:rsidR="0036571D" w:rsidRDefault="00E7366E">
      <w:pPr>
        <w:pStyle w:val="2"/>
        <w:rPr>
          <w:rFonts w:ascii="Times New Roman" w:eastAsia="宋体" w:hAnsi="Times New Roman"/>
          <w:sz w:val="30"/>
        </w:rPr>
      </w:pPr>
      <w:r>
        <w:rPr>
          <w:rFonts w:ascii="Times New Roman" w:eastAsia="宋体" w:hAnsi="Times New Roman"/>
          <w:sz w:val="30"/>
        </w:rPr>
        <w:t xml:space="preserve">1.2 </w:t>
      </w:r>
      <w:r>
        <w:rPr>
          <w:rFonts w:ascii="Times New Roman" w:eastAsia="宋体" w:hAnsi="Times New Roman"/>
          <w:sz w:val="30"/>
        </w:rPr>
        <w:t>任务来源</w:t>
      </w:r>
    </w:p>
    <w:p w:rsidR="0036571D" w:rsidRDefault="00E7366E">
      <w:pPr>
        <w:spacing w:line="360" w:lineRule="auto"/>
        <w:ind w:firstLineChars="200" w:firstLine="480"/>
        <w:rPr>
          <w:rFonts w:ascii="Times New Roman" w:hAnsi="Times New Roman" w:cs="Times New Roman"/>
          <w:sz w:val="24"/>
        </w:rPr>
      </w:pPr>
      <w:r>
        <w:rPr>
          <w:rFonts w:ascii="Times New Roman" w:hAnsi="Times New Roman" w:cs="Times New Roman"/>
          <w:sz w:val="24"/>
        </w:rPr>
        <w:t>为了配合我国碳排放管理标准化工作的发展需求，以及应对国际碳排放管理相关标准的具体要求，在</w:t>
      </w:r>
      <w:r w:rsidR="00175D35" w:rsidRPr="00175D35">
        <w:rPr>
          <w:rFonts w:ascii="Times New Roman" w:hAnsi="Times New Roman" w:cs="Times New Roman" w:hint="eastAsia"/>
          <w:sz w:val="24"/>
        </w:rPr>
        <w:t>生态环境部应对气候变化司</w:t>
      </w:r>
      <w:r>
        <w:rPr>
          <w:rFonts w:ascii="Times New Roman" w:hAnsi="Times New Roman" w:cs="Times New Roman"/>
          <w:sz w:val="24"/>
        </w:rPr>
        <w:t>和国家标准化管理委员会的支持下，</w:t>
      </w:r>
      <w:r>
        <w:rPr>
          <w:rFonts w:ascii="Times New Roman" w:hAnsi="Times New Roman" w:cs="Times New Roman"/>
          <w:kern w:val="0"/>
          <w:sz w:val="24"/>
        </w:rPr>
        <w:t>本标准由</w:t>
      </w:r>
      <w:r w:rsidR="0009349E">
        <w:rPr>
          <w:rFonts w:ascii="Times New Roman" w:hAnsi="Times New Roman" w:cs="Times New Roman" w:hint="eastAsia"/>
          <w:kern w:val="0"/>
          <w:sz w:val="24"/>
        </w:rPr>
        <w:t>北京国建联信认证有限公司</w:t>
      </w:r>
      <w:r>
        <w:rPr>
          <w:rFonts w:ascii="Times New Roman" w:hAnsi="Times New Roman" w:cs="Times New Roman"/>
          <w:kern w:val="0"/>
          <w:sz w:val="24"/>
        </w:rPr>
        <w:t>牵头起草</w:t>
      </w:r>
      <w:r w:rsidR="003F536B">
        <w:rPr>
          <w:rFonts w:ascii="Times New Roman" w:hAnsi="Times New Roman" w:cs="Times New Roman" w:hint="eastAsia"/>
          <w:kern w:val="0"/>
          <w:sz w:val="24"/>
        </w:rPr>
        <w:t>，</w:t>
      </w:r>
      <w:r>
        <w:rPr>
          <w:rFonts w:ascii="Times New Roman" w:hAnsi="Times New Roman" w:cs="Times New Roman"/>
          <w:kern w:val="0"/>
          <w:sz w:val="24"/>
        </w:rPr>
        <w:t>归口单位为全国碳排放管理标准化技术委员会（</w:t>
      </w:r>
      <w:r>
        <w:rPr>
          <w:rFonts w:ascii="Times New Roman" w:hAnsi="Times New Roman" w:cs="Times New Roman"/>
          <w:kern w:val="0"/>
          <w:sz w:val="24"/>
        </w:rPr>
        <w:t>SAC/TC548</w:t>
      </w:r>
      <w:r>
        <w:rPr>
          <w:rFonts w:ascii="Times New Roman" w:hAnsi="Times New Roman" w:cs="Times New Roman"/>
          <w:kern w:val="0"/>
          <w:sz w:val="24"/>
        </w:rPr>
        <w:t>）。</w:t>
      </w:r>
    </w:p>
    <w:p w:rsidR="0036571D" w:rsidRDefault="00E7366E">
      <w:pPr>
        <w:pStyle w:val="2"/>
        <w:rPr>
          <w:rFonts w:ascii="Times New Roman" w:eastAsia="宋体" w:hAnsi="Times New Roman"/>
          <w:sz w:val="30"/>
        </w:rPr>
      </w:pPr>
      <w:r>
        <w:rPr>
          <w:rFonts w:ascii="Times New Roman" w:eastAsia="宋体" w:hAnsi="Times New Roman"/>
          <w:sz w:val="30"/>
        </w:rPr>
        <w:t>1.</w:t>
      </w:r>
      <w:r>
        <w:rPr>
          <w:rFonts w:ascii="Times New Roman" w:eastAsia="宋体" w:hAnsi="Times New Roman" w:hint="eastAsia"/>
          <w:sz w:val="30"/>
        </w:rPr>
        <w:t>3</w:t>
      </w:r>
      <w:r>
        <w:rPr>
          <w:rFonts w:ascii="Times New Roman" w:eastAsia="宋体" w:hAnsi="Times New Roman"/>
          <w:sz w:val="30"/>
        </w:rPr>
        <w:t xml:space="preserve"> </w:t>
      </w:r>
      <w:r>
        <w:rPr>
          <w:rFonts w:ascii="Times New Roman" w:eastAsia="宋体" w:hAnsi="Times New Roman" w:hint="eastAsia"/>
          <w:sz w:val="30"/>
        </w:rPr>
        <w:t>主要工作过程</w:t>
      </w:r>
    </w:p>
    <w:p w:rsidR="00DE6D66" w:rsidRDefault="00DE6D66" w:rsidP="00DE6D66">
      <w:pPr>
        <w:spacing w:line="360" w:lineRule="auto"/>
        <w:ind w:firstLineChars="200" w:firstLine="480"/>
        <w:rPr>
          <w:color w:val="000000"/>
          <w:sz w:val="24"/>
        </w:rPr>
      </w:pPr>
      <w:r>
        <w:rPr>
          <w:rFonts w:hint="eastAsia"/>
          <w:color w:val="000000"/>
          <w:sz w:val="24"/>
        </w:rPr>
        <w:t>本标准由北京国建联信认证中心有限公司牵头，天津水泥工业设计研究院有限公司、</w:t>
      </w:r>
      <w:r w:rsidR="003F536B">
        <w:rPr>
          <w:rFonts w:hint="eastAsia"/>
          <w:color w:val="000000"/>
          <w:sz w:val="24"/>
        </w:rPr>
        <w:t>中国</w:t>
      </w:r>
      <w:r w:rsidR="003F536B">
        <w:rPr>
          <w:color w:val="000000"/>
          <w:sz w:val="24"/>
        </w:rPr>
        <w:t>建筑材料联合会、</w:t>
      </w:r>
      <w:r>
        <w:rPr>
          <w:rFonts w:hint="eastAsia"/>
          <w:color w:val="000000"/>
          <w:sz w:val="24"/>
        </w:rPr>
        <w:t>中国标准化研究院、北京工业大学、天瑞水泥集团有限公司等联合编制。</w:t>
      </w:r>
    </w:p>
    <w:p w:rsidR="00DE6D66" w:rsidRDefault="00DE6D66" w:rsidP="00DE6D66">
      <w:pPr>
        <w:spacing w:line="360" w:lineRule="auto"/>
        <w:ind w:firstLineChars="200" w:firstLine="480"/>
        <w:rPr>
          <w:color w:val="000000"/>
          <w:sz w:val="24"/>
        </w:rPr>
      </w:pPr>
      <w:r>
        <w:rPr>
          <w:rFonts w:hint="eastAsia"/>
          <w:color w:val="000000"/>
          <w:sz w:val="24"/>
        </w:rPr>
        <w:t>主编单位北京国建联信认证中心有限公司在水泥行业征集了有代表性的水泥企业组成了标准编制组，开展了下述工作：</w:t>
      </w:r>
    </w:p>
    <w:p w:rsidR="00DE6D66" w:rsidRDefault="00DE6D66" w:rsidP="00DE6D66">
      <w:pPr>
        <w:numPr>
          <w:ilvl w:val="0"/>
          <w:numId w:val="16"/>
        </w:numPr>
        <w:spacing w:line="360" w:lineRule="auto"/>
        <w:ind w:leftChars="200" w:left="777" w:hanging="357"/>
        <w:rPr>
          <w:sz w:val="24"/>
        </w:rPr>
      </w:pPr>
      <w:r>
        <w:rPr>
          <w:sz w:val="24"/>
        </w:rPr>
        <w:t>2016</w:t>
      </w:r>
      <w:r>
        <w:rPr>
          <w:rFonts w:hint="eastAsia"/>
          <w:sz w:val="24"/>
        </w:rPr>
        <w:t>年</w:t>
      </w:r>
      <w:r>
        <w:rPr>
          <w:sz w:val="24"/>
        </w:rPr>
        <w:t>8</w:t>
      </w:r>
      <w:r>
        <w:rPr>
          <w:rFonts w:hint="eastAsia"/>
          <w:sz w:val="24"/>
        </w:rPr>
        <w:t>月，召开第一次工作会议，成立标准编制组，提出了本标准的基本格式、框架要求、编制工作计划及分工。由北京国联信认证中心有限公司牵头，</w:t>
      </w:r>
      <w:r>
        <w:rPr>
          <w:rFonts w:hint="eastAsia"/>
          <w:color w:val="000000"/>
          <w:sz w:val="24"/>
        </w:rPr>
        <w:t>天津水泥工业设计研究院有限公司、中国标准化研究院、</w:t>
      </w:r>
      <w:r>
        <w:rPr>
          <w:rFonts w:hint="eastAsia"/>
          <w:sz w:val="24"/>
        </w:rPr>
        <w:t>北京工业大学</w:t>
      </w:r>
      <w:r>
        <w:rPr>
          <w:rFonts w:hint="eastAsia"/>
          <w:color w:val="000000"/>
          <w:sz w:val="24"/>
        </w:rPr>
        <w:t>、天瑞水泥集团有限公司参编</w:t>
      </w:r>
      <w:r>
        <w:rPr>
          <w:rFonts w:hint="eastAsia"/>
          <w:sz w:val="24"/>
        </w:rPr>
        <w:t>；</w:t>
      </w:r>
    </w:p>
    <w:p w:rsidR="00DE6D66" w:rsidRDefault="00DE6D66" w:rsidP="00DE6D66">
      <w:pPr>
        <w:numPr>
          <w:ilvl w:val="0"/>
          <w:numId w:val="16"/>
        </w:numPr>
        <w:spacing w:line="360" w:lineRule="auto"/>
        <w:ind w:leftChars="200" w:left="777" w:hanging="357"/>
        <w:rPr>
          <w:sz w:val="24"/>
        </w:rPr>
      </w:pPr>
      <w:r>
        <w:rPr>
          <w:sz w:val="24"/>
        </w:rPr>
        <w:t>2016</w:t>
      </w:r>
      <w:r>
        <w:rPr>
          <w:rFonts w:hint="eastAsia"/>
          <w:sz w:val="24"/>
        </w:rPr>
        <w:t>年</w:t>
      </w:r>
      <w:r>
        <w:rPr>
          <w:sz w:val="24"/>
        </w:rPr>
        <w:t>9</w:t>
      </w:r>
      <w:r>
        <w:rPr>
          <w:rFonts w:hint="eastAsia"/>
          <w:sz w:val="24"/>
        </w:rPr>
        <w:t>至</w:t>
      </w:r>
      <w:r>
        <w:rPr>
          <w:sz w:val="24"/>
        </w:rPr>
        <w:t>12</w:t>
      </w:r>
      <w:r>
        <w:rPr>
          <w:rFonts w:hint="eastAsia"/>
          <w:sz w:val="24"/>
        </w:rPr>
        <w:t>月，标准起草组通过资料收集、专家咨询等方式进行了大量调研工作，组织了两场大规模的水泥</w:t>
      </w:r>
      <w:proofErr w:type="gramStart"/>
      <w:r>
        <w:rPr>
          <w:rFonts w:hint="eastAsia"/>
          <w:sz w:val="24"/>
        </w:rPr>
        <w:t>企业碳排放权</w:t>
      </w:r>
      <w:proofErr w:type="gramEnd"/>
      <w:r>
        <w:rPr>
          <w:rFonts w:hint="eastAsia"/>
          <w:sz w:val="24"/>
        </w:rPr>
        <w:t>交易能力建设培训会，并实地走访了多家具有代表性的水泥熟料生产企业，收集到大量调研数据；</w:t>
      </w:r>
    </w:p>
    <w:p w:rsidR="00DE6D66" w:rsidRDefault="00DE6D66" w:rsidP="00DE6D66">
      <w:pPr>
        <w:numPr>
          <w:ilvl w:val="0"/>
          <w:numId w:val="16"/>
        </w:numPr>
        <w:spacing w:line="360" w:lineRule="auto"/>
        <w:ind w:leftChars="200" w:left="777" w:hanging="357"/>
        <w:rPr>
          <w:sz w:val="24"/>
        </w:rPr>
      </w:pPr>
      <w:r>
        <w:rPr>
          <w:sz w:val="24"/>
        </w:rPr>
        <w:t>2017</w:t>
      </w:r>
      <w:r>
        <w:rPr>
          <w:rFonts w:hint="eastAsia"/>
          <w:sz w:val="24"/>
        </w:rPr>
        <w:t>年</w:t>
      </w:r>
      <w:r>
        <w:rPr>
          <w:sz w:val="24"/>
        </w:rPr>
        <w:t>1</w:t>
      </w:r>
      <w:r>
        <w:rPr>
          <w:rFonts w:hint="eastAsia"/>
          <w:sz w:val="24"/>
        </w:rPr>
        <w:t>至</w:t>
      </w:r>
      <w:r>
        <w:rPr>
          <w:sz w:val="24"/>
        </w:rPr>
        <w:t>3</w:t>
      </w:r>
      <w:r>
        <w:rPr>
          <w:rFonts w:hint="eastAsia"/>
          <w:sz w:val="24"/>
        </w:rPr>
        <w:t>月，处理</w:t>
      </w:r>
      <w:r>
        <w:rPr>
          <w:sz w:val="24"/>
        </w:rPr>
        <w:t>1000</w:t>
      </w:r>
      <w:r>
        <w:rPr>
          <w:rFonts w:hint="eastAsia"/>
          <w:sz w:val="24"/>
        </w:rPr>
        <w:t>余家水泥熟料生产企业</w:t>
      </w:r>
      <w:r>
        <w:rPr>
          <w:sz w:val="24"/>
        </w:rPr>
        <w:t>2013-2015</w:t>
      </w:r>
      <w:r>
        <w:rPr>
          <w:rFonts w:hint="eastAsia"/>
          <w:sz w:val="24"/>
        </w:rPr>
        <w:t>年的碳排放数据和调研的能耗数据，完成标准初稿的编制工作，并召开标准工作推进会；</w:t>
      </w:r>
    </w:p>
    <w:p w:rsidR="00DE6D66" w:rsidRDefault="00DE6D66" w:rsidP="00DE6D66">
      <w:pPr>
        <w:numPr>
          <w:ilvl w:val="0"/>
          <w:numId w:val="16"/>
        </w:numPr>
        <w:spacing w:line="360" w:lineRule="auto"/>
        <w:ind w:leftChars="200" w:left="777" w:hanging="357"/>
        <w:rPr>
          <w:sz w:val="24"/>
        </w:rPr>
      </w:pPr>
      <w:r>
        <w:rPr>
          <w:sz w:val="24"/>
        </w:rPr>
        <w:t>2017</w:t>
      </w:r>
      <w:r>
        <w:rPr>
          <w:rFonts w:hint="eastAsia"/>
          <w:sz w:val="24"/>
        </w:rPr>
        <w:t>年</w:t>
      </w:r>
      <w:r>
        <w:rPr>
          <w:sz w:val="24"/>
        </w:rPr>
        <w:t>4</w:t>
      </w:r>
      <w:r>
        <w:rPr>
          <w:rFonts w:hint="eastAsia"/>
          <w:sz w:val="24"/>
        </w:rPr>
        <w:t>至</w:t>
      </w:r>
      <w:r>
        <w:rPr>
          <w:sz w:val="24"/>
        </w:rPr>
        <w:t>7</w:t>
      </w:r>
      <w:r>
        <w:rPr>
          <w:rFonts w:hint="eastAsia"/>
          <w:sz w:val="24"/>
        </w:rPr>
        <w:t>月，牵头单位北京国建联信认证中心配合中国建筑材料联</w:t>
      </w:r>
      <w:r>
        <w:rPr>
          <w:rFonts w:hint="eastAsia"/>
          <w:sz w:val="24"/>
        </w:rPr>
        <w:lastRenderedPageBreak/>
        <w:t>合会和</w:t>
      </w:r>
      <w:proofErr w:type="gramStart"/>
      <w:r>
        <w:rPr>
          <w:rFonts w:hint="eastAsia"/>
          <w:sz w:val="24"/>
        </w:rPr>
        <w:t>国家发改委</w:t>
      </w:r>
      <w:proofErr w:type="gramEnd"/>
      <w:r>
        <w:rPr>
          <w:rFonts w:hint="eastAsia"/>
          <w:sz w:val="24"/>
        </w:rPr>
        <w:t>气候司，举办了两次水泥集团层面的碳排放基准值和配额分配方案研讨会，并确定了水泥熟料单位产品碳排放限额的确定原则；</w:t>
      </w:r>
    </w:p>
    <w:p w:rsidR="00DE6D66" w:rsidRDefault="00DE6D66" w:rsidP="00DE6D66">
      <w:pPr>
        <w:numPr>
          <w:ilvl w:val="0"/>
          <w:numId w:val="16"/>
        </w:numPr>
        <w:spacing w:line="360" w:lineRule="auto"/>
        <w:ind w:leftChars="200" w:left="777" w:hanging="357"/>
        <w:rPr>
          <w:sz w:val="24"/>
        </w:rPr>
      </w:pPr>
      <w:r>
        <w:rPr>
          <w:sz w:val="24"/>
        </w:rPr>
        <w:t>2017</w:t>
      </w:r>
      <w:r>
        <w:rPr>
          <w:rFonts w:hint="eastAsia"/>
          <w:sz w:val="24"/>
        </w:rPr>
        <w:t>年</w:t>
      </w:r>
      <w:r>
        <w:rPr>
          <w:sz w:val="24"/>
        </w:rPr>
        <w:t>8</w:t>
      </w:r>
      <w:r>
        <w:rPr>
          <w:rFonts w:hint="eastAsia"/>
          <w:sz w:val="24"/>
        </w:rPr>
        <w:t>月至</w:t>
      </w:r>
      <w:r>
        <w:rPr>
          <w:sz w:val="24"/>
        </w:rPr>
        <w:t>2018</w:t>
      </w:r>
      <w:r>
        <w:rPr>
          <w:rFonts w:hint="eastAsia"/>
          <w:sz w:val="24"/>
        </w:rPr>
        <w:t>年</w:t>
      </w:r>
      <w:r>
        <w:rPr>
          <w:sz w:val="24"/>
        </w:rPr>
        <w:t>3</w:t>
      </w:r>
      <w:r>
        <w:rPr>
          <w:rFonts w:hint="eastAsia"/>
          <w:sz w:val="24"/>
        </w:rPr>
        <w:t>月，补充调研样本，并修订标准草案；</w:t>
      </w:r>
    </w:p>
    <w:p w:rsidR="00DE6D66" w:rsidRDefault="00DE6D66" w:rsidP="00DE6D66">
      <w:pPr>
        <w:numPr>
          <w:ilvl w:val="0"/>
          <w:numId w:val="16"/>
        </w:numPr>
        <w:spacing w:line="360" w:lineRule="auto"/>
        <w:ind w:leftChars="200" w:left="777" w:hanging="357"/>
        <w:rPr>
          <w:sz w:val="24"/>
        </w:rPr>
      </w:pPr>
      <w:r>
        <w:rPr>
          <w:sz w:val="24"/>
        </w:rPr>
        <w:t>2018</w:t>
      </w:r>
      <w:r>
        <w:rPr>
          <w:rFonts w:hint="eastAsia"/>
          <w:sz w:val="24"/>
        </w:rPr>
        <w:t>年</w:t>
      </w:r>
      <w:r>
        <w:rPr>
          <w:sz w:val="24"/>
        </w:rPr>
        <w:t>4</w:t>
      </w:r>
      <w:r>
        <w:rPr>
          <w:rFonts w:hint="eastAsia"/>
          <w:sz w:val="24"/>
        </w:rPr>
        <w:t>至</w:t>
      </w:r>
      <w:r>
        <w:rPr>
          <w:sz w:val="24"/>
        </w:rPr>
        <w:t>6</w:t>
      </w:r>
      <w:r>
        <w:rPr>
          <w:rFonts w:hint="eastAsia"/>
          <w:sz w:val="24"/>
        </w:rPr>
        <w:t>月，面向企业进行意见征集；</w:t>
      </w:r>
    </w:p>
    <w:p w:rsidR="00DE6D66" w:rsidRDefault="00DE6D66" w:rsidP="00DE6D66">
      <w:pPr>
        <w:numPr>
          <w:ilvl w:val="0"/>
          <w:numId w:val="16"/>
        </w:numPr>
        <w:spacing w:line="360" w:lineRule="auto"/>
        <w:ind w:leftChars="200" w:left="777" w:hanging="357"/>
        <w:rPr>
          <w:sz w:val="24"/>
        </w:rPr>
      </w:pPr>
      <w:r>
        <w:rPr>
          <w:sz w:val="24"/>
        </w:rPr>
        <w:t>2018</w:t>
      </w:r>
      <w:r>
        <w:rPr>
          <w:rFonts w:hint="eastAsia"/>
          <w:sz w:val="24"/>
        </w:rPr>
        <w:t>年</w:t>
      </w:r>
      <w:r>
        <w:rPr>
          <w:sz w:val="24"/>
        </w:rPr>
        <w:t>7-8</w:t>
      </w:r>
      <w:r>
        <w:rPr>
          <w:rFonts w:hint="eastAsia"/>
          <w:sz w:val="24"/>
        </w:rPr>
        <w:t>月，召开标准工作会，完成标准征求意见稿及编制说明；</w:t>
      </w:r>
    </w:p>
    <w:p w:rsidR="003F536B" w:rsidRDefault="00DE6D66" w:rsidP="003F536B">
      <w:pPr>
        <w:numPr>
          <w:ilvl w:val="0"/>
          <w:numId w:val="16"/>
        </w:numPr>
        <w:spacing w:line="360" w:lineRule="auto"/>
        <w:ind w:leftChars="200" w:left="777" w:hanging="357"/>
        <w:rPr>
          <w:sz w:val="24"/>
        </w:rPr>
      </w:pPr>
      <w:r>
        <w:rPr>
          <w:sz w:val="24"/>
        </w:rPr>
        <w:t>2018</w:t>
      </w:r>
      <w:r>
        <w:rPr>
          <w:rFonts w:hint="eastAsia"/>
          <w:sz w:val="24"/>
        </w:rPr>
        <w:t>年</w:t>
      </w:r>
      <w:r>
        <w:rPr>
          <w:sz w:val="24"/>
        </w:rPr>
        <w:t>10</w:t>
      </w:r>
      <w:r>
        <w:rPr>
          <w:rFonts w:hint="eastAsia"/>
          <w:sz w:val="24"/>
        </w:rPr>
        <w:t>月，处理近</w:t>
      </w:r>
      <w:r>
        <w:rPr>
          <w:sz w:val="24"/>
        </w:rPr>
        <w:t>700</w:t>
      </w:r>
      <w:r>
        <w:rPr>
          <w:rFonts w:hint="eastAsia"/>
          <w:sz w:val="24"/>
        </w:rPr>
        <w:t>家水泥熟料生产企业</w:t>
      </w:r>
      <w:r>
        <w:rPr>
          <w:sz w:val="24"/>
        </w:rPr>
        <w:t>2016-2017</w:t>
      </w:r>
      <w:r>
        <w:rPr>
          <w:rFonts w:hint="eastAsia"/>
          <w:sz w:val="24"/>
        </w:rPr>
        <w:t>年碳排放数据，修订标准文稿</w:t>
      </w:r>
      <w:r w:rsidR="003F536B">
        <w:rPr>
          <w:rFonts w:hint="eastAsia"/>
          <w:sz w:val="24"/>
        </w:rPr>
        <w:t>；</w:t>
      </w:r>
    </w:p>
    <w:p w:rsidR="00DE6D66" w:rsidRPr="003F536B" w:rsidRDefault="003F536B" w:rsidP="0053019E">
      <w:pPr>
        <w:numPr>
          <w:ilvl w:val="0"/>
          <w:numId w:val="16"/>
        </w:numPr>
        <w:spacing w:line="360" w:lineRule="auto"/>
        <w:ind w:leftChars="200" w:left="777" w:hanging="357"/>
        <w:rPr>
          <w:sz w:val="24"/>
        </w:rPr>
      </w:pPr>
      <w:r w:rsidRPr="003F536B">
        <w:rPr>
          <w:sz w:val="24"/>
        </w:rPr>
        <w:t>2018</w:t>
      </w:r>
      <w:r w:rsidRPr="003F536B">
        <w:rPr>
          <w:rFonts w:hint="eastAsia"/>
          <w:sz w:val="24"/>
        </w:rPr>
        <w:t>年</w:t>
      </w:r>
      <w:r w:rsidRPr="003F536B">
        <w:rPr>
          <w:sz w:val="24"/>
        </w:rPr>
        <w:t>12</w:t>
      </w:r>
      <w:r w:rsidRPr="003F536B">
        <w:rPr>
          <w:rFonts w:hint="eastAsia"/>
          <w:sz w:val="24"/>
        </w:rPr>
        <w:t>月，面向社会公开征求意见。</w:t>
      </w:r>
    </w:p>
    <w:p w:rsidR="0036571D" w:rsidRDefault="00E7366E">
      <w:pPr>
        <w:pStyle w:val="1"/>
        <w:rPr>
          <w:rFonts w:hAnsi="宋体"/>
          <w:sz w:val="34"/>
          <w:szCs w:val="36"/>
        </w:rPr>
      </w:pPr>
      <w:r>
        <w:rPr>
          <w:rFonts w:hAnsi="宋体"/>
          <w:sz w:val="34"/>
          <w:szCs w:val="36"/>
        </w:rPr>
        <w:t>二、标准</w:t>
      </w:r>
      <w:r>
        <w:rPr>
          <w:rFonts w:hAnsi="宋体" w:hint="eastAsia"/>
          <w:sz w:val="34"/>
          <w:szCs w:val="36"/>
        </w:rPr>
        <w:t>编制原则</w:t>
      </w:r>
      <w:r>
        <w:rPr>
          <w:rFonts w:hAnsi="宋体"/>
          <w:sz w:val="34"/>
          <w:szCs w:val="36"/>
        </w:rPr>
        <w:t>和主要内容</w:t>
      </w:r>
    </w:p>
    <w:p w:rsidR="0036571D" w:rsidRDefault="00E7366E">
      <w:pPr>
        <w:pStyle w:val="2"/>
        <w:rPr>
          <w:rFonts w:ascii="Times New Roman" w:eastAsia="宋体" w:hAnsi="宋体"/>
          <w:sz w:val="30"/>
        </w:rPr>
      </w:pPr>
      <w:r>
        <w:rPr>
          <w:rFonts w:ascii="Times New Roman" w:eastAsia="宋体" w:hAnsi="宋体" w:hint="eastAsia"/>
          <w:sz w:val="30"/>
        </w:rPr>
        <w:t>2</w:t>
      </w:r>
      <w:r>
        <w:rPr>
          <w:rFonts w:ascii="Times New Roman" w:eastAsia="宋体" w:hAnsi="宋体"/>
          <w:sz w:val="30"/>
        </w:rPr>
        <w:t xml:space="preserve">.1 </w:t>
      </w:r>
      <w:r>
        <w:rPr>
          <w:rFonts w:ascii="Times New Roman" w:eastAsia="宋体" w:hAnsi="宋体"/>
          <w:sz w:val="30"/>
        </w:rPr>
        <w:t>标准编制原则和依据</w:t>
      </w:r>
    </w:p>
    <w:p w:rsidR="0036571D" w:rsidRDefault="00E7366E">
      <w:pPr>
        <w:spacing w:line="360" w:lineRule="auto"/>
        <w:ind w:firstLineChars="200" w:firstLine="480"/>
        <w:rPr>
          <w:sz w:val="24"/>
        </w:rPr>
      </w:pPr>
      <w:r>
        <w:rPr>
          <w:sz w:val="24"/>
        </w:rPr>
        <w:t>本标准编制首先遵循科学性</w:t>
      </w:r>
      <w:r>
        <w:rPr>
          <w:rFonts w:hint="eastAsia"/>
          <w:sz w:val="24"/>
        </w:rPr>
        <w:t>、</w:t>
      </w:r>
      <w:r>
        <w:rPr>
          <w:sz w:val="24"/>
        </w:rPr>
        <w:t>先进性的原则</w:t>
      </w:r>
      <w:r>
        <w:rPr>
          <w:rFonts w:hint="eastAsia"/>
          <w:sz w:val="24"/>
        </w:rPr>
        <w:t>；其次，注意与国家有关政策措施相协调，使之尽量具备前瞻性、导向性；最后，充分考虑到现阶段我国工业行业企业温室气体排放监测、核算与报告的基础条件，兼顾可操作性。</w:t>
      </w:r>
    </w:p>
    <w:p w:rsidR="0036571D" w:rsidRDefault="00E7366E">
      <w:pPr>
        <w:spacing w:line="360" w:lineRule="auto"/>
        <w:ind w:firstLineChars="200" w:firstLine="480"/>
        <w:rPr>
          <w:sz w:val="24"/>
        </w:rPr>
      </w:pPr>
      <w:r>
        <w:rPr>
          <w:rFonts w:hint="eastAsia"/>
          <w:sz w:val="24"/>
        </w:rPr>
        <w:t>本标准编制的政策依据主要包括：</w:t>
      </w:r>
    </w:p>
    <w:p w:rsidR="0036571D" w:rsidRDefault="00E7366E">
      <w:pPr>
        <w:spacing w:line="360" w:lineRule="auto"/>
        <w:ind w:firstLineChars="200" w:firstLine="480"/>
        <w:rPr>
          <w:sz w:val="24"/>
        </w:rPr>
      </w:pPr>
      <w:r>
        <w:rPr>
          <w:rFonts w:hint="eastAsia"/>
          <w:sz w:val="24"/>
        </w:rPr>
        <w:t>“十三五”《规划纲要》提出的“推动建设全国统一的碳排放交易市场，实行重点单位碳排放报告、核查、核证和配额管理制度”、“健全统计核算、评价考核和责任追究制度，完善碳排放标准体系”，以及《“十三五”控制温室气排放工作方案》（</w:t>
      </w:r>
      <w:r>
        <w:rPr>
          <w:rFonts w:ascii="Times New Roman" w:hAnsi="Times New Roman" w:cs="Times New Roman"/>
          <w:sz w:val="24"/>
        </w:rPr>
        <w:t>国发</w:t>
      </w:r>
      <w:r>
        <w:rPr>
          <w:rFonts w:ascii="Times New Roman" w:hAnsi="Times New Roman" w:cs="Times New Roman"/>
          <w:sz w:val="24"/>
        </w:rPr>
        <w:t>[2016] 61</w:t>
      </w:r>
      <w:r>
        <w:rPr>
          <w:rFonts w:ascii="Times New Roman" w:hAnsi="Times New Roman" w:cs="Times New Roman"/>
          <w:sz w:val="24"/>
        </w:rPr>
        <w:t>号）提</w:t>
      </w:r>
      <w:r>
        <w:rPr>
          <w:rFonts w:hint="eastAsia"/>
          <w:sz w:val="24"/>
        </w:rPr>
        <w:t>出的“研究制定重点行业、重点产品温室气体排放核算标准”的要求，以及全国统一</w:t>
      </w:r>
      <w:proofErr w:type="gramStart"/>
      <w:r>
        <w:rPr>
          <w:rFonts w:hint="eastAsia"/>
          <w:sz w:val="24"/>
        </w:rPr>
        <w:t>碳市场</w:t>
      </w:r>
      <w:proofErr w:type="gramEnd"/>
      <w:r>
        <w:rPr>
          <w:rFonts w:hint="eastAsia"/>
          <w:sz w:val="24"/>
        </w:rPr>
        <w:t>建设的最新政策要求等。</w:t>
      </w:r>
    </w:p>
    <w:p w:rsidR="0036571D" w:rsidRDefault="00E7366E">
      <w:pPr>
        <w:spacing w:line="360" w:lineRule="auto"/>
        <w:ind w:firstLineChars="200" w:firstLine="480"/>
        <w:rPr>
          <w:rFonts w:ascii="Times New Roman" w:hAnsi="Times New Roman" w:cs="Times New Roman"/>
          <w:sz w:val="24"/>
        </w:rPr>
      </w:pPr>
      <w:r>
        <w:rPr>
          <w:rFonts w:hint="eastAsia"/>
          <w:sz w:val="24"/>
        </w:rPr>
        <w:t>本</w:t>
      </w:r>
      <w:r>
        <w:rPr>
          <w:rFonts w:ascii="Times New Roman" w:hAnsi="Times New Roman" w:cs="Times New Roman"/>
          <w:sz w:val="24"/>
        </w:rPr>
        <w:t>标准编制的技术依据主要有：</w:t>
      </w:r>
    </w:p>
    <w:p w:rsidR="0036571D" w:rsidRDefault="00E7366E">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）国家发展改革委已</w:t>
      </w:r>
      <w:r>
        <w:rPr>
          <w:sz w:val="24"/>
        </w:rPr>
        <w:t>颁布</w:t>
      </w:r>
      <w:r>
        <w:rPr>
          <w:rFonts w:ascii="Times New Roman" w:hAnsi="Times New Roman" w:cs="Times New Roman"/>
          <w:sz w:val="24"/>
        </w:rPr>
        <w:t>实施的</w:t>
      </w:r>
      <w:r>
        <w:rPr>
          <w:rFonts w:ascii="Times New Roman" w:hAnsi="Times New Roman" w:cs="Times New Roman"/>
          <w:sz w:val="24"/>
        </w:rPr>
        <w:t>24</w:t>
      </w:r>
      <w:r>
        <w:rPr>
          <w:rFonts w:ascii="Times New Roman" w:hAnsi="Times New Roman" w:cs="Times New Roman"/>
          <w:sz w:val="24"/>
        </w:rPr>
        <w:t>个行业企业温室气体排放核算方法与报告指南，重点是</w:t>
      </w:r>
      <w:r w:rsidR="005867FD" w:rsidRPr="005867FD">
        <w:rPr>
          <w:rFonts w:ascii="Times New Roman" w:hAnsi="Times New Roman" w:cs="Times New Roman" w:hint="eastAsia"/>
          <w:sz w:val="24"/>
        </w:rPr>
        <w:t>《中国水泥生产企业温室气体排放核算方法与报告指南（试行）》</w:t>
      </w:r>
      <w:r>
        <w:rPr>
          <w:rFonts w:ascii="Times New Roman" w:hAnsi="Times New Roman" w:cs="Times New Roman"/>
          <w:sz w:val="24"/>
        </w:rPr>
        <w:t>；</w:t>
      </w:r>
    </w:p>
    <w:p w:rsidR="0036571D" w:rsidRDefault="00E7366E">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r w:rsidR="001607B9" w:rsidRPr="001607B9">
        <w:rPr>
          <w:rFonts w:ascii="Times New Roman" w:hAnsi="Times New Roman" w:cs="Times New Roman" w:hint="eastAsia"/>
          <w:sz w:val="24"/>
        </w:rPr>
        <w:t>GBT 32151.8</w:t>
      </w:r>
      <w:r w:rsidR="001607B9">
        <w:rPr>
          <w:rFonts w:ascii="Times New Roman" w:hAnsi="Times New Roman" w:cs="Times New Roman" w:hint="eastAsia"/>
          <w:sz w:val="24"/>
        </w:rPr>
        <w:t>-</w:t>
      </w:r>
      <w:r w:rsidR="001607B9">
        <w:rPr>
          <w:rFonts w:ascii="Times New Roman" w:hAnsi="Times New Roman" w:cs="Times New Roman"/>
          <w:sz w:val="24"/>
        </w:rPr>
        <w:t>2015</w:t>
      </w:r>
      <w:r w:rsidR="001607B9">
        <w:rPr>
          <w:rFonts w:ascii="Times New Roman" w:hAnsi="Times New Roman" w:cs="Times New Roman" w:hint="eastAsia"/>
          <w:sz w:val="24"/>
        </w:rPr>
        <w:t>《</w:t>
      </w:r>
      <w:r w:rsidR="001607B9" w:rsidRPr="001607B9">
        <w:rPr>
          <w:rFonts w:ascii="Times New Roman" w:hAnsi="Times New Roman" w:cs="Times New Roman" w:hint="eastAsia"/>
          <w:sz w:val="24"/>
        </w:rPr>
        <w:t>温室气体排放核算与报告要求：水泥生产企业</w:t>
      </w:r>
      <w:r w:rsidR="001607B9">
        <w:rPr>
          <w:rFonts w:ascii="Times New Roman" w:hAnsi="Times New Roman" w:cs="Times New Roman" w:hint="eastAsia"/>
          <w:sz w:val="24"/>
        </w:rPr>
        <w:t>》</w:t>
      </w:r>
    </w:p>
    <w:p w:rsidR="0036571D" w:rsidRDefault="00E7366E">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GB/T 1.1-2009</w:t>
      </w:r>
      <w:r>
        <w:rPr>
          <w:rFonts w:ascii="Times New Roman" w:hAnsi="Times New Roman" w:cs="Times New Roman"/>
          <w:sz w:val="24"/>
        </w:rPr>
        <w:t>标准化工作导则</w:t>
      </w:r>
      <w:r>
        <w:rPr>
          <w:rFonts w:ascii="Times New Roman" w:hAnsi="Times New Roman" w:cs="Times New Roman"/>
          <w:sz w:val="24"/>
        </w:rPr>
        <w:t xml:space="preserve"> </w:t>
      </w:r>
      <w:r>
        <w:rPr>
          <w:rFonts w:ascii="Times New Roman" w:hAnsi="Times New Roman" w:cs="Times New Roman"/>
          <w:sz w:val="24"/>
        </w:rPr>
        <w:t>第</w:t>
      </w:r>
      <w:r>
        <w:rPr>
          <w:rFonts w:ascii="Times New Roman" w:hAnsi="Times New Roman" w:cs="Times New Roman"/>
          <w:sz w:val="24"/>
        </w:rPr>
        <w:t>1</w:t>
      </w:r>
      <w:r>
        <w:rPr>
          <w:rFonts w:ascii="Times New Roman" w:hAnsi="Times New Roman" w:cs="Times New Roman"/>
          <w:sz w:val="24"/>
        </w:rPr>
        <w:t>部分：标准的结构和编写。</w:t>
      </w:r>
    </w:p>
    <w:p w:rsidR="0036571D" w:rsidRDefault="00E7366E">
      <w:pPr>
        <w:pStyle w:val="2"/>
        <w:rPr>
          <w:rFonts w:ascii="Times New Roman" w:eastAsia="宋体" w:hAnsi="宋体"/>
          <w:sz w:val="30"/>
        </w:rPr>
      </w:pPr>
      <w:r>
        <w:rPr>
          <w:rFonts w:ascii="Times New Roman" w:eastAsia="宋体" w:hAnsi="Times New Roman"/>
          <w:sz w:val="30"/>
        </w:rPr>
        <w:lastRenderedPageBreak/>
        <w:t xml:space="preserve">2.2 </w:t>
      </w:r>
      <w:r>
        <w:rPr>
          <w:rFonts w:ascii="Times New Roman" w:eastAsia="宋体" w:hAnsi="宋体"/>
          <w:sz w:val="30"/>
        </w:rPr>
        <w:t>标准主要内容及适用范围</w:t>
      </w:r>
    </w:p>
    <w:p w:rsidR="0036571D" w:rsidRDefault="00E7366E">
      <w:pPr>
        <w:spacing w:line="360" w:lineRule="auto"/>
        <w:outlineLvl w:val="2"/>
        <w:rPr>
          <w:rFonts w:ascii="Times New Roman" w:hAnsi="Times New Roman" w:cs="Times New Roman"/>
          <w:sz w:val="28"/>
          <w:szCs w:val="28"/>
        </w:rPr>
      </w:pPr>
      <w:bookmarkStart w:id="5" w:name="_Toc425779251"/>
      <w:r>
        <w:rPr>
          <w:rFonts w:ascii="Times New Roman" w:hAnsi="Times New Roman" w:cs="Times New Roman"/>
          <w:sz w:val="28"/>
          <w:szCs w:val="28"/>
        </w:rPr>
        <w:t xml:space="preserve">2.2.1 </w:t>
      </w:r>
      <w:r>
        <w:rPr>
          <w:rFonts w:ascii="Times New Roman" w:hAnsi="Times New Roman" w:cs="Times New Roman"/>
          <w:sz w:val="28"/>
          <w:szCs w:val="28"/>
        </w:rPr>
        <w:t>范围</w:t>
      </w:r>
      <w:bookmarkEnd w:id="5"/>
    </w:p>
    <w:p w:rsidR="00415572" w:rsidRDefault="00415572">
      <w:pPr>
        <w:spacing w:line="360" w:lineRule="auto"/>
        <w:ind w:firstLineChars="200" w:firstLine="480"/>
        <w:rPr>
          <w:rFonts w:ascii="Times New Roman" w:hAnsi="Times New Roman" w:cs="Times New Roman"/>
          <w:sz w:val="24"/>
        </w:rPr>
      </w:pPr>
      <w:r>
        <w:rPr>
          <w:rFonts w:hint="eastAsia"/>
          <w:sz w:val="24"/>
        </w:rPr>
        <w:t>本标准编制过程中，研究了通用硅酸盐水泥及熟料的碳排放情况，考虑到本标准的立项初衷是用于支撑水泥行业的配额分配，而目前水泥行业的全国</w:t>
      </w:r>
      <w:proofErr w:type="gramStart"/>
      <w:r>
        <w:rPr>
          <w:rFonts w:hint="eastAsia"/>
          <w:sz w:val="24"/>
        </w:rPr>
        <w:t>碳交易仅拟</w:t>
      </w:r>
      <w:proofErr w:type="gramEnd"/>
      <w:r>
        <w:rPr>
          <w:rFonts w:hint="eastAsia"/>
          <w:sz w:val="24"/>
        </w:rPr>
        <w:t>纳入水泥熟料生产企业，而特种水泥一方面数据缺失，另一方面占比较低、能耗也达不到万吨标煤，因此本标准仅适用于对通用硅酸盐水泥熟料单位产品的碳排放量进行计算，不适用于特种水泥熟料和粉磨站。</w:t>
      </w:r>
    </w:p>
    <w:p w:rsidR="0036571D" w:rsidRDefault="00E7366E">
      <w:pPr>
        <w:spacing w:line="360" w:lineRule="auto"/>
        <w:outlineLvl w:val="2"/>
        <w:rPr>
          <w:rFonts w:ascii="Times New Roman" w:hAnsi="Times New Roman" w:cs="Times New Roman"/>
          <w:sz w:val="28"/>
          <w:szCs w:val="28"/>
        </w:rPr>
      </w:pPr>
      <w:bookmarkStart w:id="6" w:name="_Toc425779252"/>
      <w:r>
        <w:rPr>
          <w:rFonts w:ascii="Times New Roman" w:hAnsi="Times New Roman" w:cs="Times New Roman"/>
          <w:sz w:val="28"/>
          <w:szCs w:val="28"/>
        </w:rPr>
        <w:t xml:space="preserve">2.2.2 </w:t>
      </w:r>
      <w:r>
        <w:rPr>
          <w:rFonts w:ascii="Times New Roman" w:hAnsi="Times New Roman" w:cs="Times New Roman"/>
          <w:sz w:val="28"/>
          <w:szCs w:val="28"/>
        </w:rPr>
        <w:t>规范性引用文件</w:t>
      </w:r>
      <w:bookmarkEnd w:id="6"/>
    </w:p>
    <w:p w:rsidR="00463AAA" w:rsidRDefault="00463AAA" w:rsidP="00463AAA">
      <w:pPr>
        <w:spacing w:line="360" w:lineRule="auto"/>
        <w:ind w:firstLineChars="200" w:firstLine="480"/>
        <w:rPr>
          <w:sz w:val="24"/>
        </w:rPr>
      </w:pPr>
      <w:r>
        <w:rPr>
          <w:rFonts w:hint="eastAsia"/>
          <w:sz w:val="24"/>
        </w:rPr>
        <w:t>本文件的结构与内容执行国家基础标准规定，并注意与有关标准相协调。主要引用了</w:t>
      </w:r>
      <w:r>
        <w:rPr>
          <w:sz w:val="24"/>
        </w:rPr>
        <w:t>GB/T 176</w:t>
      </w:r>
      <w:r>
        <w:rPr>
          <w:rFonts w:hint="eastAsia"/>
          <w:sz w:val="24"/>
        </w:rPr>
        <w:t>、</w:t>
      </w:r>
      <w:r>
        <w:rPr>
          <w:sz w:val="24"/>
        </w:rPr>
        <w:t>GB/T 213</w:t>
      </w:r>
      <w:r>
        <w:rPr>
          <w:rFonts w:hint="eastAsia"/>
          <w:sz w:val="24"/>
        </w:rPr>
        <w:t>、</w:t>
      </w:r>
      <w:r>
        <w:rPr>
          <w:sz w:val="24"/>
        </w:rPr>
        <w:t>GB/T 384</w:t>
      </w:r>
      <w:r>
        <w:rPr>
          <w:rFonts w:hint="eastAsia"/>
          <w:sz w:val="24"/>
        </w:rPr>
        <w:t>、</w:t>
      </w:r>
      <w:r>
        <w:rPr>
          <w:sz w:val="24"/>
        </w:rPr>
        <w:t>GB/T 11062</w:t>
      </w:r>
      <w:r>
        <w:rPr>
          <w:rFonts w:hint="eastAsia"/>
          <w:sz w:val="24"/>
        </w:rPr>
        <w:t>、</w:t>
      </w:r>
      <w:r>
        <w:rPr>
          <w:sz w:val="24"/>
        </w:rPr>
        <w:t>GB 16780</w:t>
      </w:r>
      <w:r>
        <w:rPr>
          <w:rFonts w:hint="eastAsia"/>
          <w:sz w:val="24"/>
        </w:rPr>
        <w:t>、</w:t>
      </w:r>
      <w:r>
        <w:rPr>
          <w:sz w:val="24"/>
        </w:rPr>
        <w:t>GB/T 21372</w:t>
      </w:r>
      <w:r>
        <w:rPr>
          <w:rFonts w:hint="eastAsia"/>
          <w:sz w:val="24"/>
        </w:rPr>
        <w:t>和</w:t>
      </w:r>
      <w:r>
        <w:rPr>
          <w:sz w:val="24"/>
        </w:rPr>
        <w:t>GB/T 32151.8</w:t>
      </w:r>
      <w:r>
        <w:rPr>
          <w:rFonts w:hint="eastAsia"/>
          <w:sz w:val="24"/>
        </w:rPr>
        <w:t>等规范性引用文件。</w:t>
      </w:r>
    </w:p>
    <w:p w:rsidR="0036571D" w:rsidRDefault="00E7366E">
      <w:pPr>
        <w:spacing w:line="360" w:lineRule="auto"/>
        <w:outlineLvl w:val="2"/>
        <w:rPr>
          <w:rFonts w:ascii="Times New Roman" w:hAnsi="Times New Roman" w:cs="Times New Roman"/>
          <w:sz w:val="28"/>
          <w:szCs w:val="28"/>
        </w:rPr>
      </w:pPr>
      <w:bookmarkStart w:id="7" w:name="_Toc425779253"/>
      <w:r>
        <w:rPr>
          <w:rFonts w:ascii="Times New Roman" w:hAnsi="Times New Roman" w:cs="Times New Roman"/>
          <w:sz w:val="28"/>
          <w:szCs w:val="28"/>
        </w:rPr>
        <w:t xml:space="preserve">2.2.3 </w:t>
      </w:r>
      <w:r>
        <w:rPr>
          <w:rFonts w:ascii="Times New Roman" w:hAnsi="Times New Roman" w:cs="Times New Roman"/>
          <w:sz w:val="28"/>
          <w:szCs w:val="28"/>
        </w:rPr>
        <w:t>术语和定义</w:t>
      </w:r>
      <w:bookmarkEnd w:id="7"/>
    </w:p>
    <w:p w:rsidR="00F932CD" w:rsidRPr="00F932CD" w:rsidRDefault="00F932CD">
      <w:pPr>
        <w:spacing w:line="360" w:lineRule="auto"/>
        <w:ind w:firstLineChars="200" w:firstLine="480"/>
        <w:rPr>
          <w:rFonts w:ascii="Times New Roman" w:hAnsi="Times New Roman" w:cs="Times New Roman"/>
          <w:sz w:val="24"/>
        </w:rPr>
      </w:pPr>
      <w:r>
        <w:rPr>
          <w:rFonts w:hint="eastAsia"/>
          <w:sz w:val="24"/>
        </w:rPr>
        <w:t>为了增加与已有国家标准的协调性，</w:t>
      </w:r>
      <w:r>
        <w:rPr>
          <w:sz w:val="24"/>
        </w:rPr>
        <w:t>GB/T 176</w:t>
      </w:r>
      <w:r>
        <w:rPr>
          <w:rFonts w:hint="eastAsia"/>
          <w:sz w:val="24"/>
        </w:rPr>
        <w:t>、</w:t>
      </w:r>
      <w:r>
        <w:rPr>
          <w:sz w:val="24"/>
        </w:rPr>
        <w:t>GB 16780</w:t>
      </w:r>
      <w:r>
        <w:rPr>
          <w:rFonts w:hint="eastAsia"/>
          <w:sz w:val="24"/>
        </w:rPr>
        <w:t>、</w:t>
      </w:r>
      <w:r>
        <w:rPr>
          <w:sz w:val="24"/>
        </w:rPr>
        <w:t>GB/T 21372</w:t>
      </w:r>
      <w:r>
        <w:rPr>
          <w:rFonts w:hint="eastAsia"/>
          <w:sz w:val="24"/>
        </w:rPr>
        <w:t>和</w:t>
      </w:r>
      <w:r>
        <w:rPr>
          <w:sz w:val="24"/>
        </w:rPr>
        <w:t>GB/T 32151.8</w:t>
      </w:r>
      <w:r>
        <w:rPr>
          <w:rFonts w:hint="eastAsia"/>
          <w:sz w:val="24"/>
        </w:rPr>
        <w:t>等国标规定的部分术语和定义</w:t>
      </w:r>
      <w:bookmarkStart w:id="8" w:name="_Hlk523302250"/>
      <w:r>
        <w:rPr>
          <w:rFonts w:hint="eastAsia"/>
          <w:sz w:val="24"/>
        </w:rPr>
        <w:t>适用于本标准，</w:t>
      </w:r>
      <w:r w:rsidR="003F536B">
        <w:rPr>
          <w:rFonts w:hint="eastAsia"/>
          <w:sz w:val="24"/>
        </w:rPr>
        <w:t>结合</w:t>
      </w:r>
      <w:r w:rsidR="003F536B">
        <w:rPr>
          <w:sz w:val="24"/>
        </w:rPr>
        <w:t>水泥行业特点，</w:t>
      </w:r>
      <w:r>
        <w:rPr>
          <w:rFonts w:hint="eastAsia"/>
          <w:sz w:val="24"/>
        </w:rPr>
        <w:t>本标准中给出</w:t>
      </w:r>
      <w:r w:rsidR="003F536B">
        <w:rPr>
          <w:rFonts w:hint="eastAsia"/>
          <w:sz w:val="24"/>
        </w:rPr>
        <w:t>了</w:t>
      </w:r>
      <w:r w:rsidR="003F536B">
        <w:rPr>
          <w:sz w:val="24"/>
        </w:rPr>
        <w:t>限定值、准入值、先进值、</w:t>
      </w:r>
      <w:r w:rsidR="003F536B">
        <w:rPr>
          <w:rFonts w:hint="eastAsia"/>
          <w:sz w:val="24"/>
        </w:rPr>
        <w:t>非</w:t>
      </w:r>
      <w:r w:rsidR="003F536B">
        <w:rPr>
          <w:sz w:val="24"/>
        </w:rPr>
        <w:t>碳酸盐替代原料、</w:t>
      </w:r>
      <w:r w:rsidR="003F536B">
        <w:rPr>
          <w:rFonts w:hint="eastAsia"/>
          <w:sz w:val="24"/>
        </w:rPr>
        <w:t>单位</w:t>
      </w:r>
      <w:r w:rsidR="003F536B">
        <w:rPr>
          <w:sz w:val="24"/>
        </w:rPr>
        <w:t>产品碳排放量等</w:t>
      </w:r>
      <w:r>
        <w:rPr>
          <w:rFonts w:hint="eastAsia"/>
          <w:sz w:val="24"/>
        </w:rPr>
        <w:t>术语和定义。</w:t>
      </w:r>
      <w:bookmarkEnd w:id="8"/>
    </w:p>
    <w:p w:rsidR="0036571D" w:rsidRDefault="00E7366E">
      <w:pPr>
        <w:spacing w:line="360" w:lineRule="auto"/>
        <w:outlineLvl w:val="2"/>
        <w:rPr>
          <w:rFonts w:ascii="Times New Roman" w:hAnsi="Times New Roman" w:cs="Times New Roman"/>
          <w:sz w:val="28"/>
          <w:szCs w:val="28"/>
        </w:rPr>
      </w:pPr>
      <w:bookmarkStart w:id="9" w:name="_Toc425779254"/>
      <w:r>
        <w:rPr>
          <w:rFonts w:ascii="Times New Roman" w:hAnsi="Times New Roman" w:cs="Times New Roman"/>
          <w:sz w:val="28"/>
          <w:szCs w:val="28"/>
        </w:rPr>
        <w:t xml:space="preserve">2.2.4 </w:t>
      </w:r>
      <w:bookmarkEnd w:id="9"/>
      <w:r>
        <w:rPr>
          <w:rFonts w:ascii="Times New Roman" w:hAnsi="Times New Roman" w:cs="Times New Roman" w:hint="eastAsia"/>
          <w:sz w:val="28"/>
          <w:szCs w:val="28"/>
        </w:rPr>
        <w:t>限额</w:t>
      </w:r>
      <w:r w:rsidR="003F536B">
        <w:rPr>
          <w:rFonts w:ascii="Times New Roman" w:hAnsi="Times New Roman" w:cs="Times New Roman" w:hint="eastAsia"/>
          <w:sz w:val="28"/>
          <w:szCs w:val="28"/>
        </w:rPr>
        <w:t>指标</w:t>
      </w:r>
    </w:p>
    <w:p w:rsidR="0010425E" w:rsidRDefault="0010425E" w:rsidP="0010425E">
      <w:pPr>
        <w:spacing w:line="360" w:lineRule="auto"/>
        <w:ind w:firstLineChars="200" w:firstLine="480"/>
        <w:rPr>
          <w:sz w:val="24"/>
        </w:rPr>
      </w:pPr>
      <w:r>
        <w:rPr>
          <w:rFonts w:hint="eastAsia"/>
          <w:sz w:val="24"/>
        </w:rPr>
        <w:t>熟料单位产品的碳排放</w:t>
      </w:r>
      <w:r w:rsidR="003F536B">
        <w:rPr>
          <w:rFonts w:hint="eastAsia"/>
          <w:sz w:val="24"/>
        </w:rPr>
        <w:t>限额指标</w:t>
      </w:r>
      <w:r w:rsidR="003F536B">
        <w:rPr>
          <w:sz w:val="24"/>
        </w:rPr>
        <w:t>分为先进值</w:t>
      </w:r>
      <w:r w:rsidR="003F536B">
        <w:rPr>
          <w:rFonts w:hint="eastAsia"/>
          <w:sz w:val="24"/>
        </w:rPr>
        <w:t>、</w:t>
      </w:r>
      <w:r w:rsidR="003F536B">
        <w:rPr>
          <w:sz w:val="24"/>
        </w:rPr>
        <w:t>准入值</w:t>
      </w:r>
      <w:r w:rsidR="003F536B">
        <w:rPr>
          <w:rFonts w:hint="eastAsia"/>
          <w:sz w:val="24"/>
        </w:rPr>
        <w:t>和</w:t>
      </w:r>
      <w:r w:rsidR="003F536B">
        <w:rPr>
          <w:sz w:val="24"/>
        </w:rPr>
        <w:t>限定值</w:t>
      </w:r>
      <w:r>
        <w:rPr>
          <w:rFonts w:hint="eastAsia"/>
          <w:sz w:val="24"/>
        </w:rPr>
        <w:t>，分别代表按企业碳排放强度排序后，行业前</w:t>
      </w:r>
      <w:r>
        <w:rPr>
          <w:sz w:val="24"/>
        </w:rPr>
        <w:t>30%</w:t>
      </w:r>
      <w:r>
        <w:rPr>
          <w:rFonts w:hint="eastAsia"/>
          <w:sz w:val="24"/>
        </w:rPr>
        <w:t>、</w:t>
      </w:r>
      <w:r>
        <w:rPr>
          <w:sz w:val="24"/>
        </w:rPr>
        <w:t>60%</w:t>
      </w:r>
      <w:r>
        <w:rPr>
          <w:rFonts w:hint="eastAsia"/>
          <w:sz w:val="24"/>
        </w:rPr>
        <w:t>和</w:t>
      </w:r>
      <w:r>
        <w:rPr>
          <w:sz w:val="24"/>
        </w:rPr>
        <w:t>80%</w:t>
      </w:r>
      <w:r>
        <w:rPr>
          <w:rFonts w:hint="eastAsia"/>
          <w:sz w:val="24"/>
        </w:rPr>
        <w:t>累计产量</w:t>
      </w:r>
      <w:proofErr w:type="gramStart"/>
      <w:r>
        <w:rPr>
          <w:rFonts w:hint="eastAsia"/>
          <w:sz w:val="24"/>
        </w:rPr>
        <w:t>处企业</w:t>
      </w:r>
      <w:proofErr w:type="gramEnd"/>
      <w:r>
        <w:rPr>
          <w:rFonts w:hint="eastAsia"/>
          <w:sz w:val="24"/>
        </w:rPr>
        <w:t>的碳排放水平。</w:t>
      </w:r>
    </w:p>
    <w:p w:rsidR="0010425E" w:rsidRDefault="0010425E" w:rsidP="0010425E">
      <w:pPr>
        <w:spacing w:line="360" w:lineRule="auto"/>
        <w:ind w:firstLineChars="200" w:firstLine="480"/>
        <w:rPr>
          <w:sz w:val="24"/>
        </w:rPr>
      </w:pPr>
      <w:r>
        <w:rPr>
          <w:rFonts w:hint="eastAsia"/>
          <w:sz w:val="24"/>
        </w:rPr>
        <w:t>限额</w:t>
      </w:r>
      <w:r w:rsidR="003F536B">
        <w:rPr>
          <w:rFonts w:hint="eastAsia"/>
          <w:sz w:val="24"/>
        </w:rPr>
        <w:t>指标</w:t>
      </w:r>
      <w:r>
        <w:rPr>
          <w:rFonts w:hint="eastAsia"/>
          <w:sz w:val="24"/>
        </w:rPr>
        <w:t>依据三条路线确定：一是基于行业一千余家水泥熟料生产企业</w:t>
      </w:r>
      <w:r>
        <w:rPr>
          <w:sz w:val="24"/>
        </w:rPr>
        <w:t>2013-2015</w:t>
      </w:r>
      <w:r>
        <w:rPr>
          <w:rFonts w:hint="eastAsia"/>
          <w:sz w:val="24"/>
        </w:rPr>
        <w:t>年的历史碳排放数据；二是基于能耗数据，加入过程排放折算而得；三是基于行业近</w:t>
      </w:r>
      <w:r>
        <w:rPr>
          <w:sz w:val="24"/>
        </w:rPr>
        <w:t>700</w:t>
      </w:r>
      <w:r>
        <w:rPr>
          <w:rFonts w:hint="eastAsia"/>
          <w:sz w:val="24"/>
        </w:rPr>
        <w:t>家水泥熟料生产企业</w:t>
      </w:r>
      <w:r>
        <w:rPr>
          <w:sz w:val="24"/>
        </w:rPr>
        <w:t>2016-2017</w:t>
      </w:r>
      <w:r>
        <w:rPr>
          <w:rFonts w:hint="eastAsia"/>
          <w:sz w:val="24"/>
        </w:rPr>
        <w:t>年的碳排放数据。具体方法如下：</w:t>
      </w:r>
    </w:p>
    <w:p w:rsidR="0010425E" w:rsidRDefault="0010425E" w:rsidP="0010425E">
      <w:pPr>
        <w:spacing w:line="360" w:lineRule="auto"/>
        <w:ind w:firstLineChars="200" w:firstLine="480"/>
        <w:rPr>
          <w:sz w:val="24"/>
        </w:rPr>
      </w:pPr>
      <w:r>
        <w:rPr>
          <w:rFonts w:hint="eastAsia"/>
          <w:sz w:val="24"/>
        </w:rPr>
        <w:t>（</w:t>
      </w:r>
      <w:r>
        <w:rPr>
          <w:sz w:val="24"/>
        </w:rPr>
        <w:t>1</w:t>
      </w:r>
      <w:r>
        <w:rPr>
          <w:rFonts w:hint="eastAsia"/>
          <w:sz w:val="24"/>
        </w:rPr>
        <w:t>）基于行业千余家水泥熟料生产企业</w:t>
      </w:r>
      <w:r>
        <w:rPr>
          <w:sz w:val="24"/>
        </w:rPr>
        <w:t>2013-2015</w:t>
      </w:r>
      <w:r>
        <w:rPr>
          <w:rFonts w:hint="eastAsia"/>
          <w:sz w:val="24"/>
        </w:rPr>
        <w:t>年历史排放数据</w:t>
      </w:r>
    </w:p>
    <w:p w:rsidR="0010425E" w:rsidRDefault="0010425E" w:rsidP="0010425E">
      <w:pPr>
        <w:numPr>
          <w:ilvl w:val="0"/>
          <w:numId w:val="17"/>
        </w:numPr>
        <w:spacing w:line="360" w:lineRule="auto"/>
        <w:ind w:left="840"/>
        <w:rPr>
          <w:sz w:val="24"/>
        </w:rPr>
      </w:pPr>
      <w:r>
        <w:rPr>
          <w:rFonts w:hint="eastAsia"/>
          <w:sz w:val="24"/>
        </w:rPr>
        <w:t>从</w:t>
      </w:r>
      <w:r>
        <w:rPr>
          <w:sz w:val="24"/>
        </w:rPr>
        <w:t>1015</w:t>
      </w:r>
      <w:r>
        <w:rPr>
          <w:rFonts w:hint="eastAsia"/>
          <w:sz w:val="24"/>
        </w:rPr>
        <w:t>家水泥熟料生产企业</w:t>
      </w:r>
      <w:r>
        <w:rPr>
          <w:sz w:val="24"/>
        </w:rPr>
        <w:t>2013-2015</w:t>
      </w:r>
      <w:r>
        <w:rPr>
          <w:rFonts w:hint="eastAsia"/>
          <w:sz w:val="24"/>
        </w:rPr>
        <w:t>年的历史碳排放数据中筛选出</w:t>
      </w:r>
      <w:r>
        <w:rPr>
          <w:sz w:val="24"/>
        </w:rPr>
        <w:t>953</w:t>
      </w:r>
      <w:r>
        <w:rPr>
          <w:rFonts w:hint="eastAsia"/>
          <w:sz w:val="24"/>
        </w:rPr>
        <w:t>个有效样本，</w:t>
      </w:r>
      <w:r>
        <w:rPr>
          <w:sz w:val="24"/>
        </w:rPr>
        <w:t>2015</w:t>
      </w:r>
      <w:r>
        <w:rPr>
          <w:rFonts w:hint="eastAsia"/>
          <w:sz w:val="24"/>
        </w:rPr>
        <w:t>年累计熟料产量</w:t>
      </w:r>
      <w:r>
        <w:rPr>
          <w:sz w:val="24"/>
        </w:rPr>
        <w:t>12.25</w:t>
      </w:r>
      <w:r>
        <w:rPr>
          <w:rFonts w:hint="eastAsia"/>
          <w:sz w:val="24"/>
        </w:rPr>
        <w:t>亿吨，占水泥熟料年总产量的</w:t>
      </w:r>
      <w:r>
        <w:rPr>
          <w:sz w:val="24"/>
        </w:rPr>
        <w:t>92.1%</w:t>
      </w:r>
      <w:r>
        <w:rPr>
          <w:rFonts w:hint="eastAsia"/>
          <w:sz w:val="24"/>
        </w:rPr>
        <w:t>；</w:t>
      </w:r>
    </w:p>
    <w:p w:rsidR="0010425E" w:rsidRDefault="0010425E" w:rsidP="0010425E">
      <w:pPr>
        <w:numPr>
          <w:ilvl w:val="0"/>
          <w:numId w:val="17"/>
        </w:numPr>
        <w:spacing w:line="360" w:lineRule="auto"/>
        <w:ind w:left="840"/>
        <w:rPr>
          <w:sz w:val="24"/>
        </w:rPr>
      </w:pPr>
      <w:r>
        <w:rPr>
          <w:rFonts w:hint="eastAsia"/>
          <w:sz w:val="24"/>
        </w:rPr>
        <w:lastRenderedPageBreak/>
        <w:t>计算每家企业三年加权平均碳排放强度；</w:t>
      </w:r>
    </w:p>
    <w:p w:rsidR="0010425E" w:rsidRDefault="0010425E" w:rsidP="0010425E">
      <w:pPr>
        <w:numPr>
          <w:ilvl w:val="0"/>
          <w:numId w:val="17"/>
        </w:numPr>
        <w:spacing w:line="360" w:lineRule="auto"/>
        <w:ind w:left="840"/>
        <w:rPr>
          <w:sz w:val="24"/>
        </w:rPr>
      </w:pPr>
      <w:r>
        <w:rPr>
          <w:rFonts w:hint="eastAsia"/>
          <w:sz w:val="24"/>
        </w:rPr>
        <w:t>按碳排放强度由低到高的顺序排序；</w:t>
      </w:r>
    </w:p>
    <w:p w:rsidR="0010425E" w:rsidRDefault="0010425E" w:rsidP="0010425E">
      <w:pPr>
        <w:numPr>
          <w:ilvl w:val="0"/>
          <w:numId w:val="17"/>
        </w:numPr>
        <w:spacing w:line="360" w:lineRule="auto"/>
        <w:ind w:left="840"/>
        <w:rPr>
          <w:sz w:val="24"/>
        </w:rPr>
      </w:pPr>
      <w:r>
        <w:rPr>
          <w:rFonts w:hint="eastAsia"/>
          <w:sz w:val="24"/>
        </w:rPr>
        <w:t>将熟料产量进行累加，并将前</w:t>
      </w:r>
      <w:r>
        <w:rPr>
          <w:sz w:val="24"/>
        </w:rPr>
        <w:t>30%</w:t>
      </w:r>
      <w:r>
        <w:rPr>
          <w:rFonts w:hint="eastAsia"/>
          <w:sz w:val="24"/>
        </w:rPr>
        <w:t>、</w:t>
      </w:r>
      <w:r>
        <w:rPr>
          <w:sz w:val="24"/>
        </w:rPr>
        <w:t>60%</w:t>
      </w:r>
      <w:r>
        <w:rPr>
          <w:rFonts w:hint="eastAsia"/>
          <w:sz w:val="24"/>
        </w:rPr>
        <w:t>和</w:t>
      </w:r>
      <w:r>
        <w:rPr>
          <w:sz w:val="24"/>
        </w:rPr>
        <w:t>80%</w:t>
      </w:r>
      <w:r>
        <w:rPr>
          <w:rFonts w:hint="eastAsia"/>
          <w:sz w:val="24"/>
        </w:rPr>
        <w:t>累计产量</w:t>
      </w:r>
      <w:proofErr w:type="gramStart"/>
      <w:r>
        <w:rPr>
          <w:rFonts w:hint="eastAsia"/>
          <w:sz w:val="24"/>
        </w:rPr>
        <w:t>处企业</w:t>
      </w:r>
      <w:proofErr w:type="gramEnd"/>
      <w:r>
        <w:rPr>
          <w:rFonts w:hint="eastAsia"/>
          <w:sz w:val="24"/>
        </w:rPr>
        <w:t>的排放强度作为水泥熟料单位产品碳排放</w:t>
      </w:r>
      <w:r w:rsidR="003F536B">
        <w:rPr>
          <w:sz w:val="24"/>
        </w:rPr>
        <w:t>先进值</w:t>
      </w:r>
      <w:r w:rsidR="003F536B">
        <w:rPr>
          <w:rFonts w:hint="eastAsia"/>
          <w:sz w:val="24"/>
        </w:rPr>
        <w:t>、</w:t>
      </w:r>
      <w:r w:rsidR="003F536B">
        <w:rPr>
          <w:sz w:val="24"/>
        </w:rPr>
        <w:t>准入值</w:t>
      </w:r>
      <w:r w:rsidR="003F536B">
        <w:rPr>
          <w:rFonts w:hint="eastAsia"/>
          <w:sz w:val="24"/>
        </w:rPr>
        <w:t>和</w:t>
      </w:r>
      <w:r w:rsidR="003F536B">
        <w:rPr>
          <w:sz w:val="24"/>
        </w:rPr>
        <w:t>限定值</w:t>
      </w:r>
      <w:r>
        <w:rPr>
          <w:rFonts w:hint="eastAsia"/>
          <w:sz w:val="24"/>
        </w:rPr>
        <w:t>的初始值；</w:t>
      </w:r>
    </w:p>
    <w:p w:rsidR="0010425E" w:rsidRDefault="0010425E" w:rsidP="0010425E">
      <w:pPr>
        <w:numPr>
          <w:ilvl w:val="0"/>
          <w:numId w:val="17"/>
        </w:numPr>
        <w:spacing w:line="360" w:lineRule="auto"/>
        <w:ind w:left="840"/>
        <w:rPr>
          <w:sz w:val="24"/>
        </w:rPr>
      </w:pPr>
      <w:r>
        <w:rPr>
          <w:rFonts w:hint="eastAsia"/>
          <w:sz w:val="24"/>
        </w:rPr>
        <w:t>对</w:t>
      </w:r>
      <w:r w:rsidR="003F536B">
        <w:rPr>
          <w:sz w:val="24"/>
        </w:rPr>
        <w:t>先进值</w:t>
      </w:r>
      <w:r w:rsidR="003F536B">
        <w:rPr>
          <w:rFonts w:hint="eastAsia"/>
          <w:sz w:val="24"/>
        </w:rPr>
        <w:t>、</w:t>
      </w:r>
      <w:r w:rsidR="003F536B">
        <w:rPr>
          <w:sz w:val="24"/>
        </w:rPr>
        <w:t>准入值</w:t>
      </w:r>
      <w:r w:rsidR="003F536B">
        <w:rPr>
          <w:rFonts w:hint="eastAsia"/>
          <w:sz w:val="24"/>
        </w:rPr>
        <w:t>和</w:t>
      </w:r>
      <w:r w:rsidR="003F536B">
        <w:rPr>
          <w:sz w:val="24"/>
        </w:rPr>
        <w:t>限定值</w:t>
      </w:r>
      <w:r>
        <w:rPr>
          <w:rFonts w:hint="eastAsia"/>
          <w:sz w:val="24"/>
        </w:rPr>
        <w:t>进行修正。由于收集到的原始样本未考虑到烟煤低位发热量取值方式、海拔及区域电网排放因子的影响，因此，依据行业大数据样本计算的</w:t>
      </w:r>
      <w:r w:rsidR="003F536B">
        <w:rPr>
          <w:sz w:val="24"/>
        </w:rPr>
        <w:t>先进值</w:t>
      </w:r>
      <w:r w:rsidR="003F536B">
        <w:rPr>
          <w:rFonts w:hint="eastAsia"/>
          <w:sz w:val="24"/>
        </w:rPr>
        <w:t>、</w:t>
      </w:r>
      <w:r w:rsidR="003F536B">
        <w:rPr>
          <w:sz w:val="24"/>
        </w:rPr>
        <w:t>准入值</w:t>
      </w:r>
      <w:r w:rsidR="003F536B">
        <w:rPr>
          <w:rFonts w:hint="eastAsia"/>
          <w:sz w:val="24"/>
        </w:rPr>
        <w:t>和</w:t>
      </w:r>
      <w:r w:rsidR="003F536B">
        <w:rPr>
          <w:sz w:val="24"/>
        </w:rPr>
        <w:t>限定值</w:t>
      </w:r>
      <w:r>
        <w:rPr>
          <w:rFonts w:hint="eastAsia"/>
          <w:sz w:val="24"/>
        </w:rPr>
        <w:t>需乘一定的因子进行修正。具体修正因子见表</w:t>
      </w:r>
      <w:r>
        <w:rPr>
          <w:sz w:val="24"/>
        </w:rPr>
        <w:t>1</w:t>
      </w:r>
      <w:r>
        <w:rPr>
          <w:rFonts w:hint="eastAsia"/>
          <w:sz w:val="24"/>
        </w:rPr>
        <w:t>。</w:t>
      </w:r>
    </w:p>
    <w:p w:rsidR="0010425E" w:rsidRDefault="0010425E" w:rsidP="0010425E">
      <w:pPr>
        <w:spacing w:line="360" w:lineRule="auto"/>
        <w:jc w:val="center"/>
        <w:rPr>
          <w:rFonts w:hAnsi="宋体"/>
          <w:szCs w:val="21"/>
        </w:rPr>
      </w:pPr>
      <w:bookmarkStart w:id="10" w:name="_Ref486334131"/>
      <w:bookmarkStart w:id="11" w:name="_Toc486496533"/>
      <w:r>
        <w:rPr>
          <w:rFonts w:hAnsi="宋体" w:hint="eastAsia"/>
          <w:szCs w:val="21"/>
        </w:rPr>
        <w:t>表</w:t>
      </w:r>
      <w:r>
        <w:rPr>
          <w:rFonts w:hAnsi="宋体"/>
          <w:szCs w:val="21"/>
        </w:rPr>
        <w:t xml:space="preserve"> </w:t>
      </w:r>
      <w:bookmarkEnd w:id="10"/>
      <w:r>
        <w:rPr>
          <w:rFonts w:hAnsi="宋体"/>
          <w:szCs w:val="21"/>
        </w:rPr>
        <w:t xml:space="preserve">1  </w:t>
      </w:r>
      <w:r>
        <w:rPr>
          <w:rFonts w:hAnsi="宋体" w:hint="eastAsia"/>
          <w:szCs w:val="21"/>
        </w:rPr>
        <w:t>修正因子</w:t>
      </w:r>
      <w:bookmarkEnd w:id="11"/>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2083"/>
        <w:gridCol w:w="3686"/>
        <w:gridCol w:w="2693"/>
      </w:tblGrid>
      <w:tr w:rsidR="0010425E" w:rsidTr="0010425E">
        <w:trPr>
          <w:trHeight w:val="397"/>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序号</w:t>
            </w:r>
          </w:p>
        </w:tc>
        <w:tc>
          <w:tcPr>
            <w:tcW w:w="208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影响因素</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碳排放强度影响比率</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修正因子</w:t>
            </w:r>
          </w:p>
        </w:tc>
      </w:tr>
      <w:tr w:rsidR="0010425E" w:rsidTr="0010425E">
        <w:trPr>
          <w:trHeight w:val="397"/>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08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烟煤的低位发热量</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rPr>
                <w:rFonts w:ascii="Times New Roman" w:hAnsi="Times New Roman" w:cs="Times New Roman"/>
                <w:sz w:val="21"/>
                <w:szCs w:val="21"/>
              </w:rPr>
            </w:pPr>
            <w:r>
              <w:rPr>
                <w:rFonts w:ascii="Times New Roman" w:cs="Times New Roman" w:hint="eastAsia"/>
                <w:sz w:val="21"/>
                <w:szCs w:val="21"/>
              </w:rPr>
              <w:t>烟煤的实测值约</w:t>
            </w:r>
            <w:r>
              <w:rPr>
                <w:rFonts w:ascii="Times New Roman" w:cs="Times New Roman"/>
                <w:sz w:val="21"/>
                <w:szCs w:val="21"/>
              </w:rPr>
              <w:t>23 GJ/t</w:t>
            </w:r>
            <w:r>
              <w:rPr>
                <w:rFonts w:ascii="Times New Roman" w:cs="Times New Roman" w:hint="eastAsia"/>
                <w:sz w:val="21"/>
                <w:szCs w:val="21"/>
              </w:rPr>
              <w:t>，选用默认值</w:t>
            </w:r>
            <w:r>
              <w:rPr>
                <w:rFonts w:ascii="Times New Roman" w:cs="Times New Roman"/>
                <w:sz w:val="21"/>
                <w:szCs w:val="21"/>
              </w:rPr>
              <w:t>19.57</w:t>
            </w:r>
            <w:r>
              <w:rPr>
                <w:rFonts w:ascii="Times New Roman" w:hAnsi="Times New Roman" w:cs="Times New Roman"/>
                <w:sz w:val="21"/>
                <w:szCs w:val="21"/>
              </w:rPr>
              <w:t xml:space="preserve"> </w:t>
            </w:r>
            <w:r>
              <w:rPr>
                <w:rFonts w:ascii="Times New Roman" w:cs="Times New Roman"/>
                <w:sz w:val="21"/>
                <w:szCs w:val="21"/>
              </w:rPr>
              <w:t>GJ/t</w:t>
            </w:r>
            <w:r>
              <w:rPr>
                <w:rFonts w:ascii="Times New Roman" w:cs="Times New Roman" w:hint="eastAsia"/>
                <w:sz w:val="21"/>
                <w:szCs w:val="21"/>
              </w:rPr>
              <w:t>，对排放强度的</w:t>
            </w:r>
            <w:proofErr w:type="gramStart"/>
            <w:r>
              <w:rPr>
                <w:rFonts w:ascii="Times New Roman" w:cs="Times New Roman" w:hint="eastAsia"/>
                <w:sz w:val="21"/>
                <w:szCs w:val="21"/>
              </w:rPr>
              <w:t>影响约</w:t>
            </w:r>
            <w:proofErr w:type="gramEnd"/>
            <w:r>
              <w:rPr>
                <w:rFonts w:ascii="Times New Roman" w:hAnsi="Times New Roman" w:cs="Times New Roman"/>
                <w:sz w:val="21"/>
                <w:szCs w:val="21"/>
              </w:rPr>
              <w:t>4.5%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rPr>
                <w:rFonts w:ascii="Times New Roman" w:hAnsi="Times New Roman" w:cs="Times New Roman"/>
                <w:sz w:val="21"/>
                <w:szCs w:val="21"/>
              </w:rPr>
            </w:pPr>
            <w:r>
              <w:rPr>
                <w:rFonts w:ascii="Times New Roman" w:cs="Times New Roman" w:hint="eastAsia"/>
                <w:sz w:val="21"/>
                <w:szCs w:val="21"/>
              </w:rPr>
              <w:t>约</w:t>
            </w:r>
            <w:r>
              <w:rPr>
                <w:rFonts w:ascii="Times New Roman" w:hAnsi="Times New Roman" w:cs="Times New Roman"/>
                <w:sz w:val="21"/>
                <w:szCs w:val="21"/>
              </w:rPr>
              <w:t>1/5</w:t>
            </w:r>
            <w:r>
              <w:rPr>
                <w:rFonts w:ascii="Times New Roman" w:cs="Times New Roman" w:hint="eastAsia"/>
                <w:sz w:val="21"/>
                <w:szCs w:val="21"/>
              </w:rPr>
              <w:t>企业采用默认值，修正因子</w:t>
            </w:r>
            <w:r>
              <w:rPr>
                <w:rFonts w:ascii="Times New Roman" w:hAnsi="Times New Roman" w:cs="Times New Roman"/>
                <w:sz w:val="21"/>
                <w:szCs w:val="21"/>
              </w:rPr>
              <w:t>↑0.9%</w:t>
            </w:r>
          </w:p>
        </w:tc>
      </w:tr>
      <w:tr w:rsidR="0010425E" w:rsidTr="0010425E">
        <w:trPr>
          <w:trHeight w:val="397"/>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08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地域、海拔</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rPr>
                <w:rFonts w:ascii="Times New Roman" w:hAnsi="Times New Roman" w:cs="Times New Roman"/>
                <w:sz w:val="21"/>
                <w:szCs w:val="21"/>
              </w:rPr>
            </w:pPr>
            <w:r>
              <w:rPr>
                <w:rFonts w:ascii="Times New Roman" w:cs="Times New Roman" w:hint="eastAsia"/>
                <w:sz w:val="21"/>
                <w:szCs w:val="21"/>
              </w:rPr>
              <w:t>经测算云南、西藏、甘肃等高海拔地区</w:t>
            </w:r>
            <w:r>
              <w:rPr>
                <w:rFonts w:ascii="Times New Roman" w:cs="Times New Roman"/>
                <w:sz w:val="21"/>
                <w:szCs w:val="21"/>
              </w:rPr>
              <w:t>118</w:t>
            </w:r>
            <w:r>
              <w:rPr>
                <w:rFonts w:ascii="Times New Roman" w:cs="Times New Roman" w:hint="eastAsia"/>
                <w:sz w:val="21"/>
                <w:szCs w:val="21"/>
              </w:rPr>
              <w:t>个样本的加权平均碳排放强度比全行业加权平均的强度高约</w:t>
            </w:r>
            <w:r>
              <w:rPr>
                <w:rFonts w:ascii="Times New Roman" w:cs="Times New Roman"/>
                <w:sz w:val="21"/>
                <w:szCs w:val="21"/>
              </w:rPr>
              <w:t>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rPr>
                <w:rFonts w:ascii="Times New Roman" w:hAnsi="Times New Roman" w:cs="Times New Roman"/>
                <w:sz w:val="21"/>
                <w:szCs w:val="21"/>
              </w:rPr>
            </w:pPr>
            <w:r>
              <w:rPr>
                <w:rFonts w:ascii="Times New Roman" w:cs="Times New Roman" w:hint="eastAsia"/>
                <w:sz w:val="21"/>
                <w:szCs w:val="21"/>
              </w:rPr>
              <w:t>约</w:t>
            </w:r>
            <w:r>
              <w:rPr>
                <w:rFonts w:ascii="Times New Roman" w:hAnsi="Times New Roman" w:cs="Times New Roman"/>
                <w:sz w:val="21"/>
                <w:szCs w:val="21"/>
              </w:rPr>
              <w:t>10%</w:t>
            </w:r>
            <w:r>
              <w:rPr>
                <w:rFonts w:ascii="Times New Roman" w:cs="Times New Roman" w:hint="eastAsia"/>
                <w:sz w:val="21"/>
                <w:szCs w:val="21"/>
              </w:rPr>
              <w:t>的水泥企业处于高海拔地区，修正因子</w:t>
            </w:r>
            <w:r>
              <w:rPr>
                <w:rFonts w:ascii="Times New Roman" w:hAnsi="Times New Roman" w:cs="Times New Roman"/>
                <w:sz w:val="21"/>
                <w:szCs w:val="21"/>
              </w:rPr>
              <w:t>↓0.3%</w:t>
            </w:r>
          </w:p>
        </w:tc>
      </w:tr>
      <w:tr w:rsidR="0010425E" w:rsidTr="0010425E">
        <w:trPr>
          <w:trHeight w:val="397"/>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08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电力电网排放因子</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rPr>
                <w:rFonts w:ascii="Times New Roman" w:hAnsi="Times New Roman" w:cs="Times New Roman"/>
                <w:sz w:val="21"/>
                <w:szCs w:val="21"/>
              </w:rPr>
            </w:pPr>
            <w:r>
              <w:rPr>
                <w:rFonts w:ascii="Times New Roman" w:cs="Times New Roman" w:hint="eastAsia"/>
                <w:sz w:val="21"/>
                <w:szCs w:val="21"/>
              </w:rPr>
              <w:t>最新公布的全国电力排放因子为</w:t>
            </w:r>
            <w:r>
              <w:rPr>
                <w:rFonts w:ascii="Times New Roman" w:hAnsi="Times New Roman" w:cs="Times New Roman"/>
                <w:sz w:val="21"/>
                <w:szCs w:val="21"/>
              </w:rPr>
              <w:t>0.6101 tCO</w:t>
            </w:r>
            <w:r>
              <w:rPr>
                <w:rFonts w:ascii="Times New Roman" w:hAnsi="Times New Roman" w:cs="Times New Roman"/>
                <w:sz w:val="21"/>
                <w:szCs w:val="21"/>
                <w:vertAlign w:val="subscript"/>
              </w:rPr>
              <w:t>2</w:t>
            </w:r>
            <w:r>
              <w:rPr>
                <w:rFonts w:ascii="Times New Roman" w:hAnsi="Times New Roman" w:cs="Times New Roman"/>
                <w:sz w:val="21"/>
                <w:szCs w:val="21"/>
              </w:rPr>
              <w:t>/MWh</w:t>
            </w:r>
            <w:r>
              <w:rPr>
                <w:rFonts w:ascii="Times New Roman" w:cs="Times New Roman" w:hint="eastAsia"/>
                <w:sz w:val="21"/>
                <w:szCs w:val="21"/>
              </w:rPr>
              <w:t>，而水泥熟料生产企业用电量折算的加权排放因子为</w:t>
            </w:r>
            <w:r>
              <w:rPr>
                <w:rFonts w:ascii="Times New Roman" w:hAnsi="Times New Roman" w:cs="Times New Roman"/>
                <w:sz w:val="21"/>
                <w:szCs w:val="21"/>
              </w:rPr>
              <w:t>0.6564 tCO</w:t>
            </w:r>
            <w:r>
              <w:rPr>
                <w:rFonts w:ascii="Times New Roman" w:hAnsi="Times New Roman" w:cs="Times New Roman"/>
                <w:sz w:val="21"/>
                <w:szCs w:val="21"/>
                <w:vertAlign w:val="subscript"/>
              </w:rPr>
              <w:t>2</w:t>
            </w:r>
            <w:r>
              <w:rPr>
                <w:rFonts w:ascii="Times New Roman" w:hAnsi="Times New Roman" w:cs="Times New Roman"/>
                <w:sz w:val="21"/>
                <w:szCs w:val="21"/>
              </w:rPr>
              <w:t>/MWh</w:t>
            </w:r>
            <w:r>
              <w:rPr>
                <w:rFonts w:ascii="Times New Roman" w:cs="Times New Roman" w:hint="eastAsia"/>
                <w:sz w:val="21"/>
                <w:szCs w:val="21"/>
              </w:rPr>
              <w:t>，对消耗电力碳排放量的影响为</w:t>
            </w:r>
            <w:r>
              <w:rPr>
                <w:rFonts w:ascii="Times New Roman" w:hAnsi="Times New Roman" w:cs="Times New Roman"/>
                <w:sz w:val="21"/>
                <w:szCs w:val="21"/>
              </w:rPr>
              <w:t>7.59%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rPr>
                <w:rFonts w:ascii="Times New Roman" w:hAnsi="Times New Roman" w:cs="Times New Roman"/>
                <w:sz w:val="21"/>
                <w:szCs w:val="21"/>
              </w:rPr>
            </w:pPr>
            <w:r>
              <w:rPr>
                <w:rFonts w:ascii="Times New Roman" w:cs="Times New Roman" w:hint="eastAsia"/>
                <w:sz w:val="21"/>
                <w:szCs w:val="21"/>
              </w:rPr>
              <w:t>按电力排放占</w:t>
            </w:r>
            <w:r>
              <w:rPr>
                <w:rFonts w:ascii="Times New Roman" w:hAnsi="Times New Roman" w:cs="Times New Roman"/>
                <w:sz w:val="21"/>
                <w:szCs w:val="21"/>
              </w:rPr>
              <w:t>6%</w:t>
            </w:r>
            <w:r>
              <w:rPr>
                <w:rFonts w:ascii="Times New Roman" w:cs="Times New Roman" w:hint="eastAsia"/>
                <w:sz w:val="21"/>
                <w:szCs w:val="21"/>
              </w:rPr>
              <w:t>计，修正因子</w:t>
            </w:r>
            <w:r>
              <w:rPr>
                <w:rFonts w:ascii="Times New Roman" w:hAnsi="Times New Roman" w:cs="Times New Roman"/>
                <w:sz w:val="21"/>
                <w:szCs w:val="21"/>
              </w:rPr>
              <w:t>↓0.46%</w:t>
            </w:r>
          </w:p>
        </w:tc>
      </w:tr>
      <w:tr w:rsidR="0010425E" w:rsidTr="0010425E">
        <w:trPr>
          <w:trHeight w:val="397"/>
          <w:jc w:val="center"/>
        </w:trPr>
        <w:tc>
          <w:tcPr>
            <w:tcW w:w="6504" w:type="dxa"/>
            <w:gridSpan w:val="3"/>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cs="Times New Roman" w:hint="eastAsia"/>
                <w:sz w:val="21"/>
                <w:szCs w:val="21"/>
              </w:rPr>
              <w:t>修正因子合计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0425E" w:rsidRDefault="0010425E">
            <w:pPr>
              <w:pStyle w:val="af0"/>
              <w:spacing w:line="360" w:lineRule="auto"/>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cs="Times New Roman"/>
                <w:sz w:val="21"/>
                <w:szCs w:val="21"/>
              </w:rPr>
              <w:t>0.14</w:t>
            </w:r>
            <w:r>
              <w:rPr>
                <w:rFonts w:ascii="Times New Roman" w:hAnsi="Times New Roman" w:cs="Times New Roman"/>
                <w:sz w:val="21"/>
                <w:szCs w:val="21"/>
              </w:rPr>
              <w:t>%</w:t>
            </w:r>
          </w:p>
        </w:tc>
      </w:tr>
    </w:tbl>
    <w:p w:rsidR="003D397B" w:rsidRDefault="003D397B" w:rsidP="0010425E">
      <w:pPr>
        <w:spacing w:line="360" w:lineRule="auto"/>
        <w:ind w:firstLineChars="200" w:firstLine="480"/>
        <w:rPr>
          <w:sz w:val="24"/>
        </w:rPr>
      </w:pPr>
    </w:p>
    <w:p w:rsidR="0010425E" w:rsidRDefault="0010425E" w:rsidP="0010425E">
      <w:pPr>
        <w:spacing w:line="360" w:lineRule="auto"/>
        <w:ind w:firstLineChars="200" w:firstLine="480"/>
        <w:rPr>
          <w:sz w:val="24"/>
        </w:rPr>
      </w:pPr>
      <w:r>
        <w:rPr>
          <w:rFonts w:hint="eastAsia"/>
          <w:sz w:val="24"/>
        </w:rPr>
        <w:t>（</w:t>
      </w:r>
      <w:r>
        <w:rPr>
          <w:sz w:val="24"/>
        </w:rPr>
        <w:t>2</w:t>
      </w:r>
      <w:r>
        <w:rPr>
          <w:rFonts w:hint="eastAsia"/>
          <w:sz w:val="24"/>
        </w:rPr>
        <w:t>）基于能耗数据计算得出的碳排放限额</w:t>
      </w:r>
      <w:r w:rsidR="003F536B">
        <w:rPr>
          <w:rFonts w:hint="eastAsia"/>
          <w:sz w:val="24"/>
        </w:rPr>
        <w:t>指标</w:t>
      </w:r>
    </w:p>
    <w:p w:rsidR="0010425E" w:rsidRDefault="0010425E" w:rsidP="0010425E">
      <w:pPr>
        <w:numPr>
          <w:ilvl w:val="0"/>
          <w:numId w:val="18"/>
        </w:numPr>
        <w:spacing w:line="360" w:lineRule="auto"/>
        <w:ind w:left="840"/>
        <w:rPr>
          <w:sz w:val="24"/>
        </w:rPr>
      </w:pPr>
      <w:r>
        <w:rPr>
          <w:rFonts w:hint="eastAsia"/>
          <w:sz w:val="24"/>
        </w:rPr>
        <w:t>由生料制备至熟料烧成工段电耗和煤耗值，折算熟料阶段化石燃料燃烧和消耗电力对应的碳排放强度。其中化石燃料对应的低位发热量、碳氧化率和单位热值含碳量取标准中附录</w:t>
      </w:r>
      <w:r>
        <w:rPr>
          <w:sz w:val="24"/>
        </w:rPr>
        <w:t>A</w:t>
      </w:r>
      <w:r>
        <w:rPr>
          <w:rFonts w:hint="eastAsia"/>
          <w:sz w:val="24"/>
        </w:rPr>
        <w:t>给出的推荐值，电力排放因子</w:t>
      </w:r>
      <w:proofErr w:type="gramStart"/>
      <w:r>
        <w:rPr>
          <w:rFonts w:hint="eastAsia"/>
          <w:sz w:val="24"/>
        </w:rPr>
        <w:t>取最新</w:t>
      </w:r>
      <w:proofErr w:type="gramEnd"/>
      <w:r>
        <w:rPr>
          <w:rFonts w:hint="eastAsia"/>
          <w:sz w:val="24"/>
        </w:rPr>
        <w:t>公布的全国电力排放因子</w:t>
      </w:r>
      <w:r>
        <w:rPr>
          <w:sz w:val="24"/>
        </w:rPr>
        <w:t>0.6101 tCO</w:t>
      </w:r>
      <w:r>
        <w:rPr>
          <w:sz w:val="24"/>
          <w:vertAlign w:val="subscript"/>
        </w:rPr>
        <w:t>2</w:t>
      </w:r>
      <w:r>
        <w:rPr>
          <w:sz w:val="24"/>
        </w:rPr>
        <w:t>/MWh</w:t>
      </w:r>
      <w:r>
        <w:rPr>
          <w:rFonts w:hint="eastAsia"/>
          <w:sz w:val="24"/>
        </w:rPr>
        <w:t>；</w:t>
      </w:r>
    </w:p>
    <w:p w:rsidR="0010425E" w:rsidRDefault="0010425E" w:rsidP="0010425E">
      <w:pPr>
        <w:numPr>
          <w:ilvl w:val="0"/>
          <w:numId w:val="18"/>
        </w:numPr>
        <w:spacing w:line="360" w:lineRule="auto"/>
        <w:ind w:left="840"/>
        <w:rPr>
          <w:sz w:val="24"/>
        </w:rPr>
      </w:pPr>
      <w:r>
        <w:rPr>
          <w:rFonts w:hint="eastAsia"/>
          <w:sz w:val="24"/>
        </w:rPr>
        <w:t>采用三率值法估算熟料烧成工段碳酸盐分解的碳排放</w:t>
      </w:r>
      <w:r w:rsidR="003F536B">
        <w:rPr>
          <w:rFonts w:hint="eastAsia"/>
          <w:sz w:val="24"/>
        </w:rPr>
        <w:t>限额指标</w:t>
      </w:r>
      <w:r>
        <w:rPr>
          <w:rFonts w:hint="eastAsia"/>
          <w:sz w:val="24"/>
        </w:rPr>
        <w:t>；</w:t>
      </w:r>
    </w:p>
    <w:p w:rsidR="0010425E" w:rsidRDefault="0010425E" w:rsidP="0010425E">
      <w:pPr>
        <w:numPr>
          <w:ilvl w:val="0"/>
          <w:numId w:val="18"/>
        </w:numPr>
        <w:spacing w:line="360" w:lineRule="auto"/>
        <w:ind w:left="840"/>
        <w:rPr>
          <w:sz w:val="24"/>
        </w:rPr>
      </w:pPr>
      <w:r>
        <w:rPr>
          <w:rFonts w:hint="eastAsia"/>
          <w:sz w:val="24"/>
        </w:rPr>
        <w:t>化石燃料燃烧和消耗电力对应的碳排放</w:t>
      </w:r>
      <w:r w:rsidR="003F536B">
        <w:rPr>
          <w:rFonts w:hint="eastAsia"/>
          <w:sz w:val="24"/>
        </w:rPr>
        <w:t>限额指标</w:t>
      </w:r>
      <w:r>
        <w:rPr>
          <w:rFonts w:hint="eastAsia"/>
          <w:sz w:val="24"/>
        </w:rPr>
        <w:t>与碳酸盐分解的碳排放</w:t>
      </w:r>
      <w:r w:rsidR="003F536B">
        <w:rPr>
          <w:rFonts w:hint="eastAsia"/>
          <w:sz w:val="24"/>
        </w:rPr>
        <w:t>限额指标</w:t>
      </w:r>
      <w:r>
        <w:rPr>
          <w:rFonts w:hint="eastAsia"/>
          <w:sz w:val="24"/>
        </w:rPr>
        <w:t>加和，计算得到基于能耗反推的熟料单位产品碳排放</w:t>
      </w:r>
      <w:r w:rsidR="003F536B">
        <w:rPr>
          <w:rFonts w:hint="eastAsia"/>
          <w:sz w:val="24"/>
        </w:rPr>
        <w:t>限额指标</w:t>
      </w:r>
      <w:r>
        <w:rPr>
          <w:rFonts w:hint="eastAsia"/>
          <w:sz w:val="24"/>
        </w:rPr>
        <w:t>。</w:t>
      </w:r>
    </w:p>
    <w:p w:rsidR="0010425E" w:rsidRDefault="0010425E" w:rsidP="0010425E">
      <w:pPr>
        <w:spacing w:line="360" w:lineRule="auto"/>
        <w:ind w:firstLineChars="200" w:firstLine="480"/>
        <w:rPr>
          <w:sz w:val="24"/>
        </w:rPr>
      </w:pPr>
      <w:r>
        <w:rPr>
          <w:rFonts w:hint="eastAsia"/>
          <w:sz w:val="24"/>
        </w:rPr>
        <w:t>（</w:t>
      </w:r>
      <w:r>
        <w:rPr>
          <w:sz w:val="24"/>
        </w:rPr>
        <w:t>3</w:t>
      </w:r>
      <w:r>
        <w:rPr>
          <w:rFonts w:hint="eastAsia"/>
          <w:sz w:val="24"/>
        </w:rPr>
        <w:t>）基于行业近</w:t>
      </w:r>
      <w:r>
        <w:rPr>
          <w:sz w:val="24"/>
        </w:rPr>
        <w:t>700</w:t>
      </w:r>
      <w:r>
        <w:rPr>
          <w:rFonts w:hint="eastAsia"/>
          <w:sz w:val="24"/>
        </w:rPr>
        <w:t>家水泥熟料生产企业</w:t>
      </w:r>
      <w:r>
        <w:rPr>
          <w:sz w:val="24"/>
        </w:rPr>
        <w:t>2016-2017</w:t>
      </w:r>
      <w:r>
        <w:rPr>
          <w:rFonts w:hint="eastAsia"/>
          <w:sz w:val="24"/>
        </w:rPr>
        <w:t>年历史排放数据</w:t>
      </w:r>
    </w:p>
    <w:p w:rsidR="0010425E" w:rsidRDefault="0010425E" w:rsidP="0010425E">
      <w:pPr>
        <w:numPr>
          <w:ilvl w:val="0"/>
          <w:numId w:val="19"/>
        </w:numPr>
        <w:spacing w:line="360" w:lineRule="auto"/>
        <w:rPr>
          <w:sz w:val="24"/>
        </w:rPr>
      </w:pPr>
      <w:r>
        <w:rPr>
          <w:rFonts w:hint="eastAsia"/>
          <w:sz w:val="24"/>
        </w:rPr>
        <w:t>从</w:t>
      </w:r>
      <w:r>
        <w:rPr>
          <w:sz w:val="24"/>
        </w:rPr>
        <w:t>656</w:t>
      </w:r>
      <w:r>
        <w:rPr>
          <w:rFonts w:hint="eastAsia"/>
          <w:sz w:val="24"/>
        </w:rPr>
        <w:t>家水泥企业（</w:t>
      </w:r>
      <w:r>
        <w:rPr>
          <w:sz w:val="24"/>
        </w:rPr>
        <w:t>858</w:t>
      </w:r>
      <w:r>
        <w:rPr>
          <w:rFonts w:hint="eastAsia"/>
          <w:sz w:val="24"/>
        </w:rPr>
        <w:t>条生产线）中筛选出</w:t>
      </w:r>
      <w:r>
        <w:rPr>
          <w:sz w:val="24"/>
        </w:rPr>
        <w:t>810</w:t>
      </w:r>
      <w:r>
        <w:rPr>
          <w:rFonts w:hint="eastAsia"/>
          <w:sz w:val="24"/>
        </w:rPr>
        <w:t>个有效数据，</w:t>
      </w:r>
      <w:r>
        <w:rPr>
          <w:sz w:val="24"/>
        </w:rPr>
        <w:t>2017</w:t>
      </w:r>
      <w:r>
        <w:rPr>
          <w:rFonts w:hint="eastAsia"/>
          <w:sz w:val="24"/>
        </w:rPr>
        <w:t>年累计熟料产量</w:t>
      </w:r>
      <w:r>
        <w:rPr>
          <w:sz w:val="24"/>
        </w:rPr>
        <w:t>8.3</w:t>
      </w:r>
      <w:r>
        <w:rPr>
          <w:rFonts w:hint="eastAsia"/>
          <w:sz w:val="24"/>
        </w:rPr>
        <w:t>亿吨，占水泥熟料年总产量的</w:t>
      </w:r>
      <w:r>
        <w:rPr>
          <w:sz w:val="24"/>
        </w:rPr>
        <w:t>70%</w:t>
      </w:r>
      <w:r>
        <w:rPr>
          <w:rFonts w:hint="eastAsia"/>
          <w:sz w:val="24"/>
        </w:rPr>
        <w:t>；</w:t>
      </w:r>
    </w:p>
    <w:p w:rsidR="0010425E" w:rsidRDefault="0010425E" w:rsidP="0010425E">
      <w:pPr>
        <w:numPr>
          <w:ilvl w:val="0"/>
          <w:numId w:val="19"/>
        </w:numPr>
        <w:spacing w:line="360" w:lineRule="auto"/>
        <w:ind w:left="840"/>
        <w:rPr>
          <w:sz w:val="24"/>
        </w:rPr>
      </w:pPr>
      <w:r>
        <w:rPr>
          <w:rFonts w:hint="eastAsia"/>
          <w:sz w:val="24"/>
        </w:rPr>
        <w:lastRenderedPageBreak/>
        <w:t>按碳排放强度由低到高的顺序排序；</w:t>
      </w:r>
    </w:p>
    <w:p w:rsidR="0010425E" w:rsidRDefault="0010425E" w:rsidP="0010425E">
      <w:pPr>
        <w:numPr>
          <w:ilvl w:val="0"/>
          <w:numId w:val="19"/>
        </w:numPr>
        <w:spacing w:line="360" w:lineRule="auto"/>
        <w:ind w:left="840"/>
        <w:rPr>
          <w:sz w:val="24"/>
        </w:rPr>
      </w:pPr>
      <w:r>
        <w:rPr>
          <w:rFonts w:hint="eastAsia"/>
          <w:sz w:val="24"/>
        </w:rPr>
        <w:t>将熟料产量进行累加，并将前</w:t>
      </w:r>
      <w:r>
        <w:rPr>
          <w:sz w:val="24"/>
        </w:rPr>
        <w:t>30%</w:t>
      </w:r>
      <w:r>
        <w:rPr>
          <w:rFonts w:hint="eastAsia"/>
          <w:sz w:val="24"/>
        </w:rPr>
        <w:t>、</w:t>
      </w:r>
      <w:r>
        <w:rPr>
          <w:sz w:val="24"/>
        </w:rPr>
        <w:t>60%</w:t>
      </w:r>
      <w:r>
        <w:rPr>
          <w:rFonts w:hint="eastAsia"/>
          <w:sz w:val="24"/>
        </w:rPr>
        <w:t>和</w:t>
      </w:r>
      <w:r>
        <w:rPr>
          <w:sz w:val="24"/>
        </w:rPr>
        <w:t>80%</w:t>
      </w:r>
      <w:r>
        <w:rPr>
          <w:rFonts w:hint="eastAsia"/>
          <w:sz w:val="24"/>
        </w:rPr>
        <w:t>累计产量</w:t>
      </w:r>
      <w:proofErr w:type="gramStart"/>
      <w:r>
        <w:rPr>
          <w:rFonts w:hint="eastAsia"/>
          <w:sz w:val="24"/>
        </w:rPr>
        <w:t>处企业</w:t>
      </w:r>
      <w:proofErr w:type="gramEnd"/>
      <w:r>
        <w:rPr>
          <w:rFonts w:hint="eastAsia"/>
          <w:sz w:val="24"/>
        </w:rPr>
        <w:t>的排放强度作为水泥熟料单位产品碳排放</w:t>
      </w:r>
      <w:r w:rsidR="003F536B">
        <w:rPr>
          <w:sz w:val="24"/>
        </w:rPr>
        <w:t>先进值</w:t>
      </w:r>
      <w:r w:rsidR="003F536B">
        <w:rPr>
          <w:rFonts w:hint="eastAsia"/>
          <w:sz w:val="24"/>
        </w:rPr>
        <w:t>、</w:t>
      </w:r>
      <w:r w:rsidR="003F536B">
        <w:rPr>
          <w:sz w:val="24"/>
        </w:rPr>
        <w:t>准入值</w:t>
      </w:r>
      <w:r w:rsidR="003F536B">
        <w:rPr>
          <w:rFonts w:hint="eastAsia"/>
          <w:sz w:val="24"/>
        </w:rPr>
        <w:t>和</w:t>
      </w:r>
      <w:r w:rsidR="003F536B">
        <w:rPr>
          <w:sz w:val="24"/>
        </w:rPr>
        <w:t>限定值</w:t>
      </w:r>
      <w:r>
        <w:rPr>
          <w:rFonts w:hint="eastAsia"/>
          <w:sz w:val="24"/>
        </w:rPr>
        <w:t>指标。</w:t>
      </w:r>
    </w:p>
    <w:p w:rsidR="0010425E" w:rsidRDefault="003F536B" w:rsidP="0010425E">
      <w:pPr>
        <w:spacing w:line="360" w:lineRule="auto"/>
        <w:ind w:firstLineChars="200" w:firstLine="480"/>
        <w:rPr>
          <w:sz w:val="24"/>
        </w:rPr>
      </w:pPr>
      <w:r>
        <w:rPr>
          <w:rFonts w:hint="eastAsia"/>
          <w:sz w:val="24"/>
        </w:rPr>
        <w:t>不同口径</w:t>
      </w:r>
      <w:r>
        <w:rPr>
          <w:sz w:val="24"/>
        </w:rPr>
        <w:t>限额指标的</w:t>
      </w:r>
      <w:r w:rsidR="0010425E">
        <w:rPr>
          <w:rFonts w:hint="eastAsia"/>
          <w:sz w:val="24"/>
        </w:rPr>
        <w:t>对比情况见表</w:t>
      </w:r>
      <w:r w:rsidR="0010425E">
        <w:rPr>
          <w:sz w:val="24"/>
        </w:rPr>
        <w:t>2</w:t>
      </w:r>
      <w:r w:rsidR="0010425E">
        <w:rPr>
          <w:rFonts w:hint="eastAsia"/>
          <w:sz w:val="24"/>
        </w:rPr>
        <w:t>。</w:t>
      </w:r>
    </w:p>
    <w:p w:rsidR="0010425E" w:rsidRDefault="0010425E" w:rsidP="0010425E">
      <w:pPr>
        <w:spacing w:line="360" w:lineRule="auto"/>
        <w:jc w:val="center"/>
        <w:rPr>
          <w:rFonts w:hAnsi="宋体"/>
          <w:szCs w:val="21"/>
        </w:rPr>
      </w:pPr>
      <w:r>
        <w:rPr>
          <w:rFonts w:hAnsi="宋体" w:hint="eastAsia"/>
          <w:szCs w:val="21"/>
        </w:rPr>
        <w:t>表</w:t>
      </w:r>
      <w:r>
        <w:rPr>
          <w:rFonts w:hAnsi="宋体"/>
          <w:szCs w:val="21"/>
        </w:rPr>
        <w:t xml:space="preserve">2  </w:t>
      </w:r>
      <w:r>
        <w:rPr>
          <w:rFonts w:hAnsi="宋体" w:hint="eastAsia"/>
          <w:szCs w:val="21"/>
        </w:rPr>
        <w:t>不同口径的限额</w:t>
      </w:r>
      <w:r w:rsidR="003F536B">
        <w:rPr>
          <w:rFonts w:hAnsi="宋体" w:hint="eastAsia"/>
          <w:szCs w:val="21"/>
        </w:rPr>
        <w:t>指标</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1150"/>
        <w:gridCol w:w="1151"/>
        <w:gridCol w:w="1151"/>
      </w:tblGrid>
      <w:tr w:rsidR="0010425E" w:rsidRPr="00686B61" w:rsidTr="00686B61">
        <w:trPr>
          <w:trHeight w:val="397"/>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rFonts w:hAnsi="Times New Roman"/>
                <w:bCs/>
                <w:szCs w:val="21"/>
              </w:rPr>
            </w:pPr>
            <w:r w:rsidRPr="00686B61">
              <w:rPr>
                <w:rFonts w:hint="eastAsia"/>
                <w:bCs/>
                <w:szCs w:val="21"/>
              </w:rPr>
              <w:t>项目</w:t>
            </w:r>
          </w:p>
        </w:tc>
        <w:tc>
          <w:tcPr>
            <w:tcW w:w="1150"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3F536B">
            <w:pPr>
              <w:jc w:val="center"/>
              <w:rPr>
                <w:bCs/>
                <w:szCs w:val="21"/>
              </w:rPr>
            </w:pPr>
            <w:r w:rsidRPr="00686B61">
              <w:rPr>
                <w:rFonts w:hint="eastAsia"/>
                <w:bCs/>
                <w:szCs w:val="21"/>
              </w:rPr>
              <w:t>先进值</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3F536B">
            <w:pPr>
              <w:jc w:val="center"/>
              <w:rPr>
                <w:bCs/>
                <w:szCs w:val="21"/>
              </w:rPr>
            </w:pPr>
            <w:r w:rsidRPr="00686B61">
              <w:rPr>
                <w:rFonts w:hint="eastAsia"/>
                <w:bCs/>
                <w:szCs w:val="21"/>
              </w:rPr>
              <w:t>准入值</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3F536B">
            <w:pPr>
              <w:jc w:val="center"/>
              <w:rPr>
                <w:bCs/>
                <w:szCs w:val="21"/>
              </w:rPr>
            </w:pPr>
            <w:r w:rsidRPr="00686B61">
              <w:rPr>
                <w:rFonts w:hint="eastAsia"/>
                <w:bCs/>
                <w:szCs w:val="21"/>
              </w:rPr>
              <w:t>限定值</w:t>
            </w:r>
          </w:p>
        </w:tc>
      </w:tr>
      <w:tr w:rsidR="0010425E" w:rsidRPr="00686B61" w:rsidTr="00686B61">
        <w:trPr>
          <w:trHeight w:val="397"/>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color w:val="000000"/>
                <w:szCs w:val="21"/>
              </w:rPr>
            </w:pPr>
            <w:r w:rsidRPr="00686B61">
              <w:rPr>
                <w:color w:val="000000"/>
                <w:szCs w:val="21"/>
              </w:rPr>
              <w:t>2013-2015</w:t>
            </w:r>
            <w:r w:rsidRPr="00686B61">
              <w:rPr>
                <w:rFonts w:hint="eastAsia"/>
                <w:color w:val="000000"/>
                <w:szCs w:val="21"/>
              </w:rPr>
              <w:t>年历史数据</w:t>
            </w:r>
            <w:r w:rsidRPr="00686B61">
              <w:rPr>
                <w:color w:val="000000"/>
                <w:szCs w:val="21"/>
              </w:rPr>
              <w:t>&amp;</w:t>
            </w:r>
            <w:r w:rsidRPr="00686B61">
              <w:rPr>
                <w:rFonts w:hint="eastAsia"/>
                <w:color w:val="000000"/>
                <w:szCs w:val="21"/>
              </w:rPr>
              <w:t>能耗确定的限额值（</w:t>
            </w:r>
            <w:r w:rsidRPr="00686B61">
              <w:rPr>
                <w:color w:val="000000"/>
                <w:szCs w:val="21"/>
              </w:rPr>
              <w:t>tCO</w:t>
            </w:r>
            <w:r w:rsidRPr="00686B61">
              <w:rPr>
                <w:color w:val="000000"/>
                <w:szCs w:val="21"/>
                <w:vertAlign w:val="subscript"/>
              </w:rPr>
              <w:t>2</w:t>
            </w:r>
            <w:r w:rsidRPr="00686B61">
              <w:rPr>
                <w:color w:val="000000"/>
                <w:szCs w:val="21"/>
              </w:rPr>
              <w:t>/t</w:t>
            </w:r>
            <w:r w:rsidRPr="00686B61">
              <w:rPr>
                <w:rFonts w:hint="eastAsia"/>
                <w:color w:val="000000"/>
                <w:szCs w:val="21"/>
              </w:rPr>
              <w:t>）</w:t>
            </w:r>
          </w:p>
        </w:tc>
        <w:tc>
          <w:tcPr>
            <w:tcW w:w="1150"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rsidP="00545D2D">
            <w:pPr>
              <w:jc w:val="center"/>
              <w:rPr>
                <w:bCs/>
                <w:szCs w:val="21"/>
              </w:rPr>
            </w:pPr>
            <w:r w:rsidRPr="00686B61">
              <w:rPr>
                <w:color w:val="000000"/>
                <w:szCs w:val="21"/>
              </w:rPr>
              <w:t>0.84</w:t>
            </w:r>
            <w:r w:rsidR="00545D2D" w:rsidRPr="00686B61">
              <w:rPr>
                <w:color w:val="000000"/>
                <w:szCs w:val="21"/>
              </w:rPr>
              <w:t>67</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bCs/>
                <w:szCs w:val="21"/>
              </w:rPr>
            </w:pPr>
            <w:r w:rsidRPr="00686B61">
              <w:rPr>
                <w:color w:val="000000"/>
                <w:szCs w:val="21"/>
              </w:rPr>
              <w:t>0.8770</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bCs/>
                <w:szCs w:val="21"/>
              </w:rPr>
            </w:pPr>
            <w:r w:rsidRPr="00686B61">
              <w:rPr>
                <w:color w:val="000000"/>
                <w:szCs w:val="21"/>
              </w:rPr>
              <w:t>0.9183</w:t>
            </w:r>
          </w:p>
        </w:tc>
      </w:tr>
      <w:tr w:rsidR="0010425E" w:rsidRPr="00686B61" w:rsidTr="00686B61">
        <w:trPr>
          <w:trHeight w:val="397"/>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color w:val="000000"/>
                <w:szCs w:val="21"/>
              </w:rPr>
            </w:pPr>
            <w:r w:rsidRPr="00686B61">
              <w:rPr>
                <w:color w:val="000000"/>
                <w:szCs w:val="21"/>
              </w:rPr>
              <w:t>2016-2017</w:t>
            </w:r>
            <w:r w:rsidRPr="00686B61">
              <w:rPr>
                <w:rFonts w:hint="eastAsia"/>
                <w:color w:val="000000"/>
                <w:szCs w:val="21"/>
              </w:rPr>
              <w:t>年数据确定的限额值（</w:t>
            </w:r>
            <w:r w:rsidRPr="00686B61">
              <w:rPr>
                <w:color w:val="000000"/>
                <w:szCs w:val="21"/>
              </w:rPr>
              <w:t>tCO</w:t>
            </w:r>
            <w:r w:rsidRPr="00686B61">
              <w:rPr>
                <w:color w:val="000000"/>
                <w:szCs w:val="21"/>
                <w:vertAlign w:val="subscript"/>
              </w:rPr>
              <w:t>2</w:t>
            </w:r>
            <w:r w:rsidRPr="00686B61">
              <w:rPr>
                <w:color w:val="000000"/>
                <w:szCs w:val="21"/>
              </w:rPr>
              <w:t>/t</w:t>
            </w:r>
            <w:r w:rsidRPr="00686B61">
              <w:rPr>
                <w:rFonts w:hint="eastAsia"/>
                <w:color w:val="000000"/>
                <w:szCs w:val="21"/>
              </w:rPr>
              <w:t>）</w:t>
            </w:r>
          </w:p>
        </w:tc>
        <w:tc>
          <w:tcPr>
            <w:tcW w:w="1150"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rsidP="00545D2D">
            <w:pPr>
              <w:jc w:val="center"/>
              <w:rPr>
                <w:color w:val="000000"/>
                <w:szCs w:val="21"/>
              </w:rPr>
            </w:pPr>
            <w:r w:rsidRPr="00686B61">
              <w:rPr>
                <w:color w:val="000000"/>
                <w:szCs w:val="21"/>
              </w:rPr>
              <w:t>0.8</w:t>
            </w:r>
            <w:r w:rsidR="00545D2D" w:rsidRPr="00686B61">
              <w:rPr>
                <w:color w:val="000000"/>
                <w:szCs w:val="21"/>
              </w:rPr>
              <w:t>450</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color w:val="000000"/>
                <w:szCs w:val="21"/>
              </w:rPr>
            </w:pPr>
            <w:r w:rsidRPr="00686B61">
              <w:rPr>
                <w:color w:val="000000"/>
                <w:szCs w:val="21"/>
              </w:rPr>
              <w:t>0.8700</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rsidP="00545D2D">
            <w:pPr>
              <w:jc w:val="center"/>
              <w:rPr>
                <w:color w:val="000000"/>
                <w:szCs w:val="21"/>
              </w:rPr>
            </w:pPr>
            <w:r w:rsidRPr="00686B61">
              <w:rPr>
                <w:color w:val="000000"/>
                <w:szCs w:val="21"/>
              </w:rPr>
              <w:t>0.90</w:t>
            </w:r>
            <w:r w:rsidR="00545D2D" w:rsidRPr="00686B61">
              <w:rPr>
                <w:color w:val="000000"/>
                <w:szCs w:val="21"/>
              </w:rPr>
              <w:t>50</w:t>
            </w:r>
          </w:p>
        </w:tc>
      </w:tr>
      <w:tr w:rsidR="0010425E" w:rsidTr="00686B61">
        <w:trPr>
          <w:trHeight w:val="397"/>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color w:val="000000"/>
                <w:szCs w:val="21"/>
              </w:rPr>
            </w:pPr>
            <w:r w:rsidRPr="00686B61">
              <w:rPr>
                <w:rFonts w:hint="eastAsia"/>
                <w:color w:val="000000"/>
                <w:szCs w:val="21"/>
              </w:rPr>
              <w:t>减排比例（</w:t>
            </w:r>
            <w:r w:rsidRPr="00686B61">
              <w:rPr>
                <w:color w:val="000000"/>
                <w:szCs w:val="21"/>
              </w:rPr>
              <w:t>%</w:t>
            </w:r>
            <w:r w:rsidRPr="00686B61">
              <w:rPr>
                <w:rFonts w:hint="eastAsia"/>
                <w:color w:val="000000"/>
                <w:szCs w:val="21"/>
              </w:rPr>
              <w:t>）</w:t>
            </w:r>
          </w:p>
        </w:tc>
        <w:tc>
          <w:tcPr>
            <w:tcW w:w="1150"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545D2D" w:rsidP="00545D2D">
            <w:pPr>
              <w:jc w:val="center"/>
              <w:rPr>
                <w:color w:val="000000"/>
                <w:szCs w:val="21"/>
              </w:rPr>
            </w:pPr>
            <w:r w:rsidRPr="00686B61">
              <w:rPr>
                <w:color w:val="000000"/>
                <w:szCs w:val="21"/>
              </w:rPr>
              <w:t>0.20</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Pr="00686B61" w:rsidRDefault="0010425E">
            <w:pPr>
              <w:jc w:val="center"/>
              <w:rPr>
                <w:color w:val="000000"/>
                <w:szCs w:val="21"/>
              </w:rPr>
            </w:pPr>
            <w:r w:rsidRPr="00686B61">
              <w:rPr>
                <w:color w:val="000000"/>
                <w:szCs w:val="21"/>
              </w:rPr>
              <w:t>0.80</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425E" w:rsidRDefault="0010425E" w:rsidP="00545D2D">
            <w:pPr>
              <w:jc w:val="center"/>
              <w:rPr>
                <w:color w:val="000000"/>
                <w:szCs w:val="21"/>
              </w:rPr>
            </w:pPr>
            <w:r w:rsidRPr="00686B61">
              <w:rPr>
                <w:color w:val="000000"/>
                <w:szCs w:val="21"/>
              </w:rPr>
              <w:t>1.4</w:t>
            </w:r>
            <w:r w:rsidR="00545D2D" w:rsidRPr="00686B61">
              <w:rPr>
                <w:color w:val="000000"/>
                <w:szCs w:val="21"/>
              </w:rPr>
              <w:t>5</w:t>
            </w:r>
          </w:p>
        </w:tc>
      </w:tr>
    </w:tbl>
    <w:p w:rsidR="0010425E" w:rsidRDefault="0010425E" w:rsidP="0010425E">
      <w:pPr>
        <w:spacing w:line="360" w:lineRule="auto"/>
        <w:ind w:firstLineChars="200" w:firstLine="480"/>
        <w:rPr>
          <w:rFonts w:ascii="Times New Roman" w:hAnsi="Times New Roman" w:cs="Times New Roman"/>
          <w:sz w:val="24"/>
        </w:rPr>
      </w:pPr>
      <w:r>
        <w:rPr>
          <w:rFonts w:hint="eastAsia"/>
          <w:sz w:val="24"/>
        </w:rPr>
        <w:t>由表</w:t>
      </w:r>
      <w:r>
        <w:rPr>
          <w:sz w:val="24"/>
        </w:rPr>
        <w:t>2</w:t>
      </w:r>
      <w:r>
        <w:rPr>
          <w:rFonts w:hint="eastAsia"/>
          <w:sz w:val="24"/>
        </w:rPr>
        <w:t>可知，由于企业节能技改及自主减排，基于</w:t>
      </w:r>
      <w:r>
        <w:rPr>
          <w:sz w:val="24"/>
        </w:rPr>
        <w:t>650</w:t>
      </w:r>
      <w:r>
        <w:rPr>
          <w:rFonts w:hint="eastAsia"/>
          <w:sz w:val="24"/>
        </w:rPr>
        <w:t>余家水泥熟料生产企业</w:t>
      </w:r>
      <w:r>
        <w:rPr>
          <w:sz w:val="24"/>
        </w:rPr>
        <w:t>2016-2017</w:t>
      </w:r>
      <w:r>
        <w:rPr>
          <w:rFonts w:hint="eastAsia"/>
          <w:sz w:val="24"/>
        </w:rPr>
        <w:t>年碳排放数据确定的限额</w:t>
      </w:r>
      <w:r w:rsidR="00545D2D">
        <w:rPr>
          <w:rFonts w:hint="eastAsia"/>
          <w:sz w:val="24"/>
        </w:rPr>
        <w:t>指标</w:t>
      </w:r>
      <w:r>
        <w:rPr>
          <w:rFonts w:hint="eastAsia"/>
          <w:sz w:val="24"/>
        </w:rPr>
        <w:t>与</w:t>
      </w:r>
      <w:r w:rsidR="00545D2D">
        <w:rPr>
          <w:rFonts w:hint="eastAsia"/>
          <w:sz w:val="24"/>
        </w:rPr>
        <w:t>基于</w:t>
      </w:r>
      <w:r w:rsidR="00545D2D">
        <w:rPr>
          <w:rFonts w:hint="eastAsia"/>
          <w:sz w:val="24"/>
        </w:rPr>
        <w:t>2013-2015</w:t>
      </w:r>
      <w:r w:rsidR="00545D2D">
        <w:rPr>
          <w:rFonts w:hint="eastAsia"/>
          <w:sz w:val="24"/>
        </w:rPr>
        <w:t>年</w:t>
      </w:r>
      <w:r w:rsidR="00545D2D">
        <w:rPr>
          <w:sz w:val="24"/>
        </w:rPr>
        <w:t>样本计算的</w:t>
      </w:r>
      <w:r>
        <w:rPr>
          <w:rFonts w:hint="eastAsia"/>
          <w:sz w:val="24"/>
        </w:rPr>
        <w:t>限额</w:t>
      </w:r>
      <w:r w:rsidR="00545D2D">
        <w:rPr>
          <w:rFonts w:hint="eastAsia"/>
          <w:sz w:val="24"/>
        </w:rPr>
        <w:t>指标</w:t>
      </w:r>
      <w:r>
        <w:rPr>
          <w:rFonts w:hint="eastAsia"/>
          <w:sz w:val="24"/>
        </w:rPr>
        <w:t>略有差别，减</w:t>
      </w:r>
      <w:proofErr w:type="gramStart"/>
      <w:r>
        <w:rPr>
          <w:rFonts w:hint="eastAsia"/>
          <w:sz w:val="24"/>
        </w:rPr>
        <w:t>排比例约</w:t>
      </w:r>
      <w:proofErr w:type="gramEnd"/>
      <w:r>
        <w:rPr>
          <w:sz w:val="24"/>
        </w:rPr>
        <w:t>1%</w:t>
      </w:r>
      <w:r>
        <w:rPr>
          <w:rFonts w:hint="eastAsia"/>
          <w:sz w:val="24"/>
        </w:rPr>
        <w:t>。考虑到</w:t>
      </w:r>
      <w:r>
        <w:rPr>
          <w:sz w:val="24"/>
        </w:rPr>
        <w:t>2013-2015</w:t>
      </w:r>
      <w:r>
        <w:rPr>
          <w:rFonts w:hint="eastAsia"/>
          <w:sz w:val="24"/>
        </w:rPr>
        <w:t>年历史排放数据确定的限额</w:t>
      </w:r>
      <w:r w:rsidR="00545D2D">
        <w:rPr>
          <w:rFonts w:hint="eastAsia"/>
          <w:sz w:val="24"/>
        </w:rPr>
        <w:t>指标</w:t>
      </w:r>
      <w:r>
        <w:rPr>
          <w:rFonts w:hint="eastAsia"/>
          <w:sz w:val="24"/>
        </w:rPr>
        <w:t>是经过修正的，</w:t>
      </w:r>
      <w:r>
        <w:rPr>
          <w:sz w:val="24"/>
        </w:rPr>
        <w:t>2016-2017</w:t>
      </w:r>
      <w:r>
        <w:rPr>
          <w:rFonts w:hint="eastAsia"/>
          <w:sz w:val="24"/>
        </w:rPr>
        <w:t>年数据更能反应企业真实排放水平，因此标准中的限额</w:t>
      </w:r>
      <w:r w:rsidR="00545D2D">
        <w:rPr>
          <w:rFonts w:hint="eastAsia"/>
          <w:sz w:val="24"/>
        </w:rPr>
        <w:t>指标</w:t>
      </w:r>
      <w:r>
        <w:rPr>
          <w:rFonts w:hint="eastAsia"/>
          <w:sz w:val="24"/>
        </w:rPr>
        <w:t>更新为基于</w:t>
      </w:r>
      <w:r>
        <w:rPr>
          <w:sz w:val="24"/>
        </w:rPr>
        <w:t>2016-2017</w:t>
      </w:r>
      <w:r>
        <w:rPr>
          <w:rFonts w:hint="eastAsia"/>
          <w:sz w:val="24"/>
        </w:rPr>
        <w:t>年碳排放数据确定的值。</w:t>
      </w:r>
    </w:p>
    <w:p w:rsidR="0036571D" w:rsidRDefault="00E7366E">
      <w:pPr>
        <w:spacing w:line="360" w:lineRule="auto"/>
        <w:outlineLvl w:val="2"/>
        <w:rPr>
          <w:rFonts w:ascii="Times New Roman" w:hAnsi="Times New Roman" w:cs="Times New Roman"/>
          <w:sz w:val="28"/>
          <w:szCs w:val="28"/>
        </w:rPr>
      </w:pPr>
      <w:r>
        <w:rPr>
          <w:rFonts w:ascii="Times New Roman" w:hAnsi="Times New Roman" w:cs="Times New Roman"/>
          <w:sz w:val="28"/>
          <w:szCs w:val="28"/>
        </w:rPr>
        <w:t xml:space="preserve">2.2.5 </w:t>
      </w:r>
      <w:r>
        <w:rPr>
          <w:rFonts w:ascii="Times New Roman" w:hAnsi="Times New Roman" w:cs="Times New Roman" w:hint="eastAsia"/>
          <w:sz w:val="28"/>
          <w:szCs w:val="28"/>
        </w:rPr>
        <w:t>核算</w:t>
      </w:r>
      <w:r>
        <w:rPr>
          <w:rFonts w:ascii="Times New Roman" w:hAnsi="Times New Roman" w:cs="Times New Roman"/>
          <w:sz w:val="28"/>
          <w:szCs w:val="28"/>
        </w:rPr>
        <w:t>边界</w:t>
      </w:r>
    </w:p>
    <w:p w:rsidR="001A315D" w:rsidRDefault="001A315D" w:rsidP="001A315D">
      <w:pPr>
        <w:spacing w:line="360" w:lineRule="auto"/>
        <w:ind w:firstLineChars="200" w:firstLine="480"/>
        <w:rPr>
          <w:sz w:val="24"/>
        </w:rPr>
      </w:pPr>
      <w:r>
        <w:rPr>
          <w:rFonts w:hint="eastAsia"/>
          <w:sz w:val="24"/>
        </w:rPr>
        <w:t>本标准将作为水泥</w:t>
      </w:r>
      <w:proofErr w:type="gramStart"/>
      <w:r>
        <w:rPr>
          <w:rFonts w:hint="eastAsia"/>
          <w:sz w:val="24"/>
        </w:rPr>
        <w:t>行业碳排放权</w:t>
      </w:r>
      <w:proofErr w:type="gramEnd"/>
      <w:r>
        <w:rPr>
          <w:rFonts w:hint="eastAsia"/>
          <w:sz w:val="24"/>
        </w:rPr>
        <w:t>交易的技术支撑文件，因此水泥熟料碳排放量的核算边界应与支撑水泥熟料生产企业配额分配方案的补充数据表保持一致，为从原燃材料进入生产厂区均化（不包括破碎）开始，包括水泥原燃料及生料制备、熟料烧成、熟料到熟料库为止，不包括厂区内辅助生产系统以及附属生产系统。其中，燃料、电力和热力统计范围不包括废弃物处置和脱硫脱硝过程，也不包括基建、技改等项目。</w:t>
      </w:r>
    </w:p>
    <w:p w:rsidR="001A315D" w:rsidRDefault="001A315D" w:rsidP="001A315D">
      <w:pPr>
        <w:spacing w:line="360" w:lineRule="auto"/>
        <w:ind w:firstLineChars="200" w:firstLine="480"/>
        <w:rPr>
          <w:sz w:val="24"/>
        </w:rPr>
      </w:pPr>
      <w:r>
        <w:rPr>
          <w:rFonts w:hint="eastAsia"/>
          <w:sz w:val="24"/>
        </w:rPr>
        <w:t>本标准仅计算化石燃料燃烧排放、熟料对应的碳酸盐分解排放和购入电力</w:t>
      </w:r>
      <w:r w:rsidR="00E36786">
        <w:rPr>
          <w:rFonts w:hint="eastAsia"/>
          <w:sz w:val="24"/>
        </w:rPr>
        <w:t>对应</w:t>
      </w:r>
      <w:r>
        <w:rPr>
          <w:rFonts w:hint="eastAsia"/>
          <w:sz w:val="24"/>
        </w:rPr>
        <w:t>的排放这三类排放源对应的二氧化碳排放量，不计算替代燃料或废弃物中非生物质碳的燃烧排放和生料中非燃料碳煅烧的排放。此外，使用的燃油、替代燃料或协同处置的废物中可能含有生物质燃料，这些生物质燃料燃烧所产生的二氧化碳，被视为无气候影响，不进行核算。</w:t>
      </w:r>
    </w:p>
    <w:p w:rsidR="001A315D" w:rsidRDefault="00357626" w:rsidP="00D5361F">
      <w:pPr>
        <w:pStyle w:val="ad"/>
        <w:spacing w:line="360" w:lineRule="auto"/>
        <w:ind w:firstLine="0"/>
        <w:outlineLvl w:val="3"/>
        <w:rPr>
          <w:rFonts w:ascii="黑体" w:eastAsia="黑体" w:hAnsi="黑体"/>
          <w:sz w:val="24"/>
          <w:szCs w:val="24"/>
        </w:rPr>
      </w:pPr>
      <w:r>
        <w:rPr>
          <w:rFonts w:ascii="黑体" w:eastAsia="黑体" w:hAnsi="黑体"/>
          <w:sz w:val="24"/>
          <w:szCs w:val="24"/>
        </w:rPr>
        <w:t>2.2.5.1</w:t>
      </w:r>
      <w:r w:rsidR="001A315D">
        <w:rPr>
          <w:rFonts w:ascii="黑体" w:eastAsia="黑体" w:hAnsi="黑体" w:hint="eastAsia"/>
          <w:sz w:val="24"/>
          <w:szCs w:val="24"/>
        </w:rPr>
        <w:t xml:space="preserve"> 化石燃料燃烧排放</w:t>
      </w:r>
    </w:p>
    <w:p w:rsidR="001A315D" w:rsidRDefault="001A315D" w:rsidP="001A315D">
      <w:pPr>
        <w:spacing w:line="360" w:lineRule="auto"/>
        <w:ind w:firstLineChars="200" w:firstLine="480"/>
        <w:rPr>
          <w:rFonts w:ascii="Times New Roman" w:hAnsi="Times New Roman"/>
          <w:sz w:val="24"/>
          <w:szCs w:val="24"/>
        </w:rPr>
      </w:pPr>
      <w:r>
        <w:rPr>
          <w:rFonts w:hint="eastAsia"/>
          <w:sz w:val="24"/>
        </w:rPr>
        <w:t>化石燃料消耗统计范围为从原燃材料进入生产厂区均化（不包括破碎）开始，至熟料到熟料库为止，包括烘干原燃材料和烧成熟料消耗的燃料。其中，不统计厂内辅助和附属生产系统消耗的化石燃料（如厂内运输、供暖等设备消耗的化石</w:t>
      </w:r>
      <w:r>
        <w:rPr>
          <w:rFonts w:hint="eastAsia"/>
          <w:sz w:val="24"/>
        </w:rPr>
        <w:lastRenderedPageBreak/>
        <w:t>燃料）。</w:t>
      </w:r>
    </w:p>
    <w:p w:rsidR="001A315D" w:rsidRDefault="00357626" w:rsidP="001A315D">
      <w:pPr>
        <w:pStyle w:val="ad"/>
        <w:spacing w:line="360" w:lineRule="auto"/>
        <w:ind w:firstLine="0"/>
        <w:outlineLvl w:val="2"/>
        <w:rPr>
          <w:rFonts w:ascii="黑体" w:eastAsia="黑体" w:hAnsi="黑体"/>
          <w:sz w:val="24"/>
          <w:szCs w:val="24"/>
        </w:rPr>
      </w:pPr>
      <w:bookmarkStart w:id="12" w:name="_Toc494455464"/>
      <w:bookmarkStart w:id="13" w:name="_Toc494455466"/>
      <w:r>
        <w:rPr>
          <w:rFonts w:ascii="黑体" w:eastAsia="黑体" w:hAnsi="黑体"/>
          <w:sz w:val="24"/>
          <w:szCs w:val="24"/>
        </w:rPr>
        <w:t xml:space="preserve">2.2.5.2 </w:t>
      </w:r>
      <w:r w:rsidR="00996C2B">
        <w:rPr>
          <w:rFonts w:ascii="黑体" w:eastAsia="黑体" w:hAnsi="黑体" w:hint="eastAsia"/>
          <w:sz w:val="24"/>
          <w:szCs w:val="24"/>
        </w:rPr>
        <w:t>碳酸盐分解</w:t>
      </w:r>
      <w:r w:rsidR="001A315D">
        <w:rPr>
          <w:rFonts w:ascii="黑体" w:eastAsia="黑体" w:hAnsi="黑体" w:hint="eastAsia"/>
          <w:sz w:val="24"/>
          <w:szCs w:val="24"/>
        </w:rPr>
        <w:t>排放</w:t>
      </w:r>
    </w:p>
    <w:p w:rsidR="001A315D" w:rsidRDefault="001A315D" w:rsidP="001A315D">
      <w:pPr>
        <w:spacing w:line="360" w:lineRule="auto"/>
        <w:ind w:firstLineChars="200" w:firstLine="480"/>
        <w:rPr>
          <w:rFonts w:ascii="Times New Roman" w:hAnsi="Times New Roman"/>
          <w:sz w:val="24"/>
          <w:szCs w:val="24"/>
        </w:rPr>
      </w:pPr>
      <w:r>
        <w:rPr>
          <w:rFonts w:hint="eastAsia"/>
          <w:sz w:val="24"/>
        </w:rPr>
        <w:t>工业生产过程</w:t>
      </w:r>
      <w:bookmarkEnd w:id="12"/>
      <w:r>
        <w:rPr>
          <w:rFonts w:hint="eastAsia"/>
          <w:sz w:val="24"/>
        </w:rPr>
        <w:t>仅统计熟料对应的碳酸盐分解排放，粉尘对应的碳酸盐分解排放忽略不计。</w:t>
      </w:r>
    </w:p>
    <w:bookmarkEnd w:id="13"/>
    <w:p w:rsidR="001A315D" w:rsidRDefault="00357626" w:rsidP="001A315D">
      <w:pPr>
        <w:pStyle w:val="ad"/>
        <w:spacing w:line="360" w:lineRule="auto"/>
        <w:ind w:firstLine="0"/>
        <w:outlineLvl w:val="2"/>
        <w:rPr>
          <w:rFonts w:ascii="黑体" w:eastAsia="黑体" w:hAnsi="黑体"/>
          <w:sz w:val="24"/>
          <w:szCs w:val="24"/>
        </w:rPr>
      </w:pPr>
      <w:r>
        <w:rPr>
          <w:rFonts w:ascii="黑体" w:eastAsia="黑体" w:hAnsi="黑体"/>
          <w:sz w:val="24"/>
          <w:szCs w:val="24"/>
        </w:rPr>
        <w:t xml:space="preserve">2.2.5.3 </w:t>
      </w:r>
      <w:r w:rsidR="001A315D">
        <w:rPr>
          <w:rFonts w:ascii="黑体" w:eastAsia="黑体" w:hAnsi="黑体" w:hint="eastAsia"/>
          <w:sz w:val="24"/>
          <w:szCs w:val="24"/>
        </w:rPr>
        <w:t>购入电力</w:t>
      </w:r>
      <w:r w:rsidR="0043327B">
        <w:rPr>
          <w:rFonts w:ascii="黑体" w:eastAsia="黑体" w:hAnsi="黑体" w:hint="eastAsia"/>
          <w:sz w:val="24"/>
          <w:szCs w:val="24"/>
        </w:rPr>
        <w:t>产生</w:t>
      </w:r>
      <w:r w:rsidR="001A315D">
        <w:rPr>
          <w:rFonts w:ascii="黑体" w:eastAsia="黑体" w:hAnsi="黑体" w:hint="eastAsia"/>
          <w:sz w:val="24"/>
          <w:szCs w:val="24"/>
        </w:rPr>
        <w:t>的排放</w:t>
      </w:r>
    </w:p>
    <w:p w:rsidR="001A315D" w:rsidRDefault="001A315D" w:rsidP="001A315D">
      <w:pPr>
        <w:spacing w:line="360" w:lineRule="auto"/>
        <w:ind w:firstLineChars="200" w:firstLine="480"/>
        <w:rPr>
          <w:rFonts w:ascii="宋体" w:hAnsi="宋体" w:cs="Times New Roman"/>
          <w:sz w:val="24"/>
        </w:rPr>
      </w:pPr>
      <w:r>
        <w:rPr>
          <w:rFonts w:hint="eastAsia"/>
          <w:sz w:val="24"/>
        </w:rPr>
        <w:t>水泥熟料生产购入电力统计范围为从原燃材料进入生产</w:t>
      </w:r>
      <w:proofErr w:type="gramStart"/>
      <w:r>
        <w:rPr>
          <w:rFonts w:hint="eastAsia"/>
          <w:sz w:val="24"/>
        </w:rPr>
        <w:t>厂区均化至</w:t>
      </w:r>
      <w:proofErr w:type="gramEnd"/>
      <w:r>
        <w:rPr>
          <w:rFonts w:hint="eastAsia"/>
          <w:sz w:val="24"/>
        </w:rPr>
        <w:t>熟料到熟料库为止，不包括厂区内辅助生产系统以及附属生产系统，不包括废弃物处置和脱硫脱硝过程，也不包括基建、技改等项目。若协同处置、脱硫脱硝、基建、技改等辅助生产系统和过程的</w:t>
      </w:r>
      <w:proofErr w:type="gramStart"/>
      <w:r>
        <w:rPr>
          <w:rFonts w:hint="eastAsia"/>
          <w:sz w:val="24"/>
        </w:rPr>
        <w:t>电力消耗量未单独</w:t>
      </w:r>
      <w:proofErr w:type="gramEnd"/>
      <w:r>
        <w:rPr>
          <w:rFonts w:hint="eastAsia"/>
          <w:sz w:val="24"/>
        </w:rPr>
        <w:t>计量，则需采用保守原则，电力消耗量取上述辅助生产系统和过程与主要生产系统电力消耗量之</w:t>
      </w:r>
      <w:proofErr w:type="gramStart"/>
      <w:r>
        <w:rPr>
          <w:rFonts w:hint="eastAsia"/>
          <w:sz w:val="24"/>
        </w:rPr>
        <w:t>和</w:t>
      </w:r>
      <w:proofErr w:type="gramEnd"/>
      <w:r>
        <w:rPr>
          <w:rFonts w:hint="eastAsia"/>
          <w:sz w:val="24"/>
        </w:rPr>
        <w:t>。</w:t>
      </w:r>
    </w:p>
    <w:p w:rsidR="0036571D" w:rsidRDefault="00E7366E">
      <w:pPr>
        <w:spacing w:line="360" w:lineRule="auto"/>
        <w:outlineLvl w:val="2"/>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 xml:space="preserve">.2.6 </w:t>
      </w:r>
      <w:r>
        <w:rPr>
          <w:rFonts w:ascii="Times New Roman" w:hAnsi="Times New Roman" w:cs="Times New Roman"/>
          <w:sz w:val="28"/>
          <w:szCs w:val="28"/>
        </w:rPr>
        <w:t>核算方法</w:t>
      </w:r>
    </w:p>
    <w:p w:rsidR="00F96D63" w:rsidRDefault="00F96D63" w:rsidP="00F96D63">
      <w:pPr>
        <w:spacing w:line="360" w:lineRule="auto"/>
        <w:ind w:firstLineChars="200" w:firstLine="480"/>
        <w:rPr>
          <w:sz w:val="24"/>
        </w:rPr>
      </w:pPr>
      <w:r>
        <w:rPr>
          <w:rFonts w:hint="eastAsia"/>
          <w:sz w:val="24"/>
        </w:rPr>
        <w:t>水泥熟料生产二氧化碳排放总量等于核算边界内化石燃料燃烧排放量、熟料对应的碳酸盐分解排放量及购入电力</w:t>
      </w:r>
      <w:r w:rsidR="0043327B">
        <w:rPr>
          <w:rFonts w:hint="eastAsia"/>
          <w:sz w:val="24"/>
        </w:rPr>
        <w:t>对应</w:t>
      </w:r>
      <w:r>
        <w:rPr>
          <w:rFonts w:hint="eastAsia"/>
          <w:sz w:val="24"/>
        </w:rPr>
        <w:t>的排放量之</w:t>
      </w:r>
      <w:proofErr w:type="gramStart"/>
      <w:r>
        <w:rPr>
          <w:rFonts w:hint="eastAsia"/>
          <w:sz w:val="24"/>
        </w:rPr>
        <w:t>和</w:t>
      </w:r>
      <w:proofErr w:type="gramEnd"/>
      <w:r>
        <w:rPr>
          <w:rFonts w:hint="eastAsia"/>
          <w:sz w:val="24"/>
        </w:rPr>
        <w:t>。</w:t>
      </w:r>
    </w:p>
    <w:p w:rsidR="00F96D63" w:rsidRDefault="00F96D63" w:rsidP="00F96D63">
      <w:pPr>
        <w:spacing w:line="360" w:lineRule="auto"/>
        <w:ind w:firstLineChars="200" w:firstLine="480"/>
        <w:rPr>
          <w:sz w:val="24"/>
        </w:rPr>
      </w:pPr>
      <w:r>
        <w:rPr>
          <w:rFonts w:hint="eastAsia"/>
          <w:sz w:val="24"/>
        </w:rPr>
        <w:t>据统计，国内分布在高海拔地区的贵州、云南、青海、甘肃、新疆、内蒙、宁夏、西藏等地的熟料产能超过</w:t>
      </w:r>
      <w:r>
        <w:rPr>
          <w:sz w:val="24"/>
        </w:rPr>
        <w:t>3.5</w:t>
      </w:r>
      <w:r>
        <w:rPr>
          <w:rFonts w:hint="eastAsia"/>
          <w:sz w:val="24"/>
        </w:rPr>
        <w:t>亿吨，占全国水泥熟料产能的比例也超过了</w:t>
      </w:r>
      <w:r>
        <w:rPr>
          <w:sz w:val="24"/>
        </w:rPr>
        <w:t>20%</w:t>
      </w:r>
      <w:r>
        <w:rPr>
          <w:rFonts w:hint="eastAsia"/>
          <w:sz w:val="24"/>
        </w:rPr>
        <w:t>。</w:t>
      </w:r>
    </w:p>
    <w:p w:rsidR="00F96D63" w:rsidRDefault="00F96D63" w:rsidP="00F96D63">
      <w:pPr>
        <w:spacing w:line="360" w:lineRule="auto"/>
        <w:ind w:firstLineChars="200" w:firstLine="480"/>
        <w:rPr>
          <w:sz w:val="24"/>
        </w:rPr>
      </w:pPr>
      <w:r>
        <w:rPr>
          <w:rFonts w:hint="eastAsia"/>
          <w:sz w:val="24"/>
        </w:rPr>
        <w:t>处在高海拔的水泥企业，因大气压低，获得与平原地区相同的标</w:t>
      </w:r>
      <w:proofErr w:type="gramStart"/>
      <w:r>
        <w:rPr>
          <w:rFonts w:hint="eastAsia"/>
          <w:sz w:val="24"/>
        </w:rPr>
        <w:t>况</w:t>
      </w:r>
      <w:proofErr w:type="gramEnd"/>
      <w:r>
        <w:rPr>
          <w:rFonts w:hint="eastAsia"/>
          <w:sz w:val="24"/>
        </w:rPr>
        <w:t>风量需要风机（窑尾高温风机、系统后排风机、窑一次风机等）提供更多的工况风量，故而在熟料生产过程中电机需要额外做功，直接导致熟料环节电耗比平原地区企业高；同时，因水泥窑内引入了更多的工况风量，导致窑内风速较平原地区生产线加快，同种</w:t>
      </w:r>
      <w:proofErr w:type="gramStart"/>
      <w:r>
        <w:rPr>
          <w:rFonts w:hint="eastAsia"/>
          <w:sz w:val="24"/>
        </w:rPr>
        <w:t>规格窑型熟料</w:t>
      </w:r>
      <w:proofErr w:type="gramEnd"/>
      <w:r>
        <w:rPr>
          <w:rFonts w:hint="eastAsia"/>
          <w:sz w:val="24"/>
        </w:rPr>
        <w:t>产量低于平原地区，导致热耗高，故高海拔地区的熟料生产环节的电耗、热耗均高于平原地区。对比了华新集团旗下高原和平原地区同</w:t>
      </w:r>
      <w:proofErr w:type="gramStart"/>
      <w:r>
        <w:rPr>
          <w:rFonts w:hint="eastAsia"/>
          <w:sz w:val="24"/>
        </w:rPr>
        <w:t>规模窑型的</w:t>
      </w:r>
      <w:proofErr w:type="gramEnd"/>
      <w:r>
        <w:rPr>
          <w:rFonts w:hint="eastAsia"/>
          <w:sz w:val="24"/>
        </w:rPr>
        <w:t>水泥熟料生产企业，其</w:t>
      </w:r>
      <w:proofErr w:type="gramStart"/>
      <w:r>
        <w:rPr>
          <w:rFonts w:hint="eastAsia"/>
          <w:sz w:val="24"/>
        </w:rPr>
        <w:t>能耗及碳排放</w:t>
      </w:r>
      <w:proofErr w:type="gramEnd"/>
      <w:r>
        <w:rPr>
          <w:rFonts w:hint="eastAsia"/>
          <w:sz w:val="24"/>
        </w:rPr>
        <w:t>均存在差异，见表</w:t>
      </w:r>
      <w:r>
        <w:rPr>
          <w:sz w:val="24"/>
        </w:rPr>
        <w:t>3</w:t>
      </w:r>
      <w:r>
        <w:rPr>
          <w:rFonts w:hint="eastAsia"/>
          <w:sz w:val="24"/>
        </w:rPr>
        <w:t>。</w:t>
      </w:r>
    </w:p>
    <w:p w:rsidR="00F96D63" w:rsidRDefault="00F96D63" w:rsidP="00F96D63">
      <w:pPr>
        <w:spacing w:line="360" w:lineRule="auto"/>
        <w:ind w:left="480"/>
        <w:jc w:val="center"/>
        <w:rPr>
          <w:sz w:val="24"/>
        </w:rPr>
      </w:pPr>
      <w:r>
        <w:rPr>
          <w:rFonts w:hAnsi="宋体" w:hint="eastAsia"/>
          <w:szCs w:val="21"/>
        </w:rPr>
        <w:t>表</w:t>
      </w:r>
      <w:r>
        <w:rPr>
          <w:rFonts w:hAnsi="宋体"/>
          <w:szCs w:val="21"/>
        </w:rPr>
        <w:t xml:space="preserve">3  </w:t>
      </w:r>
      <w:r>
        <w:rPr>
          <w:rFonts w:hAnsi="宋体" w:hint="eastAsia"/>
          <w:szCs w:val="21"/>
        </w:rPr>
        <w:t>高原和平原地区水泥熟料企业能耗和</w:t>
      </w:r>
      <w:proofErr w:type="gramStart"/>
      <w:r>
        <w:rPr>
          <w:rFonts w:hAnsi="宋体" w:hint="eastAsia"/>
          <w:szCs w:val="21"/>
        </w:rPr>
        <w:t>碳排放</w:t>
      </w:r>
      <w:proofErr w:type="gramEnd"/>
      <w:r>
        <w:rPr>
          <w:rFonts w:hAnsi="宋体" w:hint="eastAsia"/>
          <w:szCs w:val="21"/>
        </w:rPr>
        <w:t>情况</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200"/>
        <w:gridCol w:w="1470"/>
        <w:gridCol w:w="1654"/>
        <w:gridCol w:w="1843"/>
        <w:gridCol w:w="1984"/>
      </w:tblGrid>
      <w:tr w:rsidR="00F96D63" w:rsidTr="00F96D63">
        <w:trPr>
          <w:trHeight w:val="409"/>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对</w:t>
            </w:r>
            <w:proofErr w:type="gramStart"/>
            <w:r>
              <w:rPr>
                <w:rFonts w:hint="eastAsia"/>
                <w:color w:val="000000"/>
                <w:kern w:val="0"/>
                <w:szCs w:val="21"/>
              </w:rPr>
              <w:t>标工厂</w:t>
            </w:r>
            <w:proofErr w:type="gramEnd"/>
          </w:p>
        </w:tc>
        <w:tc>
          <w:tcPr>
            <w:tcW w:w="120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设计产能</w:t>
            </w:r>
          </w:p>
          <w:p w:rsidR="00F96D63" w:rsidRDefault="00F96D63">
            <w:pPr>
              <w:widowControl/>
              <w:jc w:val="center"/>
              <w:rPr>
                <w:color w:val="000000"/>
                <w:kern w:val="0"/>
                <w:szCs w:val="21"/>
              </w:rPr>
            </w:pPr>
            <w:r>
              <w:rPr>
                <w:rFonts w:hint="eastAsia"/>
                <w:color w:val="000000"/>
                <w:kern w:val="0"/>
                <w:szCs w:val="21"/>
              </w:rPr>
              <w:t>（</w:t>
            </w:r>
            <w:r>
              <w:rPr>
                <w:color w:val="000000"/>
                <w:kern w:val="0"/>
                <w:szCs w:val="21"/>
              </w:rPr>
              <w:t>t/d</w:t>
            </w:r>
            <w:r>
              <w:rPr>
                <w:rFonts w:hint="eastAsia"/>
                <w:color w:val="000000"/>
                <w:kern w:val="0"/>
                <w:szCs w:val="21"/>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proofErr w:type="gramStart"/>
            <w:r>
              <w:rPr>
                <w:rFonts w:hint="eastAsia"/>
                <w:color w:val="000000"/>
                <w:kern w:val="0"/>
                <w:szCs w:val="21"/>
              </w:rPr>
              <w:t>海拨</w:t>
            </w:r>
            <w:proofErr w:type="gramEnd"/>
            <w:r>
              <w:rPr>
                <w:rFonts w:hint="eastAsia"/>
                <w:color w:val="000000"/>
                <w:kern w:val="0"/>
                <w:szCs w:val="21"/>
              </w:rPr>
              <w:t>（</w:t>
            </w:r>
            <w:r>
              <w:rPr>
                <w:color w:val="000000"/>
                <w:kern w:val="0"/>
                <w:szCs w:val="21"/>
              </w:rPr>
              <w:t>m</w:t>
            </w:r>
            <w:r>
              <w:rPr>
                <w:rFonts w:hint="eastAsia"/>
                <w:color w:val="000000"/>
                <w:kern w:val="0"/>
                <w:szCs w:val="21"/>
              </w:rPr>
              <w:t>）</w:t>
            </w:r>
          </w:p>
        </w:tc>
        <w:tc>
          <w:tcPr>
            <w:tcW w:w="165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2017</w:t>
            </w:r>
            <w:r>
              <w:rPr>
                <w:rFonts w:hint="eastAsia"/>
                <w:color w:val="000000"/>
                <w:kern w:val="0"/>
                <w:szCs w:val="21"/>
              </w:rPr>
              <w:t>年热耗差</w:t>
            </w:r>
          </w:p>
          <w:p w:rsidR="00F96D63" w:rsidRDefault="00F96D63">
            <w:pPr>
              <w:widowControl/>
              <w:jc w:val="center"/>
              <w:rPr>
                <w:color w:val="000000"/>
                <w:kern w:val="0"/>
                <w:szCs w:val="21"/>
              </w:rPr>
            </w:pPr>
            <w:r>
              <w:rPr>
                <w:rFonts w:hint="eastAsia"/>
                <w:color w:val="000000"/>
                <w:kern w:val="0"/>
                <w:szCs w:val="21"/>
              </w:rPr>
              <w:t>（</w:t>
            </w:r>
            <w:r>
              <w:rPr>
                <w:color w:val="000000"/>
                <w:kern w:val="0"/>
                <w:szCs w:val="21"/>
              </w:rPr>
              <w:t>MJ/t</w:t>
            </w:r>
            <w:r>
              <w:rPr>
                <w:rFonts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熟料综合电耗差</w:t>
            </w:r>
          </w:p>
          <w:p w:rsidR="00F96D63" w:rsidRDefault="00F96D63">
            <w:pPr>
              <w:widowControl/>
              <w:jc w:val="center"/>
              <w:rPr>
                <w:color w:val="000000"/>
                <w:kern w:val="0"/>
                <w:szCs w:val="21"/>
              </w:rPr>
            </w:pPr>
            <w:r>
              <w:rPr>
                <w:rFonts w:hint="eastAsia"/>
                <w:color w:val="000000"/>
                <w:kern w:val="0"/>
                <w:szCs w:val="21"/>
              </w:rPr>
              <w:t>（</w:t>
            </w:r>
            <w:r>
              <w:rPr>
                <w:color w:val="000000"/>
                <w:kern w:val="0"/>
                <w:szCs w:val="21"/>
              </w:rPr>
              <w:t>kW h/t</w:t>
            </w:r>
            <w:r>
              <w:rPr>
                <w:rFonts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CO</w:t>
            </w:r>
            <w:r>
              <w:rPr>
                <w:color w:val="000000"/>
                <w:kern w:val="0"/>
                <w:szCs w:val="21"/>
                <w:vertAlign w:val="subscript"/>
              </w:rPr>
              <w:t>2</w:t>
            </w:r>
            <w:r>
              <w:rPr>
                <w:rFonts w:hint="eastAsia"/>
                <w:color w:val="000000"/>
                <w:kern w:val="0"/>
                <w:szCs w:val="21"/>
              </w:rPr>
              <w:t>排放强度差</w:t>
            </w:r>
          </w:p>
          <w:p w:rsidR="00F96D63" w:rsidRDefault="00F96D63">
            <w:pPr>
              <w:widowControl/>
              <w:jc w:val="center"/>
              <w:rPr>
                <w:color w:val="000000"/>
                <w:kern w:val="0"/>
                <w:szCs w:val="21"/>
              </w:rPr>
            </w:pPr>
            <w:r>
              <w:rPr>
                <w:rFonts w:hint="eastAsia"/>
                <w:color w:val="000000"/>
                <w:kern w:val="0"/>
                <w:szCs w:val="21"/>
              </w:rPr>
              <w:t>（</w:t>
            </w:r>
            <w:r>
              <w:rPr>
                <w:color w:val="000000"/>
                <w:kern w:val="0"/>
                <w:szCs w:val="21"/>
              </w:rPr>
              <w:t>kg/t</w:t>
            </w:r>
            <w:r>
              <w:rPr>
                <w:rFonts w:hint="eastAsia"/>
                <w:color w:val="000000"/>
                <w:kern w:val="0"/>
                <w:szCs w:val="21"/>
              </w:rPr>
              <w:t>）</w:t>
            </w:r>
          </w:p>
        </w:tc>
      </w:tr>
      <w:tr w:rsidR="00F96D63" w:rsidTr="00F96D63">
        <w:trPr>
          <w:trHeight w:val="409"/>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房县</w:t>
            </w:r>
            <w:r>
              <w:rPr>
                <w:color w:val="000000"/>
                <w:kern w:val="0"/>
                <w:szCs w:val="21"/>
              </w:rPr>
              <w:t>VS</w:t>
            </w:r>
            <w:r>
              <w:rPr>
                <w:rFonts w:hint="eastAsia"/>
                <w:color w:val="000000"/>
                <w:kern w:val="0"/>
                <w:szCs w:val="21"/>
              </w:rPr>
              <w:t>日喀则</w:t>
            </w:r>
          </w:p>
        </w:tc>
        <w:tc>
          <w:tcPr>
            <w:tcW w:w="120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2650</w:t>
            </w:r>
          </w:p>
        </w:tc>
        <w:tc>
          <w:tcPr>
            <w:tcW w:w="147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房县：</w:t>
            </w:r>
            <w:r>
              <w:rPr>
                <w:color w:val="000000"/>
                <w:kern w:val="0"/>
                <w:szCs w:val="21"/>
              </w:rPr>
              <w:t>0</w:t>
            </w:r>
          </w:p>
          <w:p w:rsidR="00F96D63" w:rsidRDefault="00F96D63">
            <w:pPr>
              <w:widowControl/>
              <w:jc w:val="center"/>
              <w:rPr>
                <w:color w:val="000000"/>
                <w:kern w:val="0"/>
                <w:szCs w:val="21"/>
              </w:rPr>
            </w:pPr>
            <w:r>
              <w:rPr>
                <w:rFonts w:hint="eastAsia"/>
                <w:color w:val="000000"/>
                <w:kern w:val="0"/>
                <w:szCs w:val="21"/>
              </w:rPr>
              <w:t>日喀则：</w:t>
            </w:r>
            <w:r>
              <w:rPr>
                <w:color w:val="000000"/>
                <w:kern w:val="0"/>
                <w:szCs w:val="21"/>
              </w:rPr>
              <w:t>3900</w:t>
            </w:r>
          </w:p>
        </w:tc>
        <w:tc>
          <w:tcPr>
            <w:tcW w:w="165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95.6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16.05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19.8</w:t>
            </w:r>
          </w:p>
        </w:tc>
      </w:tr>
      <w:tr w:rsidR="00F96D63" w:rsidTr="00F96D63">
        <w:trPr>
          <w:trHeight w:val="484"/>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黄石</w:t>
            </w:r>
            <w:r>
              <w:rPr>
                <w:color w:val="000000"/>
                <w:kern w:val="0"/>
                <w:szCs w:val="21"/>
              </w:rPr>
              <w:t>VS</w:t>
            </w:r>
            <w:r>
              <w:rPr>
                <w:rFonts w:hint="eastAsia"/>
                <w:color w:val="000000"/>
                <w:kern w:val="0"/>
                <w:szCs w:val="21"/>
              </w:rPr>
              <w:t>西藏</w:t>
            </w:r>
          </w:p>
        </w:tc>
        <w:tc>
          <w:tcPr>
            <w:tcW w:w="120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2200</w:t>
            </w:r>
          </w:p>
        </w:tc>
        <w:tc>
          <w:tcPr>
            <w:tcW w:w="147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黄石：</w:t>
            </w:r>
            <w:r>
              <w:rPr>
                <w:color w:val="000000"/>
                <w:kern w:val="0"/>
                <w:szCs w:val="21"/>
              </w:rPr>
              <w:t>0</w:t>
            </w:r>
          </w:p>
          <w:p w:rsidR="00F96D63" w:rsidRDefault="00F96D63">
            <w:pPr>
              <w:widowControl/>
              <w:jc w:val="center"/>
              <w:rPr>
                <w:color w:val="000000"/>
                <w:kern w:val="0"/>
                <w:szCs w:val="21"/>
              </w:rPr>
            </w:pPr>
            <w:r>
              <w:rPr>
                <w:rFonts w:hint="eastAsia"/>
                <w:color w:val="000000"/>
                <w:kern w:val="0"/>
                <w:szCs w:val="21"/>
              </w:rPr>
              <w:t>西藏：</w:t>
            </w:r>
            <w:r>
              <w:rPr>
                <w:color w:val="000000"/>
                <w:kern w:val="0"/>
                <w:szCs w:val="21"/>
              </w:rPr>
              <w:t>3600</w:t>
            </w:r>
          </w:p>
        </w:tc>
        <w:tc>
          <w:tcPr>
            <w:tcW w:w="165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87.4</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15.43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17.6</w:t>
            </w:r>
          </w:p>
        </w:tc>
      </w:tr>
      <w:tr w:rsidR="00F96D63" w:rsidTr="00F96D63">
        <w:trPr>
          <w:trHeight w:val="484"/>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桑植</w:t>
            </w:r>
            <w:r>
              <w:rPr>
                <w:color w:val="000000"/>
                <w:kern w:val="0"/>
                <w:szCs w:val="21"/>
              </w:rPr>
              <w:t>VS</w:t>
            </w:r>
            <w:r>
              <w:rPr>
                <w:rFonts w:hint="eastAsia"/>
                <w:color w:val="000000"/>
                <w:kern w:val="0"/>
                <w:szCs w:val="21"/>
              </w:rPr>
              <w:t>剑川</w:t>
            </w:r>
          </w:p>
        </w:tc>
        <w:tc>
          <w:tcPr>
            <w:tcW w:w="120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2700</w:t>
            </w:r>
          </w:p>
        </w:tc>
        <w:tc>
          <w:tcPr>
            <w:tcW w:w="1470"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rFonts w:hint="eastAsia"/>
                <w:color w:val="000000"/>
                <w:kern w:val="0"/>
                <w:szCs w:val="21"/>
              </w:rPr>
              <w:t>桑植：</w:t>
            </w:r>
            <w:r>
              <w:rPr>
                <w:color w:val="000000"/>
                <w:kern w:val="0"/>
                <w:szCs w:val="21"/>
              </w:rPr>
              <w:t>0</w:t>
            </w:r>
          </w:p>
          <w:p w:rsidR="00F96D63" w:rsidRDefault="00F96D63">
            <w:pPr>
              <w:widowControl/>
              <w:jc w:val="center"/>
              <w:rPr>
                <w:color w:val="000000"/>
                <w:kern w:val="0"/>
                <w:szCs w:val="21"/>
              </w:rPr>
            </w:pPr>
            <w:r>
              <w:rPr>
                <w:rFonts w:hint="eastAsia"/>
                <w:color w:val="000000"/>
                <w:kern w:val="0"/>
                <w:szCs w:val="21"/>
              </w:rPr>
              <w:t>剑川：</w:t>
            </w:r>
            <w:r>
              <w:rPr>
                <w:color w:val="000000"/>
                <w:kern w:val="0"/>
                <w:szCs w:val="21"/>
              </w:rPr>
              <w:t>2200</w:t>
            </w:r>
          </w:p>
        </w:tc>
        <w:tc>
          <w:tcPr>
            <w:tcW w:w="165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120.4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22.35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center"/>
              <w:rPr>
                <w:color w:val="000000"/>
                <w:kern w:val="0"/>
                <w:szCs w:val="21"/>
              </w:rPr>
            </w:pPr>
            <w:r>
              <w:rPr>
                <w:color w:val="000000"/>
                <w:kern w:val="0"/>
                <w:szCs w:val="21"/>
              </w:rPr>
              <w:t>24.9</w:t>
            </w:r>
          </w:p>
        </w:tc>
      </w:tr>
      <w:tr w:rsidR="00F96D63" w:rsidTr="00F96D63">
        <w:trPr>
          <w:trHeight w:val="484"/>
          <w:jc w:val="center"/>
        </w:trPr>
        <w:tc>
          <w:tcPr>
            <w:tcW w:w="9788" w:type="dxa"/>
            <w:gridSpan w:val="6"/>
            <w:tcBorders>
              <w:top w:val="single" w:sz="4" w:space="0" w:color="auto"/>
              <w:left w:val="single" w:sz="4" w:space="0" w:color="auto"/>
              <w:bottom w:val="single" w:sz="4" w:space="0" w:color="auto"/>
              <w:right w:val="single" w:sz="4" w:space="0" w:color="auto"/>
            </w:tcBorders>
            <w:vAlign w:val="center"/>
            <w:hideMark/>
          </w:tcPr>
          <w:p w:rsidR="00F96D63" w:rsidRDefault="00F96D63">
            <w:pPr>
              <w:widowControl/>
              <w:jc w:val="left"/>
              <w:rPr>
                <w:color w:val="000000"/>
                <w:kern w:val="0"/>
                <w:szCs w:val="21"/>
              </w:rPr>
            </w:pPr>
            <w:r>
              <w:rPr>
                <w:rFonts w:hint="eastAsia"/>
                <w:color w:val="000000"/>
                <w:kern w:val="0"/>
                <w:szCs w:val="21"/>
              </w:rPr>
              <w:lastRenderedPageBreak/>
              <w:t>注</w:t>
            </w:r>
            <w:r>
              <w:rPr>
                <w:color w:val="000000"/>
                <w:kern w:val="0"/>
                <w:szCs w:val="21"/>
              </w:rPr>
              <w:t>1</w:t>
            </w:r>
            <w:r>
              <w:rPr>
                <w:rFonts w:hint="eastAsia"/>
                <w:color w:val="000000"/>
                <w:kern w:val="0"/>
                <w:szCs w:val="21"/>
              </w:rPr>
              <w:t>：表中热耗折算</w:t>
            </w:r>
            <w:r>
              <w:rPr>
                <w:color w:val="000000"/>
                <w:kern w:val="0"/>
                <w:szCs w:val="21"/>
              </w:rPr>
              <w:t>CO</w:t>
            </w:r>
            <w:r>
              <w:rPr>
                <w:color w:val="000000"/>
                <w:kern w:val="0"/>
                <w:szCs w:val="21"/>
                <w:vertAlign w:val="subscript"/>
              </w:rPr>
              <w:t>2</w:t>
            </w:r>
            <w:r>
              <w:rPr>
                <w:rFonts w:hint="eastAsia"/>
                <w:color w:val="000000"/>
                <w:kern w:val="0"/>
                <w:szCs w:val="21"/>
              </w:rPr>
              <w:t>排放的热值取为烟煤的默认值；</w:t>
            </w:r>
          </w:p>
          <w:p w:rsidR="00F96D63" w:rsidRDefault="00F96D63">
            <w:pPr>
              <w:widowControl/>
              <w:jc w:val="left"/>
              <w:rPr>
                <w:color w:val="000000"/>
                <w:kern w:val="0"/>
                <w:szCs w:val="21"/>
              </w:rPr>
            </w:pPr>
            <w:r>
              <w:rPr>
                <w:rFonts w:hint="eastAsia"/>
                <w:color w:val="000000"/>
                <w:kern w:val="0"/>
                <w:szCs w:val="21"/>
              </w:rPr>
              <w:t>注</w:t>
            </w:r>
            <w:r>
              <w:rPr>
                <w:color w:val="000000"/>
                <w:kern w:val="0"/>
                <w:szCs w:val="21"/>
              </w:rPr>
              <w:t>2</w:t>
            </w:r>
            <w:r>
              <w:rPr>
                <w:rFonts w:hint="eastAsia"/>
                <w:color w:val="000000"/>
                <w:kern w:val="0"/>
                <w:szCs w:val="21"/>
              </w:rPr>
              <w:t>：表中的电力排放因子采用</w:t>
            </w:r>
            <w:r>
              <w:rPr>
                <w:color w:val="000000"/>
                <w:kern w:val="0"/>
                <w:szCs w:val="21"/>
              </w:rPr>
              <w:t>0.6101tCO</w:t>
            </w:r>
            <w:r>
              <w:rPr>
                <w:color w:val="000000"/>
                <w:kern w:val="0"/>
                <w:szCs w:val="21"/>
                <w:vertAlign w:val="subscript"/>
              </w:rPr>
              <w:t>2</w:t>
            </w:r>
            <w:r>
              <w:rPr>
                <w:color w:val="000000"/>
                <w:kern w:val="0"/>
                <w:szCs w:val="21"/>
              </w:rPr>
              <w:t>/MWh</w:t>
            </w:r>
            <w:r>
              <w:rPr>
                <w:rFonts w:hint="eastAsia"/>
                <w:color w:val="000000"/>
                <w:kern w:val="0"/>
                <w:szCs w:val="21"/>
              </w:rPr>
              <w:t>。</w:t>
            </w:r>
          </w:p>
        </w:tc>
      </w:tr>
    </w:tbl>
    <w:p w:rsidR="00F96D63" w:rsidRDefault="00F96D63" w:rsidP="00F96D63">
      <w:pPr>
        <w:spacing w:line="360" w:lineRule="auto"/>
        <w:ind w:firstLineChars="200" w:firstLine="480"/>
        <w:rPr>
          <w:rFonts w:ascii="Times New Roman" w:hAnsi="Times New Roman" w:cs="Times New Roman"/>
          <w:sz w:val="24"/>
        </w:rPr>
      </w:pPr>
      <w:r>
        <w:rPr>
          <w:rFonts w:hint="eastAsia"/>
          <w:sz w:val="24"/>
        </w:rPr>
        <w:t>水泥行业的特殊性是用风量很大，风机电耗占到熟料电耗的</w:t>
      </w:r>
      <w:r>
        <w:rPr>
          <w:sz w:val="24"/>
        </w:rPr>
        <w:t>60%</w:t>
      </w:r>
      <w:r>
        <w:rPr>
          <w:rFonts w:hint="eastAsia"/>
          <w:sz w:val="24"/>
        </w:rPr>
        <w:t>，因高原地区生产所需工况风量的巨大，造成热耗、电耗的大幅上升，而玻璃、陶瓷等与水泥生产不同，用风少，高原因素影响明显低于水泥。因此，考虑到水泥熟料生产企业的特殊情况，当水泥窑所处海拔高度超过</w:t>
      </w:r>
      <w:r>
        <w:rPr>
          <w:sz w:val="24"/>
        </w:rPr>
        <w:t>1000</w:t>
      </w:r>
      <w:r>
        <w:rPr>
          <w:rFonts w:hint="eastAsia"/>
          <w:sz w:val="24"/>
        </w:rPr>
        <w:t>米时，对其化石燃料燃烧排放进行海拔修正。</w:t>
      </w:r>
    </w:p>
    <w:p w:rsidR="00F452F0" w:rsidRDefault="00F452F0" w:rsidP="00F452F0">
      <w:pPr>
        <w:pStyle w:val="ad"/>
        <w:spacing w:line="360" w:lineRule="auto"/>
        <w:ind w:firstLine="0"/>
        <w:outlineLvl w:val="2"/>
        <w:rPr>
          <w:rFonts w:ascii="黑体" w:eastAsia="黑体" w:hAnsi="黑体"/>
          <w:sz w:val="24"/>
          <w:szCs w:val="24"/>
        </w:rPr>
      </w:pPr>
      <w:r>
        <w:rPr>
          <w:rFonts w:ascii="黑体" w:eastAsia="黑体" w:hAnsi="黑体"/>
          <w:sz w:val="24"/>
          <w:szCs w:val="24"/>
        </w:rPr>
        <w:t>2.2.6</w:t>
      </w:r>
      <w:r>
        <w:rPr>
          <w:rFonts w:ascii="黑体" w:eastAsia="黑体" w:hAnsi="黑体" w:hint="eastAsia"/>
          <w:sz w:val="24"/>
          <w:szCs w:val="24"/>
        </w:rPr>
        <w:t>.1 化石燃料燃烧排放</w:t>
      </w:r>
    </w:p>
    <w:p w:rsidR="00F452F0" w:rsidRDefault="00F452F0" w:rsidP="00F452F0">
      <w:pPr>
        <w:spacing w:line="360" w:lineRule="auto"/>
        <w:ind w:firstLineChars="200" w:firstLine="480"/>
        <w:rPr>
          <w:rFonts w:ascii="Times New Roman" w:hAnsi="Times New Roman"/>
          <w:sz w:val="24"/>
          <w:szCs w:val="24"/>
        </w:rPr>
      </w:pPr>
      <w:r>
        <w:rPr>
          <w:rFonts w:hint="eastAsia"/>
          <w:sz w:val="24"/>
        </w:rPr>
        <w:t>当水泥窑所处海拔高度超过</w:t>
      </w:r>
      <w:r>
        <w:rPr>
          <w:sz w:val="24"/>
        </w:rPr>
        <w:t>1000</w:t>
      </w:r>
      <w:r>
        <w:rPr>
          <w:rFonts w:hint="eastAsia"/>
          <w:sz w:val="24"/>
        </w:rPr>
        <w:t>米时，化石燃料燃烧排放要进行海拔修正，具体修正公式依据</w:t>
      </w:r>
      <w:r>
        <w:rPr>
          <w:sz w:val="24"/>
        </w:rPr>
        <w:t>GB 16780</w:t>
      </w:r>
      <w:r>
        <w:rPr>
          <w:rFonts w:hint="eastAsia"/>
          <w:sz w:val="24"/>
        </w:rPr>
        <w:t>《水泥单位产品能耗限额》。</w:t>
      </w:r>
    </w:p>
    <w:p w:rsidR="00F452F0" w:rsidRDefault="00F452F0" w:rsidP="00F452F0">
      <w:pPr>
        <w:spacing w:line="360" w:lineRule="auto"/>
        <w:ind w:firstLineChars="200" w:firstLine="480"/>
        <w:rPr>
          <w:sz w:val="24"/>
        </w:rPr>
      </w:pPr>
      <w:r>
        <w:rPr>
          <w:rFonts w:hint="eastAsia"/>
          <w:sz w:val="24"/>
        </w:rPr>
        <w:t>化石燃料的低位发热量鼓励企业取实测值，其中煤的低位发热量检测应遵循</w:t>
      </w:r>
      <w:r>
        <w:rPr>
          <w:sz w:val="24"/>
        </w:rPr>
        <w:t>GB/T 213</w:t>
      </w:r>
      <w:r>
        <w:rPr>
          <w:rFonts w:hint="eastAsia"/>
          <w:sz w:val="24"/>
        </w:rPr>
        <w:t>，天然气的低位发热量检测应遵循</w:t>
      </w:r>
      <w:r>
        <w:rPr>
          <w:sz w:val="24"/>
        </w:rPr>
        <w:t>GB/T 11062</w:t>
      </w:r>
      <w:r>
        <w:rPr>
          <w:rFonts w:hint="eastAsia"/>
          <w:sz w:val="24"/>
        </w:rPr>
        <w:t>。若企业没有实测值，则可采用标准附录</w:t>
      </w:r>
      <w:r>
        <w:rPr>
          <w:sz w:val="24"/>
        </w:rPr>
        <w:t>A</w:t>
      </w:r>
      <w:r>
        <w:rPr>
          <w:rFonts w:hint="eastAsia"/>
          <w:sz w:val="24"/>
        </w:rPr>
        <w:t>中给出的推荐值；单位热值含碳量和碳氧化</w:t>
      </w:r>
      <w:proofErr w:type="gramStart"/>
      <w:r>
        <w:rPr>
          <w:rFonts w:hint="eastAsia"/>
          <w:sz w:val="24"/>
        </w:rPr>
        <w:t>率企业</w:t>
      </w:r>
      <w:proofErr w:type="gramEnd"/>
      <w:r>
        <w:rPr>
          <w:rFonts w:hint="eastAsia"/>
          <w:sz w:val="24"/>
        </w:rPr>
        <w:t>一般不进行实测，也可采用附录</w:t>
      </w:r>
      <w:r>
        <w:rPr>
          <w:sz w:val="24"/>
        </w:rPr>
        <w:t>A</w:t>
      </w:r>
      <w:r>
        <w:rPr>
          <w:rFonts w:hint="eastAsia"/>
          <w:sz w:val="24"/>
        </w:rPr>
        <w:t>给出的推荐值。</w:t>
      </w:r>
    </w:p>
    <w:p w:rsidR="00F452F0" w:rsidRDefault="00F452F0" w:rsidP="00F452F0">
      <w:pPr>
        <w:pStyle w:val="ad"/>
        <w:spacing w:line="360" w:lineRule="auto"/>
        <w:ind w:firstLine="0"/>
        <w:outlineLvl w:val="2"/>
        <w:rPr>
          <w:rFonts w:ascii="黑体" w:eastAsia="黑体" w:hAnsi="黑体"/>
          <w:sz w:val="24"/>
          <w:szCs w:val="24"/>
        </w:rPr>
      </w:pPr>
      <w:r>
        <w:rPr>
          <w:rFonts w:ascii="黑体" w:eastAsia="黑体" w:hAnsi="黑体"/>
          <w:sz w:val="24"/>
          <w:szCs w:val="24"/>
        </w:rPr>
        <w:t>2.2.6</w:t>
      </w:r>
      <w:r>
        <w:rPr>
          <w:rFonts w:ascii="黑体" w:eastAsia="黑体" w:hAnsi="黑体" w:hint="eastAsia"/>
          <w:sz w:val="24"/>
          <w:szCs w:val="24"/>
        </w:rPr>
        <w:t xml:space="preserve">.2 </w:t>
      </w:r>
      <w:r w:rsidR="00996C2B">
        <w:rPr>
          <w:rFonts w:ascii="黑体" w:eastAsia="黑体" w:hAnsi="黑体" w:hint="eastAsia"/>
          <w:sz w:val="24"/>
          <w:szCs w:val="24"/>
        </w:rPr>
        <w:t>碳酸盐分解</w:t>
      </w:r>
      <w:r>
        <w:rPr>
          <w:rFonts w:ascii="黑体" w:eastAsia="黑体" w:hAnsi="黑体" w:hint="eastAsia"/>
          <w:sz w:val="24"/>
          <w:szCs w:val="24"/>
        </w:rPr>
        <w:t>排放</w:t>
      </w:r>
    </w:p>
    <w:p w:rsidR="00F452F0" w:rsidRDefault="00F452F0" w:rsidP="00F452F0">
      <w:pPr>
        <w:spacing w:line="360" w:lineRule="auto"/>
        <w:ind w:firstLineChars="200" w:firstLine="480"/>
        <w:rPr>
          <w:rFonts w:ascii="Times New Roman" w:hAnsi="Times New Roman"/>
          <w:sz w:val="24"/>
          <w:szCs w:val="24"/>
        </w:rPr>
      </w:pPr>
      <w:r>
        <w:rPr>
          <w:rFonts w:hint="eastAsia"/>
          <w:sz w:val="24"/>
        </w:rPr>
        <w:t>工业生产过程仅统计熟料对应的碳酸盐分解排放，粉尘对应的碳酸盐分解排放忽略不计。</w:t>
      </w:r>
    </w:p>
    <w:p w:rsidR="00F452F0" w:rsidRDefault="00F452F0" w:rsidP="00F452F0">
      <w:pPr>
        <w:pStyle w:val="ad"/>
        <w:spacing w:line="360" w:lineRule="auto"/>
        <w:ind w:firstLine="0"/>
        <w:outlineLvl w:val="2"/>
        <w:rPr>
          <w:rFonts w:ascii="黑体" w:eastAsia="黑体" w:hAnsi="黑体"/>
          <w:sz w:val="24"/>
          <w:szCs w:val="24"/>
        </w:rPr>
      </w:pPr>
      <w:r>
        <w:rPr>
          <w:rFonts w:ascii="黑体" w:eastAsia="黑体" w:hAnsi="黑体"/>
          <w:sz w:val="24"/>
          <w:szCs w:val="24"/>
        </w:rPr>
        <w:t>2.2.6</w:t>
      </w:r>
      <w:r>
        <w:rPr>
          <w:rFonts w:ascii="黑体" w:eastAsia="黑体" w:hAnsi="黑体" w:hint="eastAsia"/>
          <w:sz w:val="24"/>
          <w:szCs w:val="24"/>
        </w:rPr>
        <w:t>.3 购入电力</w:t>
      </w:r>
      <w:r w:rsidR="00996C2B">
        <w:rPr>
          <w:rFonts w:ascii="黑体" w:eastAsia="黑体" w:hAnsi="黑体" w:hint="eastAsia"/>
          <w:sz w:val="24"/>
          <w:szCs w:val="24"/>
        </w:rPr>
        <w:t>产生</w:t>
      </w:r>
      <w:r>
        <w:rPr>
          <w:rFonts w:ascii="黑体" w:eastAsia="黑体" w:hAnsi="黑体" w:hint="eastAsia"/>
          <w:sz w:val="24"/>
          <w:szCs w:val="24"/>
        </w:rPr>
        <w:t>的排放</w:t>
      </w:r>
    </w:p>
    <w:p w:rsidR="00F96D63" w:rsidRPr="00F452F0" w:rsidRDefault="00F452F0">
      <w:pPr>
        <w:spacing w:line="360" w:lineRule="auto"/>
        <w:ind w:firstLineChars="200" w:firstLine="480"/>
        <w:rPr>
          <w:rFonts w:ascii="Times New Roman" w:hAnsi="Times New Roman" w:cs="Times New Roman"/>
          <w:sz w:val="24"/>
        </w:rPr>
      </w:pPr>
      <w:r>
        <w:rPr>
          <w:rFonts w:hint="eastAsia"/>
          <w:sz w:val="24"/>
        </w:rPr>
        <w:t>虽然高原地区的水泥熟料生产企业所需工况风量巨大，电耗较平原地区高，但考虑到电力消耗蕴含的碳排放仅占水泥熟料生产过程碳排放的</w:t>
      </w:r>
      <w:r>
        <w:rPr>
          <w:sz w:val="24"/>
        </w:rPr>
        <w:t>30%-35%</w:t>
      </w:r>
      <w:r>
        <w:rPr>
          <w:rFonts w:hint="eastAsia"/>
          <w:sz w:val="24"/>
        </w:rPr>
        <w:t>，且为响应国家建设碳市场的统一要求，电力排放因子选用最新发布的全国电网平均排放因子，水泥企业的电力排放不体现各区域电网的电力清洁度，因此，电力排放不进行海拔修正。</w:t>
      </w:r>
    </w:p>
    <w:p w:rsidR="0036571D" w:rsidRDefault="00E7366E">
      <w:pPr>
        <w:spacing w:line="360" w:lineRule="auto"/>
        <w:outlineLvl w:val="2"/>
        <w:rPr>
          <w:rFonts w:ascii="Times New Roman" w:hAnsi="Times New Roman" w:cs="Times New Roman"/>
          <w:sz w:val="28"/>
          <w:szCs w:val="28"/>
        </w:rPr>
      </w:pPr>
      <w:r>
        <w:rPr>
          <w:rFonts w:ascii="Times New Roman" w:hAnsi="Times New Roman" w:cs="Times New Roman"/>
          <w:sz w:val="28"/>
          <w:szCs w:val="28"/>
        </w:rPr>
        <w:t xml:space="preserve">2.2.7 </w:t>
      </w:r>
      <w:r>
        <w:rPr>
          <w:rFonts w:ascii="Times New Roman" w:hAnsi="Times New Roman" w:cs="Times New Roman"/>
          <w:sz w:val="28"/>
          <w:szCs w:val="28"/>
        </w:rPr>
        <w:t>附</w:t>
      </w:r>
      <w:r>
        <w:rPr>
          <w:rFonts w:ascii="Times New Roman" w:hAnsi="Times New Roman" w:cs="Times New Roman" w:hint="eastAsia"/>
          <w:sz w:val="28"/>
          <w:szCs w:val="28"/>
        </w:rPr>
        <w:t>录</w:t>
      </w:r>
      <w:r>
        <w:rPr>
          <w:rFonts w:ascii="Times New Roman" w:hAnsi="Times New Roman" w:cs="Times New Roman"/>
          <w:sz w:val="28"/>
          <w:szCs w:val="28"/>
        </w:rPr>
        <w:t>A</w:t>
      </w:r>
    </w:p>
    <w:p w:rsidR="0036571D" w:rsidRDefault="007E307E">
      <w:pPr>
        <w:spacing w:line="360" w:lineRule="auto"/>
        <w:ind w:firstLineChars="200" w:firstLine="480"/>
        <w:rPr>
          <w:rFonts w:ascii="Times New Roman" w:hAnsi="Times New Roman" w:cs="Times New Roman"/>
          <w:sz w:val="24"/>
        </w:rPr>
      </w:pPr>
      <w:r>
        <w:rPr>
          <w:rFonts w:hint="eastAsia"/>
          <w:sz w:val="24"/>
        </w:rPr>
        <w:t>资料性附录，表</w:t>
      </w:r>
      <w:r>
        <w:rPr>
          <w:sz w:val="24"/>
        </w:rPr>
        <w:t>A.1</w:t>
      </w:r>
      <w:r>
        <w:rPr>
          <w:rFonts w:hint="eastAsia"/>
          <w:sz w:val="24"/>
        </w:rPr>
        <w:t>给出了水泥熟料生产企业常用燃料的低位发热量、单位热值含碳量和燃烧碳氧化率的推荐值。</w:t>
      </w:r>
    </w:p>
    <w:p w:rsidR="0036571D" w:rsidRDefault="00E7366E">
      <w:pPr>
        <w:pStyle w:val="1"/>
        <w:rPr>
          <w:rFonts w:hAnsi="宋体"/>
          <w:sz w:val="34"/>
          <w:szCs w:val="36"/>
        </w:rPr>
      </w:pPr>
      <w:r>
        <w:rPr>
          <w:rFonts w:hAnsi="宋体"/>
          <w:sz w:val="34"/>
          <w:szCs w:val="36"/>
        </w:rPr>
        <w:t>三、</w:t>
      </w:r>
      <w:r>
        <w:rPr>
          <w:rFonts w:hAnsi="宋体" w:hint="eastAsia"/>
          <w:sz w:val="34"/>
          <w:szCs w:val="36"/>
        </w:rPr>
        <w:t>标准</w:t>
      </w:r>
      <w:r>
        <w:rPr>
          <w:rFonts w:hAnsi="宋体"/>
          <w:sz w:val="34"/>
          <w:szCs w:val="36"/>
        </w:rPr>
        <w:t>试用及预期效果</w:t>
      </w:r>
    </w:p>
    <w:p w:rsidR="002F288A" w:rsidRDefault="002F288A" w:rsidP="002F288A">
      <w:pPr>
        <w:spacing w:line="360" w:lineRule="auto"/>
        <w:ind w:firstLineChars="200" w:firstLine="480"/>
        <w:rPr>
          <w:sz w:val="24"/>
        </w:rPr>
      </w:pPr>
      <w:r>
        <w:rPr>
          <w:rFonts w:hint="eastAsia"/>
          <w:sz w:val="24"/>
        </w:rPr>
        <w:t>通过对多家水泥熟料生产企业的实际考察、验证，确定本标准提出的技术要</w:t>
      </w:r>
      <w:r>
        <w:rPr>
          <w:rFonts w:hint="eastAsia"/>
          <w:sz w:val="24"/>
        </w:rPr>
        <w:lastRenderedPageBreak/>
        <w:t>求、核算边界和核算方法与水泥熟料生产企业的实际生产管理运行情况相符合，可操作性强。</w:t>
      </w:r>
    </w:p>
    <w:p w:rsidR="0036571D" w:rsidRDefault="002F288A" w:rsidP="002F288A">
      <w:pPr>
        <w:spacing w:line="360" w:lineRule="auto"/>
        <w:ind w:firstLineChars="200" w:firstLine="480"/>
        <w:rPr>
          <w:rFonts w:ascii="宋体" w:hAnsi="宋体"/>
          <w:sz w:val="24"/>
        </w:rPr>
      </w:pPr>
      <w:r>
        <w:rPr>
          <w:rFonts w:hint="eastAsia"/>
          <w:sz w:val="24"/>
        </w:rPr>
        <w:t>编制组于</w:t>
      </w:r>
      <w:r>
        <w:rPr>
          <w:sz w:val="24"/>
        </w:rPr>
        <w:t>2018</w:t>
      </w:r>
      <w:r>
        <w:rPr>
          <w:rFonts w:hint="eastAsia"/>
          <w:sz w:val="24"/>
        </w:rPr>
        <w:t>年</w:t>
      </w:r>
      <w:r>
        <w:rPr>
          <w:sz w:val="24"/>
        </w:rPr>
        <w:t>4</w:t>
      </w:r>
      <w:r>
        <w:rPr>
          <w:rFonts w:hint="eastAsia"/>
          <w:sz w:val="24"/>
        </w:rPr>
        <w:t>月启动标准的验证及试点工作，主要选取行业中工艺技术典型、管理完善、具有一定影响力的企业为验证对象。通过对企业开展《水泥熟料单位产品碳排放限额》内容宣贯，使企业掌握了其碳排放水平，同时也了解</w:t>
      </w:r>
      <w:proofErr w:type="gramStart"/>
      <w:r>
        <w:rPr>
          <w:rFonts w:hint="eastAsia"/>
          <w:sz w:val="24"/>
        </w:rPr>
        <w:t>到减碳的</w:t>
      </w:r>
      <w:proofErr w:type="gramEnd"/>
      <w:r>
        <w:rPr>
          <w:rFonts w:hint="eastAsia"/>
          <w:sz w:val="24"/>
        </w:rPr>
        <w:t>途径</w:t>
      </w:r>
      <w:proofErr w:type="gramStart"/>
      <w:r>
        <w:rPr>
          <w:rFonts w:hint="eastAsia"/>
          <w:sz w:val="24"/>
        </w:rPr>
        <w:t>及减碳的</w:t>
      </w:r>
      <w:proofErr w:type="gramEnd"/>
      <w:r>
        <w:rPr>
          <w:rFonts w:hint="eastAsia"/>
          <w:sz w:val="24"/>
        </w:rPr>
        <w:t>必要性。</w:t>
      </w:r>
    </w:p>
    <w:p w:rsidR="0036571D" w:rsidRDefault="00E7366E">
      <w:pPr>
        <w:pStyle w:val="1"/>
        <w:rPr>
          <w:rFonts w:hAnsi="宋体"/>
          <w:sz w:val="34"/>
          <w:szCs w:val="36"/>
        </w:rPr>
      </w:pPr>
      <w:r>
        <w:rPr>
          <w:rFonts w:hAnsi="宋体"/>
          <w:sz w:val="34"/>
          <w:szCs w:val="36"/>
        </w:rPr>
        <w:t>四</w:t>
      </w:r>
      <w:r>
        <w:rPr>
          <w:rFonts w:hAnsi="宋体" w:hint="eastAsia"/>
          <w:sz w:val="34"/>
          <w:szCs w:val="36"/>
        </w:rPr>
        <w:t>、与</w:t>
      </w:r>
      <w:r>
        <w:rPr>
          <w:rFonts w:hAnsi="宋体"/>
          <w:sz w:val="34"/>
          <w:szCs w:val="36"/>
        </w:rPr>
        <w:t>国际标准对比情况</w:t>
      </w:r>
    </w:p>
    <w:p w:rsidR="0036571D" w:rsidRDefault="00E7366E">
      <w:pPr>
        <w:spacing w:line="360" w:lineRule="auto"/>
        <w:ind w:firstLineChars="200" w:firstLine="480"/>
        <w:rPr>
          <w:rFonts w:ascii="宋体" w:hAnsi="宋体"/>
          <w:sz w:val="24"/>
        </w:rPr>
      </w:pPr>
      <w:r>
        <w:rPr>
          <w:rFonts w:ascii="宋体" w:hAnsi="宋体" w:hint="eastAsia"/>
          <w:sz w:val="24"/>
        </w:rPr>
        <w:t>本标准未直接引用国际标准，但在编制过程中参考了以下国际标准或文献：</w:t>
      </w:r>
    </w:p>
    <w:p w:rsidR="0036571D" w:rsidRDefault="00E7366E">
      <w:pPr>
        <w:spacing w:line="360" w:lineRule="auto"/>
        <w:ind w:firstLineChars="200" w:firstLine="480"/>
        <w:rPr>
          <w:rFonts w:ascii="宋体" w:hAnsi="宋体"/>
          <w:sz w:val="24"/>
        </w:rPr>
      </w:pPr>
      <w:r>
        <w:rPr>
          <w:rFonts w:ascii="宋体" w:hAnsi="宋体" w:hint="eastAsia"/>
          <w:sz w:val="24"/>
        </w:rPr>
        <w:t>（1）</w:t>
      </w:r>
      <w:r>
        <w:rPr>
          <w:rFonts w:ascii="宋体" w:hAnsi="宋体"/>
          <w:sz w:val="24"/>
        </w:rPr>
        <w:t>ISO</w:t>
      </w:r>
      <w:r>
        <w:rPr>
          <w:rFonts w:ascii="宋体" w:hAnsi="宋体" w:hint="eastAsia"/>
          <w:sz w:val="24"/>
        </w:rPr>
        <w:t>环境管理技术委员会（</w:t>
      </w:r>
      <w:r>
        <w:rPr>
          <w:rFonts w:ascii="宋体" w:hAnsi="宋体"/>
          <w:sz w:val="24"/>
        </w:rPr>
        <w:t>ISO/TC207</w:t>
      </w:r>
      <w:r>
        <w:rPr>
          <w:rFonts w:ascii="宋体" w:hAnsi="宋体" w:hint="eastAsia"/>
          <w:sz w:val="24"/>
        </w:rPr>
        <w:t>）温室气体管理分技术委员会（</w:t>
      </w:r>
      <w:r>
        <w:rPr>
          <w:rFonts w:ascii="宋体" w:hAnsi="宋体"/>
          <w:sz w:val="24"/>
        </w:rPr>
        <w:t>SC7</w:t>
      </w:r>
      <w:r>
        <w:rPr>
          <w:rFonts w:ascii="宋体" w:hAnsi="宋体" w:hint="eastAsia"/>
          <w:sz w:val="24"/>
        </w:rPr>
        <w:t>）已发布的《组织层面温室气体排放与清除的量化与报告》（</w:t>
      </w:r>
      <w:r>
        <w:rPr>
          <w:rFonts w:ascii="宋体" w:hAnsi="宋体"/>
          <w:sz w:val="24"/>
        </w:rPr>
        <w:t>ISO 14064-1 2006</w:t>
      </w:r>
      <w:r>
        <w:rPr>
          <w:rFonts w:ascii="宋体" w:hAnsi="宋体" w:hint="eastAsia"/>
          <w:sz w:val="24"/>
        </w:rPr>
        <w:t>）；</w:t>
      </w:r>
    </w:p>
    <w:p w:rsidR="0036571D" w:rsidRDefault="00E7366E">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）I</w:t>
      </w:r>
      <w:r>
        <w:rPr>
          <w:rFonts w:ascii="宋体" w:hAnsi="宋体"/>
          <w:sz w:val="24"/>
        </w:rPr>
        <w:t>PCC国家温室气体清单指南</w:t>
      </w:r>
      <w:r>
        <w:rPr>
          <w:rFonts w:ascii="宋体" w:hAnsi="宋体" w:hint="eastAsia"/>
          <w:sz w:val="24"/>
        </w:rPr>
        <w:t>2</w:t>
      </w:r>
      <w:r>
        <w:rPr>
          <w:rFonts w:ascii="宋体" w:hAnsi="宋体"/>
          <w:sz w:val="24"/>
        </w:rPr>
        <w:t>006</w:t>
      </w:r>
      <w:r>
        <w:rPr>
          <w:rFonts w:ascii="宋体" w:hAnsi="宋体" w:hint="eastAsia"/>
          <w:sz w:val="24"/>
        </w:rPr>
        <w:t>。</w:t>
      </w:r>
    </w:p>
    <w:p w:rsidR="0036571D" w:rsidRDefault="00E7366E">
      <w:pPr>
        <w:spacing w:line="360" w:lineRule="auto"/>
        <w:ind w:firstLineChars="200" w:firstLine="480"/>
        <w:rPr>
          <w:rFonts w:ascii="宋体" w:hAnsi="宋体"/>
          <w:sz w:val="24"/>
        </w:rPr>
      </w:pPr>
      <w:r>
        <w:rPr>
          <w:rFonts w:ascii="宋体" w:hAnsi="宋体"/>
          <w:sz w:val="24"/>
        </w:rPr>
        <w:t>本标准与上述国际标准相比</w:t>
      </w:r>
      <w:r>
        <w:rPr>
          <w:rFonts w:ascii="宋体" w:hAnsi="宋体" w:hint="eastAsia"/>
          <w:sz w:val="24"/>
        </w:rPr>
        <w:t>，更加适合中国的国情和具体行业，与中国国内的政策实现有效衔接，同时具备科学性、准确性、可操作性等特点，达到国内先进水平。</w:t>
      </w:r>
    </w:p>
    <w:p w:rsidR="0036571D" w:rsidRDefault="00E7366E">
      <w:pPr>
        <w:pStyle w:val="1"/>
        <w:rPr>
          <w:rFonts w:hAnsi="宋体"/>
          <w:sz w:val="34"/>
          <w:szCs w:val="36"/>
        </w:rPr>
      </w:pPr>
      <w:r>
        <w:rPr>
          <w:rFonts w:hAnsi="宋体"/>
          <w:sz w:val="34"/>
          <w:szCs w:val="36"/>
        </w:rPr>
        <w:t>五</w:t>
      </w:r>
      <w:r>
        <w:rPr>
          <w:rFonts w:hAnsi="宋体" w:hint="eastAsia"/>
          <w:sz w:val="34"/>
          <w:szCs w:val="36"/>
        </w:rPr>
        <w:t>、与有关的现行法律、法规和强制性国家标准的关系</w:t>
      </w:r>
    </w:p>
    <w:p w:rsidR="0036571D" w:rsidRDefault="00E7366E">
      <w:pPr>
        <w:spacing w:line="360" w:lineRule="auto"/>
        <w:ind w:firstLineChars="200" w:firstLine="480"/>
        <w:rPr>
          <w:sz w:val="24"/>
        </w:rPr>
      </w:pPr>
      <w:r>
        <w:rPr>
          <w:sz w:val="24"/>
        </w:rPr>
        <w:t>本标准符合我国有关法律</w:t>
      </w:r>
      <w:r>
        <w:rPr>
          <w:rFonts w:hint="eastAsia"/>
          <w:sz w:val="24"/>
        </w:rPr>
        <w:t>、</w:t>
      </w:r>
      <w:r>
        <w:rPr>
          <w:sz w:val="24"/>
        </w:rPr>
        <w:t>法规的要求</w:t>
      </w:r>
      <w:r>
        <w:rPr>
          <w:rFonts w:hint="eastAsia"/>
          <w:sz w:val="24"/>
        </w:rPr>
        <w:t>，</w:t>
      </w:r>
      <w:r>
        <w:rPr>
          <w:sz w:val="24"/>
        </w:rPr>
        <w:t>并与国家相关政策</w:t>
      </w:r>
      <w:r>
        <w:rPr>
          <w:rFonts w:hint="eastAsia"/>
          <w:sz w:val="24"/>
        </w:rPr>
        <w:t>、</w:t>
      </w:r>
      <w:r>
        <w:rPr>
          <w:sz w:val="24"/>
        </w:rPr>
        <w:t>规划等保持一致</w:t>
      </w:r>
      <w:r>
        <w:rPr>
          <w:rFonts w:hint="eastAsia"/>
          <w:sz w:val="24"/>
        </w:rPr>
        <w:t>。</w:t>
      </w:r>
    </w:p>
    <w:p w:rsidR="0036571D" w:rsidRDefault="00E7366E">
      <w:pPr>
        <w:pStyle w:val="1"/>
        <w:rPr>
          <w:rFonts w:hAnsi="宋体"/>
          <w:sz w:val="34"/>
          <w:szCs w:val="36"/>
        </w:rPr>
      </w:pPr>
      <w:r>
        <w:rPr>
          <w:rFonts w:hAnsi="宋体" w:hint="eastAsia"/>
          <w:sz w:val="34"/>
          <w:szCs w:val="36"/>
        </w:rPr>
        <w:t>六、重大分歧意见的处理经过和依据</w:t>
      </w:r>
    </w:p>
    <w:p w:rsidR="0036571D" w:rsidRDefault="00E7366E">
      <w:pPr>
        <w:spacing w:line="360" w:lineRule="auto"/>
        <w:ind w:firstLineChars="200" w:firstLine="480"/>
        <w:rPr>
          <w:sz w:val="24"/>
        </w:rPr>
      </w:pPr>
      <w:r>
        <w:rPr>
          <w:rFonts w:hint="eastAsia"/>
          <w:sz w:val="24"/>
        </w:rPr>
        <w:t>本标准编制过程中未出现重大分歧意见。</w:t>
      </w:r>
    </w:p>
    <w:p w:rsidR="0036571D" w:rsidRDefault="00E7366E">
      <w:pPr>
        <w:pStyle w:val="1"/>
        <w:rPr>
          <w:sz w:val="24"/>
        </w:rPr>
      </w:pPr>
      <w:r>
        <w:rPr>
          <w:rFonts w:hAnsi="宋体" w:hint="eastAsia"/>
          <w:sz w:val="34"/>
          <w:szCs w:val="36"/>
        </w:rPr>
        <w:t>七、作为强制性国家标准或推荐性国家标准的建议</w:t>
      </w:r>
    </w:p>
    <w:p w:rsidR="0036571D" w:rsidRDefault="00E7366E">
      <w:pPr>
        <w:spacing w:line="360" w:lineRule="auto"/>
        <w:ind w:firstLineChars="200" w:firstLine="480"/>
        <w:rPr>
          <w:sz w:val="24"/>
        </w:rPr>
      </w:pPr>
      <w:r>
        <w:rPr>
          <w:sz w:val="24"/>
        </w:rPr>
        <w:t>本</w:t>
      </w:r>
      <w:r>
        <w:rPr>
          <w:rFonts w:hint="eastAsia"/>
          <w:sz w:val="24"/>
        </w:rPr>
        <w:t>标准</w:t>
      </w:r>
      <w:r>
        <w:rPr>
          <w:sz w:val="24"/>
        </w:rPr>
        <w:t>作为</w:t>
      </w:r>
      <w:r>
        <w:rPr>
          <w:rFonts w:hint="eastAsia"/>
          <w:sz w:val="24"/>
        </w:rPr>
        <w:t>推荐性国家标准发布实施。</w:t>
      </w:r>
    </w:p>
    <w:p w:rsidR="0036571D" w:rsidRDefault="00E7366E">
      <w:pPr>
        <w:pStyle w:val="1"/>
        <w:rPr>
          <w:rFonts w:hAnsi="宋体"/>
          <w:sz w:val="34"/>
          <w:szCs w:val="36"/>
        </w:rPr>
      </w:pPr>
      <w:r>
        <w:rPr>
          <w:rFonts w:hAnsi="宋体" w:hint="eastAsia"/>
          <w:sz w:val="34"/>
          <w:szCs w:val="36"/>
        </w:rPr>
        <w:lastRenderedPageBreak/>
        <w:t>八、贯彻国家标准的要求和措施建议</w:t>
      </w:r>
    </w:p>
    <w:p w:rsidR="0036571D" w:rsidRDefault="00E7366E">
      <w:pPr>
        <w:spacing w:line="360" w:lineRule="auto"/>
        <w:ind w:firstLineChars="200" w:firstLine="480"/>
        <w:rPr>
          <w:rFonts w:ascii="宋体" w:hAnsi="宋体"/>
          <w:sz w:val="24"/>
        </w:rPr>
      </w:pPr>
      <w:r>
        <w:rPr>
          <w:rFonts w:ascii="宋体" w:hAnsi="宋体" w:hint="eastAsia"/>
          <w:sz w:val="24"/>
        </w:rPr>
        <w:t>本标准由全国碳排放管理标准化技术委员会（SAC/TC548）归口并负责解释和修订。</w:t>
      </w:r>
    </w:p>
    <w:p w:rsidR="0036571D" w:rsidRDefault="00E7366E">
      <w:pPr>
        <w:pStyle w:val="1"/>
        <w:rPr>
          <w:rFonts w:hAnsi="宋体"/>
          <w:sz w:val="34"/>
          <w:szCs w:val="36"/>
        </w:rPr>
      </w:pPr>
      <w:r>
        <w:rPr>
          <w:rFonts w:hAnsi="宋体" w:hint="eastAsia"/>
          <w:sz w:val="34"/>
          <w:szCs w:val="36"/>
        </w:rPr>
        <w:t>九、废止现行有关标准的建议</w:t>
      </w:r>
    </w:p>
    <w:p w:rsidR="0036571D" w:rsidRDefault="00E7366E">
      <w:pPr>
        <w:spacing w:line="360" w:lineRule="auto"/>
        <w:ind w:firstLineChars="200" w:firstLine="480"/>
        <w:rPr>
          <w:sz w:val="24"/>
        </w:rPr>
      </w:pPr>
      <w:r>
        <w:rPr>
          <w:rFonts w:hint="eastAsia"/>
          <w:sz w:val="24"/>
        </w:rPr>
        <w:t>无。</w:t>
      </w:r>
    </w:p>
    <w:p w:rsidR="0036571D" w:rsidRDefault="00E7366E">
      <w:pPr>
        <w:pStyle w:val="1"/>
        <w:rPr>
          <w:rFonts w:hAnsi="宋体"/>
          <w:sz w:val="34"/>
          <w:szCs w:val="36"/>
        </w:rPr>
      </w:pPr>
      <w:r>
        <w:rPr>
          <w:rFonts w:hAnsi="宋体" w:hint="eastAsia"/>
          <w:sz w:val="34"/>
          <w:szCs w:val="36"/>
        </w:rPr>
        <w:t>十、其他应予说明的事项。</w:t>
      </w:r>
    </w:p>
    <w:p w:rsidR="0036571D" w:rsidRDefault="00E7366E">
      <w:pPr>
        <w:spacing w:line="360" w:lineRule="auto"/>
        <w:ind w:firstLineChars="200" w:firstLine="480"/>
        <w:rPr>
          <w:sz w:val="24"/>
        </w:rPr>
      </w:pPr>
      <w:r>
        <w:rPr>
          <w:rFonts w:hint="eastAsia"/>
          <w:sz w:val="24"/>
        </w:rPr>
        <w:t>无。</w:t>
      </w:r>
    </w:p>
    <w:sectPr w:rsidR="00365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CA" w:rsidRDefault="002141CA">
      <w:r>
        <w:separator/>
      </w:r>
    </w:p>
  </w:endnote>
  <w:endnote w:type="continuationSeparator" w:id="0">
    <w:p w:rsidR="002141CA" w:rsidRDefault="0021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1D" w:rsidRDefault="00E736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71D" w:rsidRDefault="003657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1D" w:rsidRDefault="00E736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74B6A">
      <w:rPr>
        <w:rStyle w:val="a5"/>
        <w:noProof/>
      </w:rPr>
      <w:t>3</w:t>
    </w:r>
    <w:r>
      <w:rPr>
        <w:rStyle w:val="a5"/>
      </w:rPr>
      <w:fldChar w:fldCharType="end"/>
    </w:r>
  </w:p>
  <w:p w:rsidR="0036571D" w:rsidRDefault="003657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CA" w:rsidRDefault="002141CA">
      <w:r>
        <w:separator/>
      </w:r>
    </w:p>
  </w:footnote>
  <w:footnote w:type="continuationSeparator" w:id="0">
    <w:p w:rsidR="002141CA" w:rsidRDefault="00214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1D" w:rsidRDefault="0036571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8E8CF5C"/>
    <w:lvl w:ilvl="0">
      <w:start w:val="1"/>
      <w:numFmt w:val="decimal"/>
      <w:lvlText w:val="%1)"/>
      <w:lvlJc w:val="left"/>
      <w:pPr>
        <w:ind w:left="360" w:hanging="360"/>
      </w:pPr>
      <w:rPr>
        <w:rFonts w:hint="default"/>
        <w:b w:val="0"/>
      </w:rPr>
    </w:lvl>
    <w:lvl w:ilvl="1">
      <w:start w:val="2"/>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2"/>
    <w:multiLevelType w:val="hybridMultilevel"/>
    <w:tmpl w:val="91FC19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0000003"/>
    <w:multiLevelType w:val="hybridMultilevel"/>
    <w:tmpl w:val="429E1B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0000004"/>
    <w:multiLevelType w:val="hybridMultilevel"/>
    <w:tmpl w:val="429E1B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0000005"/>
    <w:multiLevelType w:val="hybridMultilevel"/>
    <w:tmpl w:val="8DEAE7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00000006"/>
    <w:multiLevelType w:val="hybridMultilevel"/>
    <w:tmpl w:val="39109CC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00000007"/>
    <w:multiLevelType w:val="hybridMultilevel"/>
    <w:tmpl w:val="CA583E42"/>
    <w:lvl w:ilvl="0" w:tplc="9028F610">
      <w:start w:val="1"/>
      <w:numFmt w:val="decimal"/>
      <w:lvlText w:val="%1."/>
      <w:lvlJc w:val="left"/>
      <w:pPr>
        <w:ind w:left="900" w:hanging="420"/>
      </w:pPr>
    </w:lvl>
    <w:lvl w:ilvl="1" w:tplc="59161050" w:tentative="1">
      <w:start w:val="1"/>
      <w:numFmt w:val="lowerLetter"/>
      <w:lvlText w:val="%2)"/>
      <w:lvlJc w:val="left"/>
      <w:pPr>
        <w:ind w:left="1320" w:hanging="420"/>
      </w:pPr>
    </w:lvl>
    <w:lvl w:ilvl="2" w:tplc="4664BFF2" w:tentative="1">
      <w:start w:val="1"/>
      <w:numFmt w:val="lowerRoman"/>
      <w:lvlText w:val="%3."/>
      <w:lvlJc w:val="right"/>
      <w:pPr>
        <w:ind w:left="1740" w:hanging="420"/>
      </w:pPr>
    </w:lvl>
    <w:lvl w:ilvl="3" w:tplc="1D64F4EE" w:tentative="1">
      <w:start w:val="1"/>
      <w:numFmt w:val="decimal"/>
      <w:lvlText w:val="%4."/>
      <w:lvlJc w:val="left"/>
      <w:pPr>
        <w:ind w:left="2160" w:hanging="420"/>
      </w:pPr>
    </w:lvl>
    <w:lvl w:ilvl="4" w:tplc="D0BA1E6A" w:tentative="1">
      <w:start w:val="1"/>
      <w:numFmt w:val="lowerLetter"/>
      <w:lvlText w:val="%5)"/>
      <w:lvlJc w:val="left"/>
      <w:pPr>
        <w:ind w:left="2580" w:hanging="420"/>
      </w:pPr>
    </w:lvl>
    <w:lvl w:ilvl="5" w:tplc="3B849244" w:tentative="1">
      <w:start w:val="1"/>
      <w:numFmt w:val="lowerRoman"/>
      <w:lvlText w:val="%6."/>
      <w:lvlJc w:val="right"/>
      <w:pPr>
        <w:ind w:left="3000" w:hanging="420"/>
      </w:pPr>
    </w:lvl>
    <w:lvl w:ilvl="6" w:tplc="C0AE618E" w:tentative="1">
      <w:start w:val="1"/>
      <w:numFmt w:val="decimal"/>
      <w:lvlText w:val="%7."/>
      <w:lvlJc w:val="left"/>
      <w:pPr>
        <w:ind w:left="3420" w:hanging="420"/>
      </w:pPr>
    </w:lvl>
    <w:lvl w:ilvl="7" w:tplc="01C683D0" w:tentative="1">
      <w:start w:val="1"/>
      <w:numFmt w:val="lowerLetter"/>
      <w:lvlText w:val="%8)"/>
      <w:lvlJc w:val="left"/>
      <w:pPr>
        <w:ind w:left="3840" w:hanging="420"/>
      </w:pPr>
    </w:lvl>
    <w:lvl w:ilvl="8" w:tplc="3A928688" w:tentative="1">
      <w:start w:val="1"/>
      <w:numFmt w:val="lowerRoman"/>
      <w:lvlText w:val="%9."/>
      <w:lvlJc w:val="right"/>
      <w:pPr>
        <w:ind w:left="4260" w:hanging="420"/>
      </w:pPr>
    </w:lvl>
  </w:abstractNum>
  <w:abstractNum w:abstractNumId="7" w15:restartNumberingAfterBreak="0">
    <w:nsid w:val="00000008"/>
    <w:multiLevelType w:val="hybridMultilevel"/>
    <w:tmpl w:val="0BBCAE9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0000009"/>
    <w:multiLevelType w:val="hybridMultilevel"/>
    <w:tmpl w:val="96DCF5EE"/>
    <w:lvl w:ilvl="0" w:tplc="6C209F5E">
      <w:start w:val="2"/>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000000A"/>
    <w:multiLevelType w:val="hybridMultilevel"/>
    <w:tmpl w:val="B5760B12"/>
    <w:lvl w:ilvl="0" w:tplc="F3F82BEA">
      <w:start w:val="1"/>
      <w:numFmt w:val="bullet"/>
      <w:lvlText w:val=""/>
      <w:lvlJc w:val="left"/>
      <w:pPr>
        <w:tabs>
          <w:tab w:val="left" w:pos="720"/>
        </w:tabs>
        <w:ind w:left="720" w:hanging="360"/>
      </w:pPr>
      <w:rPr>
        <w:rFonts w:ascii="Wingdings" w:hAnsi="Wingdings" w:hint="default"/>
      </w:rPr>
    </w:lvl>
    <w:lvl w:ilvl="1" w:tplc="3CEC95AC" w:tentative="1">
      <w:start w:val="1"/>
      <w:numFmt w:val="bullet"/>
      <w:lvlText w:val=""/>
      <w:lvlJc w:val="left"/>
      <w:pPr>
        <w:tabs>
          <w:tab w:val="left" w:pos="1440"/>
        </w:tabs>
        <w:ind w:left="1440" w:hanging="360"/>
      </w:pPr>
      <w:rPr>
        <w:rFonts w:ascii="Wingdings" w:hAnsi="Wingdings" w:hint="default"/>
      </w:rPr>
    </w:lvl>
    <w:lvl w:ilvl="2" w:tplc="6200FF48" w:tentative="1">
      <w:start w:val="1"/>
      <w:numFmt w:val="bullet"/>
      <w:lvlText w:val=""/>
      <w:lvlJc w:val="left"/>
      <w:pPr>
        <w:tabs>
          <w:tab w:val="left" w:pos="2160"/>
        </w:tabs>
        <w:ind w:left="2160" w:hanging="360"/>
      </w:pPr>
      <w:rPr>
        <w:rFonts w:ascii="Wingdings" w:hAnsi="Wingdings" w:hint="default"/>
      </w:rPr>
    </w:lvl>
    <w:lvl w:ilvl="3" w:tplc="1722EA4E" w:tentative="1">
      <w:start w:val="1"/>
      <w:numFmt w:val="bullet"/>
      <w:lvlText w:val=""/>
      <w:lvlJc w:val="left"/>
      <w:pPr>
        <w:tabs>
          <w:tab w:val="left" w:pos="2880"/>
        </w:tabs>
        <w:ind w:left="2880" w:hanging="360"/>
      </w:pPr>
      <w:rPr>
        <w:rFonts w:ascii="Wingdings" w:hAnsi="Wingdings" w:hint="default"/>
      </w:rPr>
    </w:lvl>
    <w:lvl w:ilvl="4" w:tplc="570A6E78" w:tentative="1">
      <w:start w:val="1"/>
      <w:numFmt w:val="bullet"/>
      <w:lvlText w:val=""/>
      <w:lvlJc w:val="left"/>
      <w:pPr>
        <w:tabs>
          <w:tab w:val="left" w:pos="3600"/>
        </w:tabs>
        <w:ind w:left="3600" w:hanging="360"/>
      </w:pPr>
      <w:rPr>
        <w:rFonts w:ascii="Wingdings" w:hAnsi="Wingdings" w:hint="default"/>
      </w:rPr>
    </w:lvl>
    <w:lvl w:ilvl="5" w:tplc="9356F77E" w:tentative="1">
      <w:start w:val="1"/>
      <w:numFmt w:val="bullet"/>
      <w:lvlText w:val=""/>
      <w:lvlJc w:val="left"/>
      <w:pPr>
        <w:tabs>
          <w:tab w:val="left" w:pos="4320"/>
        </w:tabs>
        <w:ind w:left="4320" w:hanging="360"/>
      </w:pPr>
      <w:rPr>
        <w:rFonts w:ascii="Wingdings" w:hAnsi="Wingdings" w:hint="default"/>
      </w:rPr>
    </w:lvl>
    <w:lvl w:ilvl="6" w:tplc="3626AA58" w:tentative="1">
      <w:start w:val="1"/>
      <w:numFmt w:val="bullet"/>
      <w:lvlText w:val=""/>
      <w:lvlJc w:val="left"/>
      <w:pPr>
        <w:tabs>
          <w:tab w:val="left" w:pos="5040"/>
        </w:tabs>
        <w:ind w:left="5040" w:hanging="360"/>
      </w:pPr>
      <w:rPr>
        <w:rFonts w:ascii="Wingdings" w:hAnsi="Wingdings" w:hint="default"/>
      </w:rPr>
    </w:lvl>
    <w:lvl w:ilvl="7" w:tplc="96F830BC" w:tentative="1">
      <w:start w:val="1"/>
      <w:numFmt w:val="bullet"/>
      <w:lvlText w:val=""/>
      <w:lvlJc w:val="left"/>
      <w:pPr>
        <w:tabs>
          <w:tab w:val="left" w:pos="5760"/>
        </w:tabs>
        <w:ind w:left="5760" w:hanging="360"/>
      </w:pPr>
      <w:rPr>
        <w:rFonts w:ascii="Wingdings" w:hAnsi="Wingdings" w:hint="default"/>
      </w:rPr>
    </w:lvl>
    <w:lvl w:ilvl="8" w:tplc="15B8A040"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646C23BC"/>
    <w:lvl w:ilvl="0" w:tplc="4ABECE4E">
      <w:start w:val="1"/>
      <w:numFmt w:val="bullet"/>
      <w:lvlText w:val=""/>
      <w:lvlJc w:val="left"/>
      <w:pPr>
        <w:tabs>
          <w:tab w:val="left" w:pos="720"/>
        </w:tabs>
        <w:ind w:left="720" w:hanging="360"/>
      </w:pPr>
      <w:rPr>
        <w:rFonts w:ascii="Wingdings" w:hAnsi="Wingdings" w:hint="default"/>
      </w:rPr>
    </w:lvl>
    <w:lvl w:ilvl="1" w:tplc="3730ABF6" w:tentative="1">
      <w:start w:val="1"/>
      <w:numFmt w:val="bullet"/>
      <w:lvlText w:val=""/>
      <w:lvlJc w:val="left"/>
      <w:pPr>
        <w:tabs>
          <w:tab w:val="left" w:pos="1440"/>
        </w:tabs>
        <w:ind w:left="1440" w:hanging="360"/>
      </w:pPr>
      <w:rPr>
        <w:rFonts w:ascii="Wingdings" w:hAnsi="Wingdings" w:hint="default"/>
      </w:rPr>
    </w:lvl>
    <w:lvl w:ilvl="2" w:tplc="AEF44C06" w:tentative="1">
      <w:start w:val="1"/>
      <w:numFmt w:val="bullet"/>
      <w:lvlText w:val=""/>
      <w:lvlJc w:val="left"/>
      <w:pPr>
        <w:tabs>
          <w:tab w:val="left" w:pos="2160"/>
        </w:tabs>
        <w:ind w:left="2160" w:hanging="360"/>
      </w:pPr>
      <w:rPr>
        <w:rFonts w:ascii="Wingdings" w:hAnsi="Wingdings" w:hint="default"/>
      </w:rPr>
    </w:lvl>
    <w:lvl w:ilvl="3" w:tplc="0A5E00BA" w:tentative="1">
      <w:start w:val="1"/>
      <w:numFmt w:val="bullet"/>
      <w:lvlText w:val=""/>
      <w:lvlJc w:val="left"/>
      <w:pPr>
        <w:tabs>
          <w:tab w:val="left" w:pos="2880"/>
        </w:tabs>
        <w:ind w:left="2880" w:hanging="360"/>
      </w:pPr>
      <w:rPr>
        <w:rFonts w:ascii="Wingdings" w:hAnsi="Wingdings" w:hint="default"/>
      </w:rPr>
    </w:lvl>
    <w:lvl w:ilvl="4" w:tplc="2248A512" w:tentative="1">
      <w:start w:val="1"/>
      <w:numFmt w:val="bullet"/>
      <w:lvlText w:val=""/>
      <w:lvlJc w:val="left"/>
      <w:pPr>
        <w:tabs>
          <w:tab w:val="left" w:pos="3600"/>
        </w:tabs>
        <w:ind w:left="3600" w:hanging="360"/>
      </w:pPr>
      <w:rPr>
        <w:rFonts w:ascii="Wingdings" w:hAnsi="Wingdings" w:hint="default"/>
      </w:rPr>
    </w:lvl>
    <w:lvl w:ilvl="5" w:tplc="207C83A2" w:tentative="1">
      <w:start w:val="1"/>
      <w:numFmt w:val="bullet"/>
      <w:lvlText w:val=""/>
      <w:lvlJc w:val="left"/>
      <w:pPr>
        <w:tabs>
          <w:tab w:val="left" w:pos="4320"/>
        </w:tabs>
        <w:ind w:left="4320" w:hanging="360"/>
      </w:pPr>
      <w:rPr>
        <w:rFonts w:ascii="Wingdings" w:hAnsi="Wingdings" w:hint="default"/>
      </w:rPr>
    </w:lvl>
    <w:lvl w:ilvl="6" w:tplc="3BAEDAD0" w:tentative="1">
      <w:start w:val="1"/>
      <w:numFmt w:val="bullet"/>
      <w:lvlText w:val=""/>
      <w:lvlJc w:val="left"/>
      <w:pPr>
        <w:tabs>
          <w:tab w:val="left" w:pos="5040"/>
        </w:tabs>
        <w:ind w:left="5040" w:hanging="360"/>
      </w:pPr>
      <w:rPr>
        <w:rFonts w:ascii="Wingdings" w:hAnsi="Wingdings" w:hint="default"/>
      </w:rPr>
    </w:lvl>
    <w:lvl w:ilvl="7" w:tplc="1BE0ADC0" w:tentative="1">
      <w:start w:val="1"/>
      <w:numFmt w:val="bullet"/>
      <w:lvlText w:val=""/>
      <w:lvlJc w:val="left"/>
      <w:pPr>
        <w:tabs>
          <w:tab w:val="left" w:pos="5760"/>
        </w:tabs>
        <w:ind w:left="5760" w:hanging="360"/>
      </w:pPr>
      <w:rPr>
        <w:rFonts w:ascii="Wingdings" w:hAnsi="Wingdings" w:hint="default"/>
      </w:rPr>
    </w:lvl>
    <w:lvl w:ilvl="8" w:tplc="0D50F408"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hybridMultilevel"/>
    <w:tmpl w:val="BDE0EB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0000000D"/>
    <w:multiLevelType w:val="hybridMultilevel"/>
    <w:tmpl w:val="429E1B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0000000E"/>
    <w:multiLevelType w:val="hybridMultilevel"/>
    <w:tmpl w:val="CDC8FC84"/>
    <w:lvl w:ilvl="0" w:tplc="09AA0B6A">
      <w:start w:val="1"/>
      <w:numFmt w:val="bullet"/>
      <w:lvlText w:val=""/>
      <w:lvlJc w:val="left"/>
      <w:pPr>
        <w:tabs>
          <w:tab w:val="left" w:pos="720"/>
        </w:tabs>
        <w:ind w:left="720" w:hanging="360"/>
      </w:pPr>
      <w:rPr>
        <w:rFonts w:ascii="Wingdings" w:hAnsi="Wingdings" w:hint="default"/>
      </w:rPr>
    </w:lvl>
    <w:lvl w:ilvl="1" w:tplc="4D2C10B0" w:tentative="1">
      <w:start w:val="1"/>
      <w:numFmt w:val="bullet"/>
      <w:lvlText w:val=""/>
      <w:lvlJc w:val="left"/>
      <w:pPr>
        <w:tabs>
          <w:tab w:val="left" w:pos="1440"/>
        </w:tabs>
        <w:ind w:left="1440" w:hanging="360"/>
      </w:pPr>
      <w:rPr>
        <w:rFonts w:ascii="Wingdings" w:hAnsi="Wingdings" w:hint="default"/>
      </w:rPr>
    </w:lvl>
    <w:lvl w:ilvl="2" w:tplc="988825D2" w:tentative="1">
      <w:start w:val="1"/>
      <w:numFmt w:val="bullet"/>
      <w:lvlText w:val=""/>
      <w:lvlJc w:val="left"/>
      <w:pPr>
        <w:tabs>
          <w:tab w:val="left" w:pos="2160"/>
        </w:tabs>
        <w:ind w:left="2160" w:hanging="360"/>
      </w:pPr>
      <w:rPr>
        <w:rFonts w:ascii="Wingdings" w:hAnsi="Wingdings" w:hint="default"/>
      </w:rPr>
    </w:lvl>
    <w:lvl w:ilvl="3" w:tplc="41060A98" w:tentative="1">
      <w:start w:val="1"/>
      <w:numFmt w:val="bullet"/>
      <w:lvlText w:val=""/>
      <w:lvlJc w:val="left"/>
      <w:pPr>
        <w:tabs>
          <w:tab w:val="left" w:pos="2880"/>
        </w:tabs>
        <w:ind w:left="2880" w:hanging="360"/>
      </w:pPr>
      <w:rPr>
        <w:rFonts w:ascii="Wingdings" w:hAnsi="Wingdings" w:hint="default"/>
      </w:rPr>
    </w:lvl>
    <w:lvl w:ilvl="4" w:tplc="EBF0FDD2" w:tentative="1">
      <w:start w:val="1"/>
      <w:numFmt w:val="bullet"/>
      <w:lvlText w:val=""/>
      <w:lvlJc w:val="left"/>
      <w:pPr>
        <w:tabs>
          <w:tab w:val="left" w:pos="3600"/>
        </w:tabs>
        <w:ind w:left="3600" w:hanging="360"/>
      </w:pPr>
      <w:rPr>
        <w:rFonts w:ascii="Wingdings" w:hAnsi="Wingdings" w:hint="default"/>
      </w:rPr>
    </w:lvl>
    <w:lvl w:ilvl="5" w:tplc="11F89BE6" w:tentative="1">
      <w:start w:val="1"/>
      <w:numFmt w:val="bullet"/>
      <w:lvlText w:val=""/>
      <w:lvlJc w:val="left"/>
      <w:pPr>
        <w:tabs>
          <w:tab w:val="left" w:pos="4320"/>
        </w:tabs>
        <w:ind w:left="4320" w:hanging="360"/>
      </w:pPr>
      <w:rPr>
        <w:rFonts w:ascii="Wingdings" w:hAnsi="Wingdings" w:hint="default"/>
      </w:rPr>
    </w:lvl>
    <w:lvl w:ilvl="6" w:tplc="6944F316" w:tentative="1">
      <w:start w:val="1"/>
      <w:numFmt w:val="bullet"/>
      <w:lvlText w:val=""/>
      <w:lvlJc w:val="left"/>
      <w:pPr>
        <w:tabs>
          <w:tab w:val="left" w:pos="5040"/>
        </w:tabs>
        <w:ind w:left="5040" w:hanging="360"/>
      </w:pPr>
      <w:rPr>
        <w:rFonts w:ascii="Wingdings" w:hAnsi="Wingdings" w:hint="default"/>
      </w:rPr>
    </w:lvl>
    <w:lvl w:ilvl="7" w:tplc="45F4F61C" w:tentative="1">
      <w:start w:val="1"/>
      <w:numFmt w:val="bullet"/>
      <w:lvlText w:val=""/>
      <w:lvlJc w:val="left"/>
      <w:pPr>
        <w:tabs>
          <w:tab w:val="left" w:pos="5760"/>
        </w:tabs>
        <w:ind w:left="5760" w:hanging="360"/>
      </w:pPr>
      <w:rPr>
        <w:rFonts w:ascii="Wingdings" w:hAnsi="Wingdings" w:hint="default"/>
      </w:rPr>
    </w:lvl>
    <w:lvl w:ilvl="8" w:tplc="5BAC6FF2"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1A66FFB"/>
    <w:multiLevelType w:val="hybridMultilevel"/>
    <w:tmpl w:val="429E1BD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15:restartNumberingAfterBreak="0">
    <w:nsid w:val="11AC248C"/>
    <w:multiLevelType w:val="multilevel"/>
    <w:tmpl w:val="78E8CF5C"/>
    <w:lvl w:ilvl="0">
      <w:start w:val="1"/>
      <w:numFmt w:val="decimal"/>
      <w:lvlText w:val="%1)"/>
      <w:lvlJc w:val="left"/>
      <w:pPr>
        <w:ind w:left="360" w:hanging="360"/>
      </w:pPr>
      <w:rPr>
        <w:b w:val="0"/>
      </w:rPr>
    </w:lvl>
    <w:lvl w:ilvl="1">
      <w:start w:val="2"/>
      <w:numFmt w:val="decimal"/>
      <w:isLgl/>
      <w:lvlText w:val="%1.%2"/>
      <w:lvlJc w:val="left"/>
      <w:pPr>
        <w:ind w:left="735" w:hanging="735"/>
      </w:pPr>
    </w:lvl>
    <w:lvl w:ilvl="2">
      <w:start w:val="1"/>
      <w:numFmt w:val="decimal"/>
      <w:isLgl/>
      <w:lvlText w:val="%1.%2.%3"/>
      <w:lvlJc w:val="left"/>
      <w:pPr>
        <w:ind w:left="735" w:hanging="735"/>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6" w15:restartNumberingAfterBreak="0">
    <w:nsid w:val="422B1F2C"/>
    <w:multiLevelType w:val="hybridMultilevel"/>
    <w:tmpl w:val="429E1B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40D475E"/>
    <w:multiLevelType w:val="hybridMultilevel"/>
    <w:tmpl w:val="429E1BD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8" w15:restartNumberingAfterBreak="0">
    <w:nsid w:val="597B7F89"/>
    <w:multiLevelType w:val="hybridMultilevel"/>
    <w:tmpl w:val="429E1BD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3"/>
  </w:num>
  <w:num w:numId="3">
    <w:abstractNumId w:val="9"/>
  </w:num>
  <w:num w:numId="4">
    <w:abstractNumId w:val="10"/>
  </w:num>
  <w:num w:numId="5">
    <w:abstractNumId w:val="4"/>
  </w:num>
  <w:num w:numId="6">
    <w:abstractNumId w:val="11"/>
  </w:num>
  <w:num w:numId="7">
    <w:abstractNumId w:val="5"/>
  </w:num>
  <w:num w:numId="8">
    <w:abstractNumId w:val="1"/>
  </w:num>
  <w:num w:numId="9">
    <w:abstractNumId w:val="3"/>
  </w:num>
  <w:num w:numId="10">
    <w:abstractNumId w:val="2"/>
  </w:num>
  <w:num w:numId="11">
    <w:abstractNumId w:val="16"/>
  </w:num>
  <w:num w:numId="12">
    <w:abstractNumId w:val="12"/>
  </w:num>
  <w:num w:numId="13">
    <w:abstractNumId w:val="6"/>
  </w:num>
  <w:num w:numId="14">
    <w:abstractNumId w:val="7"/>
  </w:num>
  <w:num w:numId="15">
    <w:abstractNumId w:val="8"/>
  </w:num>
  <w:num w:numId="1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1D"/>
    <w:rsid w:val="0009349E"/>
    <w:rsid w:val="0010425E"/>
    <w:rsid w:val="001607B9"/>
    <w:rsid w:val="00175D35"/>
    <w:rsid w:val="001A315D"/>
    <w:rsid w:val="001A7A0D"/>
    <w:rsid w:val="002141CA"/>
    <w:rsid w:val="002F288A"/>
    <w:rsid w:val="00357626"/>
    <w:rsid w:val="0036571D"/>
    <w:rsid w:val="00374B6A"/>
    <w:rsid w:val="003D397B"/>
    <w:rsid w:val="003F536B"/>
    <w:rsid w:val="00415572"/>
    <w:rsid w:val="0043327B"/>
    <w:rsid w:val="00463AAA"/>
    <w:rsid w:val="004F09A5"/>
    <w:rsid w:val="004F5AEF"/>
    <w:rsid w:val="00545D2D"/>
    <w:rsid w:val="005815C5"/>
    <w:rsid w:val="005867FD"/>
    <w:rsid w:val="00686B61"/>
    <w:rsid w:val="006A5C50"/>
    <w:rsid w:val="006C6A62"/>
    <w:rsid w:val="00727965"/>
    <w:rsid w:val="007340BF"/>
    <w:rsid w:val="007E307E"/>
    <w:rsid w:val="008E64BE"/>
    <w:rsid w:val="00954FEC"/>
    <w:rsid w:val="00996C2B"/>
    <w:rsid w:val="00BC4DB4"/>
    <w:rsid w:val="00C87B4C"/>
    <w:rsid w:val="00C9489F"/>
    <w:rsid w:val="00CA7DC5"/>
    <w:rsid w:val="00D5361F"/>
    <w:rsid w:val="00D63753"/>
    <w:rsid w:val="00DB23B3"/>
    <w:rsid w:val="00DE6D66"/>
    <w:rsid w:val="00E23036"/>
    <w:rsid w:val="00E36786"/>
    <w:rsid w:val="00E4776F"/>
    <w:rsid w:val="00E62724"/>
    <w:rsid w:val="00E7366E"/>
    <w:rsid w:val="00F452F0"/>
    <w:rsid w:val="00F840B7"/>
    <w:rsid w:val="00F932CD"/>
    <w:rsid w:val="00F96D63"/>
    <w:rsid w:val="00FD3F4A"/>
    <w:rsid w:val="00FD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385BE-7D9A-4611-94A5-3FDA4E67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Pr>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styleId="a5">
    <w:name w:val="page number"/>
    <w:basedOn w:val="a0"/>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paragraph" w:customStyle="1" w:styleId="a6">
    <w:name w:val="段"/>
    <w:link w:val="Char1"/>
    <w:pPr>
      <w:tabs>
        <w:tab w:val="center" w:pos="4201"/>
        <w:tab w:val="right" w:leader="dot" w:pos="9298"/>
      </w:tabs>
      <w:autoSpaceDE w:val="0"/>
      <w:autoSpaceDN w:val="0"/>
      <w:ind w:firstLineChars="200" w:firstLine="420"/>
      <w:jc w:val="both"/>
    </w:pPr>
    <w:rPr>
      <w:rFonts w:ascii="宋体" w:hAnsi="Times New Roman" w:cs="Times New Roman"/>
      <w:noProof/>
      <w:kern w:val="0"/>
      <w:szCs w:val="20"/>
    </w:rPr>
  </w:style>
  <w:style w:type="character" w:customStyle="1" w:styleId="Char1">
    <w:name w:val="段 Char"/>
    <w:link w:val="a6"/>
    <w:rPr>
      <w:rFonts w:ascii="宋体" w:eastAsia="宋体" w:hAnsi="Times New Roman" w:cs="Times New Roman"/>
      <w:noProof/>
      <w:kern w:val="0"/>
      <w:szCs w:val="20"/>
    </w:rPr>
  </w:style>
  <w:style w:type="paragraph" w:styleId="a7">
    <w:name w:val="List Paragraph"/>
    <w:basedOn w:val="a"/>
    <w:uiPriority w:val="34"/>
    <w:qFormat/>
    <w:pPr>
      <w:ind w:firstLineChars="200" w:firstLine="420"/>
    </w:pPr>
  </w:style>
  <w:style w:type="paragraph" w:styleId="a8">
    <w:name w:val="Balloon Text"/>
    <w:basedOn w:val="a"/>
    <w:link w:val="Char2"/>
    <w:uiPriority w:val="99"/>
    <w:rPr>
      <w:sz w:val="18"/>
      <w:szCs w:val="18"/>
    </w:rPr>
  </w:style>
  <w:style w:type="character" w:customStyle="1" w:styleId="Char2">
    <w:name w:val="批注框文本 Char"/>
    <w:basedOn w:val="a0"/>
    <w:link w:val="a8"/>
    <w:uiPriority w:val="99"/>
    <w:rPr>
      <w:sz w:val="18"/>
      <w:szCs w:val="18"/>
    </w:rPr>
  </w:style>
  <w:style w:type="character" w:styleId="a9">
    <w:name w:val="annotation reference"/>
    <w:basedOn w:val="a0"/>
    <w:uiPriority w:val="99"/>
    <w:rPr>
      <w:sz w:val="21"/>
      <w:szCs w:val="21"/>
    </w:rPr>
  </w:style>
  <w:style w:type="paragraph" w:styleId="aa">
    <w:name w:val="annotation text"/>
    <w:basedOn w:val="a"/>
    <w:link w:val="Char3"/>
    <w:uiPriority w:val="99"/>
    <w:pPr>
      <w:jc w:val="left"/>
    </w:pPr>
  </w:style>
  <w:style w:type="character" w:customStyle="1" w:styleId="Char3">
    <w:name w:val="批注文字 Char"/>
    <w:basedOn w:val="a0"/>
    <w:link w:val="aa"/>
    <w:uiPriority w:val="99"/>
  </w:style>
  <w:style w:type="paragraph" w:styleId="ab">
    <w:name w:val="annotation subject"/>
    <w:basedOn w:val="aa"/>
    <w:next w:val="aa"/>
    <w:link w:val="Char4"/>
    <w:uiPriority w:val="99"/>
    <w:rPr>
      <w:b/>
      <w:bCs/>
    </w:rPr>
  </w:style>
  <w:style w:type="character" w:customStyle="1" w:styleId="Char4">
    <w:name w:val="批注主题 Char"/>
    <w:basedOn w:val="Char3"/>
    <w:link w:val="ab"/>
    <w:uiPriority w:val="99"/>
    <w:rPr>
      <w:b/>
      <w:bCs/>
    </w:rPr>
  </w:style>
  <w:style w:type="paragraph" w:customStyle="1" w:styleId="Default">
    <w:name w:val="Default"/>
    <w:pPr>
      <w:widowControl w:val="0"/>
      <w:autoSpaceDE w:val="0"/>
      <w:autoSpaceDN w:val="0"/>
      <w:adjustRightInd w:val="0"/>
    </w:pPr>
    <w:rPr>
      <w:rFonts w:ascii="宋体" w:hAnsi="Times New Roman" w:cs="Times New Roman"/>
      <w:kern w:val="0"/>
      <w:sz w:val="20"/>
      <w:szCs w:val="20"/>
    </w:rPr>
  </w:style>
  <w:style w:type="character" w:styleId="ac">
    <w:name w:val="Hyperlink"/>
    <w:basedOn w:val="a0"/>
    <w:uiPriority w:val="99"/>
    <w:rPr>
      <w:color w:val="0000FF"/>
      <w:u w:val="single"/>
    </w:rPr>
  </w:style>
  <w:style w:type="character" w:customStyle="1" w:styleId="Char5">
    <w:name w:val="正文文本缩进 Char"/>
    <w:link w:val="ad"/>
    <w:rPr>
      <w:rFonts w:ascii="仿宋_GB2312" w:eastAsia="仿宋_GB2312"/>
      <w:sz w:val="28"/>
    </w:rPr>
  </w:style>
  <w:style w:type="paragraph" w:styleId="ad">
    <w:name w:val="Body Text Indent"/>
    <w:basedOn w:val="a"/>
    <w:link w:val="Char5"/>
    <w:pPr>
      <w:spacing w:line="440" w:lineRule="exact"/>
      <w:ind w:firstLine="555"/>
      <w:outlineLvl w:val="0"/>
    </w:pPr>
    <w:rPr>
      <w:rFonts w:ascii="仿宋_GB2312" w:eastAsia="仿宋_GB2312"/>
      <w:sz w:val="28"/>
    </w:rPr>
  </w:style>
  <w:style w:type="character" w:customStyle="1" w:styleId="ae">
    <w:name w:val="正文文本缩进 字符"/>
    <w:basedOn w:val="a0"/>
    <w:uiPriority w:val="99"/>
  </w:style>
  <w:style w:type="table" w:styleId="af">
    <w:name w:val="Table Grid"/>
    <w:basedOn w:val="a1"/>
    <w:uiPriority w:val="59"/>
    <w:rPr>
      <w:rFonts w:ascii="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rmal (Web)"/>
    <w:basedOn w:val="a"/>
    <w:uiPriority w:val="99"/>
    <w:semiHidden/>
    <w:unhideWhenUsed/>
    <w:rsid w:val="0010425E"/>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383">
      <w:bodyDiv w:val="1"/>
      <w:marLeft w:val="0"/>
      <w:marRight w:val="0"/>
      <w:marTop w:val="0"/>
      <w:marBottom w:val="0"/>
      <w:divBdr>
        <w:top w:val="none" w:sz="0" w:space="0" w:color="auto"/>
        <w:left w:val="none" w:sz="0" w:space="0" w:color="auto"/>
        <w:bottom w:val="none" w:sz="0" w:space="0" w:color="auto"/>
        <w:right w:val="none" w:sz="0" w:space="0" w:color="auto"/>
      </w:divBdr>
    </w:div>
    <w:div w:id="330256986">
      <w:bodyDiv w:val="1"/>
      <w:marLeft w:val="0"/>
      <w:marRight w:val="0"/>
      <w:marTop w:val="0"/>
      <w:marBottom w:val="0"/>
      <w:divBdr>
        <w:top w:val="none" w:sz="0" w:space="0" w:color="auto"/>
        <w:left w:val="none" w:sz="0" w:space="0" w:color="auto"/>
        <w:bottom w:val="none" w:sz="0" w:space="0" w:color="auto"/>
        <w:right w:val="none" w:sz="0" w:space="0" w:color="auto"/>
      </w:divBdr>
    </w:div>
    <w:div w:id="569656451">
      <w:bodyDiv w:val="1"/>
      <w:marLeft w:val="0"/>
      <w:marRight w:val="0"/>
      <w:marTop w:val="0"/>
      <w:marBottom w:val="0"/>
      <w:divBdr>
        <w:top w:val="none" w:sz="0" w:space="0" w:color="auto"/>
        <w:left w:val="none" w:sz="0" w:space="0" w:color="auto"/>
        <w:bottom w:val="none" w:sz="0" w:space="0" w:color="auto"/>
        <w:right w:val="none" w:sz="0" w:space="0" w:color="auto"/>
      </w:divBdr>
    </w:div>
    <w:div w:id="1015352459">
      <w:bodyDiv w:val="1"/>
      <w:marLeft w:val="0"/>
      <w:marRight w:val="0"/>
      <w:marTop w:val="0"/>
      <w:marBottom w:val="0"/>
      <w:divBdr>
        <w:top w:val="none" w:sz="0" w:space="0" w:color="auto"/>
        <w:left w:val="none" w:sz="0" w:space="0" w:color="auto"/>
        <w:bottom w:val="none" w:sz="0" w:space="0" w:color="auto"/>
        <w:right w:val="none" w:sz="0" w:space="0" w:color="auto"/>
      </w:divBdr>
    </w:div>
    <w:div w:id="1083067918">
      <w:bodyDiv w:val="1"/>
      <w:marLeft w:val="0"/>
      <w:marRight w:val="0"/>
      <w:marTop w:val="0"/>
      <w:marBottom w:val="0"/>
      <w:divBdr>
        <w:top w:val="none" w:sz="0" w:space="0" w:color="auto"/>
        <w:left w:val="none" w:sz="0" w:space="0" w:color="auto"/>
        <w:bottom w:val="none" w:sz="0" w:space="0" w:color="auto"/>
        <w:right w:val="none" w:sz="0" w:space="0" w:color="auto"/>
      </w:divBdr>
    </w:div>
    <w:div w:id="1193305048">
      <w:bodyDiv w:val="1"/>
      <w:marLeft w:val="0"/>
      <w:marRight w:val="0"/>
      <w:marTop w:val="0"/>
      <w:marBottom w:val="0"/>
      <w:divBdr>
        <w:top w:val="none" w:sz="0" w:space="0" w:color="auto"/>
        <w:left w:val="none" w:sz="0" w:space="0" w:color="auto"/>
        <w:bottom w:val="none" w:sz="0" w:space="0" w:color="auto"/>
        <w:right w:val="none" w:sz="0" w:space="0" w:color="auto"/>
      </w:divBdr>
    </w:div>
    <w:div w:id="1229194659">
      <w:bodyDiv w:val="1"/>
      <w:marLeft w:val="0"/>
      <w:marRight w:val="0"/>
      <w:marTop w:val="0"/>
      <w:marBottom w:val="0"/>
      <w:divBdr>
        <w:top w:val="none" w:sz="0" w:space="0" w:color="auto"/>
        <w:left w:val="none" w:sz="0" w:space="0" w:color="auto"/>
        <w:bottom w:val="none" w:sz="0" w:space="0" w:color="auto"/>
        <w:right w:val="none" w:sz="0" w:space="0" w:color="auto"/>
      </w:divBdr>
    </w:div>
    <w:div w:id="1335911719">
      <w:bodyDiv w:val="1"/>
      <w:marLeft w:val="0"/>
      <w:marRight w:val="0"/>
      <w:marTop w:val="0"/>
      <w:marBottom w:val="0"/>
      <w:divBdr>
        <w:top w:val="none" w:sz="0" w:space="0" w:color="auto"/>
        <w:left w:val="none" w:sz="0" w:space="0" w:color="auto"/>
        <w:bottom w:val="none" w:sz="0" w:space="0" w:color="auto"/>
        <w:right w:val="none" w:sz="0" w:space="0" w:color="auto"/>
      </w:divBdr>
    </w:div>
    <w:div w:id="1440417246">
      <w:bodyDiv w:val="1"/>
      <w:marLeft w:val="0"/>
      <w:marRight w:val="0"/>
      <w:marTop w:val="0"/>
      <w:marBottom w:val="0"/>
      <w:divBdr>
        <w:top w:val="none" w:sz="0" w:space="0" w:color="auto"/>
        <w:left w:val="none" w:sz="0" w:space="0" w:color="auto"/>
        <w:bottom w:val="none" w:sz="0" w:space="0" w:color="auto"/>
        <w:right w:val="none" w:sz="0" w:space="0" w:color="auto"/>
      </w:divBdr>
    </w:div>
    <w:div w:id="1624770092">
      <w:bodyDiv w:val="1"/>
      <w:marLeft w:val="0"/>
      <w:marRight w:val="0"/>
      <w:marTop w:val="0"/>
      <w:marBottom w:val="0"/>
      <w:divBdr>
        <w:top w:val="none" w:sz="0" w:space="0" w:color="auto"/>
        <w:left w:val="none" w:sz="0" w:space="0" w:color="auto"/>
        <w:bottom w:val="none" w:sz="0" w:space="0" w:color="auto"/>
        <w:right w:val="none" w:sz="0" w:space="0" w:color="auto"/>
      </w:divBdr>
    </w:div>
    <w:div w:id="1794061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JUNLONG</dc:creator>
  <cp:lastModifiedBy>LJM</cp:lastModifiedBy>
  <cp:revision>301</cp:revision>
  <cp:lastPrinted>2018-09-05T08:48:00Z</cp:lastPrinted>
  <dcterms:created xsi:type="dcterms:W3CDTF">2018-09-04T14:07:00Z</dcterms:created>
  <dcterms:modified xsi:type="dcterms:W3CDTF">2018-12-21T07:15:00Z</dcterms:modified>
</cp:coreProperties>
</file>