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：</w:t>
      </w:r>
    </w:p>
    <w:p>
      <w:pPr>
        <w:snapToGrid w:val="0"/>
        <w:spacing w:line="594" w:lineRule="exac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napToGrid w:val="0"/>
        <w:spacing w:line="594" w:lineRule="exact"/>
        <w:jc w:val="center"/>
        <w:rPr>
          <w:rFonts w:ascii="方正小标宋简体" w:hAnsi="黑体" w:eastAsia="方正小标宋简体" w:cs="仿宋"/>
          <w:bCs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安慧里办公楼安全性（含抗震）检测鉴定项目采购需求</w:t>
      </w:r>
    </w:p>
    <w:p>
      <w:pPr>
        <w:snapToGrid w:val="0"/>
        <w:spacing w:line="594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一、项目概况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安慧里办公楼地址位于</w:t>
      </w:r>
      <w:r>
        <w:rPr>
          <w:rFonts w:ascii="方正仿宋简体" w:hAnsi="黑体" w:eastAsia="方正仿宋简体" w:cs="仿宋"/>
          <w:bCs/>
          <w:sz w:val="32"/>
          <w:szCs w:val="32"/>
        </w:rPr>
        <w:t>朝阳区安慧里二区4-18号，总建筑面积2590平方米，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共有</w:t>
      </w:r>
      <w:r>
        <w:rPr>
          <w:rFonts w:ascii="方正仿宋简体" w:hAnsi="黑体" w:eastAsia="方正仿宋简体" w:cs="仿宋"/>
          <w:bCs/>
          <w:sz w:val="32"/>
          <w:szCs w:val="32"/>
        </w:rPr>
        <w:t>办公楼1栋。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办公楼</w:t>
      </w:r>
      <w:r>
        <w:rPr>
          <w:rFonts w:ascii="方正仿宋简体" w:hAnsi="黑体" w:eastAsia="方正仿宋简体" w:cs="仿宋"/>
          <w:bCs/>
          <w:sz w:val="32"/>
          <w:szCs w:val="32"/>
        </w:rPr>
        <w:t>共四层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，</w:t>
      </w:r>
      <w:r>
        <w:rPr>
          <w:rFonts w:ascii="方正仿宋简体" w:hAnsi="黑体" w:eastAsia="方正仿宋简体" w:cs="仿宋"/>
          <w:bCs/>
          <w:sz w:val="32"/>
          <w:szCs w:val="32"/>
        </w:rPr>
        <w:t>地上三层约2540平方米，地下一层约50平方米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。</w:t>
      </w:r>
      <w:r>
        <w:rPr>
          <w:rFonts w:ascii="方正仿宋简体" w:hAnsi="黑体" w:eastAsia="方正仿宋简体" w:cs="仿宋"/>
          <w:bCs/>
          <w:sz w:val="32"/>
          <w:szCs w:val="32"/>
        </w:rPr>
        <w:t>1990年建成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，此前用于餐饮经营，</w:t>
      </w:r>
      <w:r>
        <w:rPr>
          <w:rFonts w:ascii="方正仿宋简体" w:hAnsi="黑体" w:eastAsia="方正仿宋简体" w:cs="仿宋"/>
          <w:bCs/>
          <w:sz w:val="32"/>
          <w:szCs w:val="32"/>
        </w:rPr>
        <w:t>2017年后闲置至今。目前，建筑内部格局和装修保持饭店原状，水电气等设施老旧，集中供暖和燃气已报停。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有</w:t>
      </w:r>
      <w:r>
        <w:rPr>
          <w:rFonts w:ascii="方正仿宋简体" w:hAnsi="黑体" w:eastAsia="方正仿宋简体" w:cs="仿宋"/>
          <w:bCs/>
          <w:sz w:val="32"/>
          <w:szCs w:val="32"/>
        </w:rPr>
        <w:t>该建筑原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始</w:t>
      </w:r>
      <w:r>
        <w:rPr>
          <w:rFonts w:ascii="方正仿宋简体" w:hAnsi="黑体" w:eastAsia="方正仿宋简体" w:cs="仿宋"/>
          <w:bCs/>
          <w:sz w:val="32"/>
          <w:szCs w:val="32"/>
        </w:rPr>
        <w:t>结构设计图纸。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为了解该建筑的现状以及结构安全性、抗震能力，拟委托专业公司对该建筑的安全性（含抗震）检测鉴定工作。</w:t>
      </w:r>
    </w:p>
    <w:p>
      <w:pPr>
        <w:snapToGrid w:val="0"/>
        <w:spacing w:line="594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二、检测依据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1</w:t>
      </w:r>
      <w:r>
        <w:rPr>
          <w:rFonts w:ascii="方正仿宋简体" w:hAnsi="黑体" w:eastAsia="方正仿宋简体" w:cs="仿宋"/>
          <w:bCs/>
          <w:sz w:val="32"/>
          <w:szCs w:val="32"/>
        </w:rPr>
        <w:t>.《建筑结构检测技术标准》GB/T 50344-2019；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2</w:t>
      </w:r>
      <w:r>
        <w:rPr>
          <w:rFonts w:ascii="方正仿宋简体" w:hAnsi="黑体" w:eastAsia="方正仿宋简体" w:cs="仿宋"/>
          <w:bCs/>
          <w:sz w:val="32"/>
          <w:szCs w:val="32"/>
        </w:rPr>
        <w:t>.《砌体工程现场检测技术标准》GB/T 50315-2011；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3</w:t>
      </w:r>
      <w:r>
        <w:rPr>
          <w:rFonts w:ascii="方正仿宋简体" w:hAnsi="黑体" w:eastAsia="方正仿宋简体" w:cs="仿宋"/>
          <w:bCs/>
          <w:sz w:val="32"/>
          <w:szCs w:val="32"/>
        </w:rPr>
        <w:t>.《民用建筑可靠性鉴定标准》GB 50292-2015；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4</w:t>
      </w:r>
      <w:r>
        <w:rPr>
          <w:rFonts w:ascii="方正仿宋简体" w:hAnsi="黑体" w:eastAsia="方正仿宋简体" w:cs="仿宋"/>
          <w:bCs/>
          <w:sz w:val="32"/>
          <w:szCs w:val="32"/>
        </w:rPr>
        <w:t>.《建筑变形测量规范》JGJ 8-2016；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5</w:t>
      </w:r>
      <w:r>
        <w:rPr>
          <w:rFonts w:ascii="方正仿宋简体" w:hAnsi="黑体" w:eastAsia="方正仿宋简体" w:cs="仿宋"/>
          <w:bCs/>
          <w:sz w:val="32"/>
          <w:szCs w:val="32"/>
        </w:rPr>
        <w:t>.《房屋结构检测与鉴定操作规程》DB11/T 849-2021；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6</w:t>
      </w:r>
      <w:r>
        <w:rPr>
          <w:rFonts w:ascii="方正仿宋简体" w:hAnsi="黑体" w:eastAsia="方正仿宋简体" w:cs="仿宋"/>
          <w:bCs/>
          <w:sz w:val="32"/>
          <w:szCs w:val="32"/>
        </w:rPr>
        <w:t>.《砌体结构设计规范》GB 50003-2011；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7</w:t>
      </w:r>
      <w:r>
        <w:rPr>
          <w:rFonts w:ascii="方正仿宋简体" w:hAnsi="黑体" w:eastAsia="方正仿宋简体" w:cs="仿宋"/>
          <w:bCs/>
          <w:sz w:val="32"/>
          <w:szCs w:val="32"/>
        </w:rPr>
        <w:t>.《建筑结构荷载规范》GB 50009-2012；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8</w:t>
      </w:r>
      <w:r>
        <w:rPr>
          <w:rFonts w:ascii="方正仿宋简体" w:hAnsi="黑体" w:eastAsia="方正仿宋简体" w:cs="仿宋"/>
          <w:bCs/>
          <w:sz w:val="32"/>
          <w:szCs w:val="32"/>
        </w:rPr>
        <w:t>.《既有建筑鉴定与加固通用规范》GB 55021-2021；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9</w:t>
      </w:r>
      <w:r>
        <w:rPr>
          <w:rFonts w:ascii="方正仿宋简体" w:hAnsi="黑体" w:eastAsia="方正仿宋简体" w:cs="仿宋"/>
          <w:bCs/>
          <w:sz w:val="32"/>
          <w:szCs w:val="32"/>
        </w:rPr>
        <w:t>.《建筑抗震鉴定标准》GB50023-2009；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1</w:t>
      </w:r>
      <w:r>
        <w:rPr>
          <w:rFonts w:ascii="方正仿宋简体" w:hAnsi="黑体" w:eastAsia="方正仿宋简体" w:cs="仿宋"/>
          <w:bCs/>
          <w:sz w:val="32"/>
          <w:szCs w:val="32"/>
        </w:rPr>
        <w:t>0.《房屋结构综合安全性鉴定标准》DB11/637-2015；</w:t>
      </w:r>
    </w:p>
    <w:p>
      <w:pPr>
        <w:snapToGrid w:val="0"/>
        <w:spacing w:line="594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三、成果文件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出具行业认可的、具有法律效力的房屋安全鉴定报告。</w:t>
      </w:r>
    </w:p>
    <w:p>
      <w:pPr>
        <w:snapToGrid w:val="0"/>
        <w:spacing w:line="594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四、服务期限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签订合同之日起</w:t>
      </w:r>
      <w:r>
        <w:rPr>
          <w:rFonts w:ascii="方正仿宋简体" w:hAnsi="黑体" w:eastAsia="方正仿宋简体" w:cs="仿宋"/>
          <w:bCs/>
          <w:sz w:val="32"/>
          <w:szCs w:val="32"/>
        </w:rPr>
        <w:t>25</w:t>
      </w:r>
      <w:r>
        <w:rPr>
          <w:rFonts w:hint="eastAsia" w:ascii="方正仿宋简体" w:hAnsi="黑体" w:eastAsia="方正仿宋简体" w:cs="仿宋"/>
          <w:bCs/>
          <w:sz w:val="32"/>
          <w:szCs w:val="32"/>
        </w:rPr>
        <w:t>日历日</w:t>
      </w:r>
      <w:r>
        <w:rPr>
          <w:rFonts w:ascii="方正仿宋简体" w:hAnsi="黑体" w:eastAsia="方正仿宋简体" w:cs="仿宋"/>
          <w:bCs/>
          <w:sz w:val="32"/>
          <w:szCs w:val="32"/>
        </w:rPr>
        <w:t>内完成鉴定报告。</w:t>
      </w:r>
    </w:p>
    <w:p>
      <w:pPr>
        <w:snapToGrid w:val="0"/>
        <w:spacing w:line="594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五、成果验收方式</w:t>
      </w:r>
    </w:p>
    <w:p>
      <w:pPr>
        <w:snapToGrid w:val="0"/>
        <w:spacing w:line="594" w:lineRule="exact"/>
        <w:ind w:firstLine="640" w:firstLineChars="200"/>
        <w:rPr>
          <w:rFonts w:ascii="方正仿宋简体" w:hAnsi="黑体" w:eastAsia="方正仿宋简体" w:cs="仿宋"/>
          <w:bCs/>
          <w:sz w:val="32"/>
          <w:szCs w:val="32"/>
        </w:rPr>
      </w:pPr>
      <w:r>
        <w:rPr>
          <w:rFonts w:hint="eastAsia" w:ascii="方正仿宋简体" w:hAnsi="黑体" w:eastAsia="方正仿宋简体" w:cs="仿宋"/>
          <w:bCs/>
          <w:sz w:val="32"/>
          <w:szCs w:val="32"/>
        </w:rPr>
        <w:t>按相关规范标准及相关管理单位要求，根据项目的实施进度及报告性质，由双方协商确定。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5C"/>
    <w:rsid w:val="00072204"/>
    <w:rsid w:val="0008331D"/>
    <w:rsid w:val="000935FC"/>
    <w:rsid w:val="001447FB"/>
    <w:rsid w:val="001B667F"/>
    <w:rsid w:val="002965A8"/>
    <w:rsid w:val="003F0C5F"/>
    <w:rsid w:val="0045167C"/>
    <w:rsid w:val="004E7230"/>
    <w:rsid w:val="005D2F17"/>
    <w:rsid w:val="00663CD0"/>
    <w:rsid w:val="006A0348"/>
    <w:rsid w:val="006B1BC1"/>
    <w:rsid w:val="006E62DD"/>
    <w:rsid w:val="00824DFE"/>
    <w:rsid w:val="008416EC"/>
    <w:rsid w:val="00851522"/>
    <w:rsid w:val="008A22FF"/>
    <w:rsid w:val="00910A72"/>
    <w:rsid w:val="009B0F96"/>
    <w:rsid w:val="009C115D"/>
    <w:rsid w:val="00A247A9"/>
    <w:rsid w:val="00AE743E"/>
    <w:rsid w:val="00B31A82"/>
    <w:rsid w:val="00C716CB"/>
    <w:rsid w:val="00D43A5D"/>
    <w:rsid w:val="00DB7364"/>
    <w:rsid w:val="00E9105C"/>
    <w:rsid w:val="00EA52BA"/>
    <w:rsid w:val="00FA70BF"/>
    <w:rsid w:val="00FF7673"/>
    <w:rsid w:val="5191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17</TotalTime>
  <ScaleCrop>false</ScaleCrop>
  <LinksUpToDate>false</LinksUpToDate>
  <CharactersWithSpaces>656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2023-11-08T08:28:00Z</dcterms:created>
  <dc:creator>郭川</dc:creator>
  <cp:lastModifiedBy>于帆</cp:lastModifiedBy>
  <dcterms:modified xsi:type="dcterms:W3CDTF">2023-11-10T09:34:47Z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