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  <w:r>
        <w:rPr>
          <w:rFonts w:ascii="宋体" w:hAnsi="宋体" w:eastAsia="宋体" w:cs="黑体"/>
          <w:sz w:val="24"/>
        </w:rPr>
        <w:t xml:space="preserve"> </w:t>
      </w:r>
      <w:r>
        <w:rPr>
          <w:rFonts w:hint="eastAsia" w:ascii="宋体" w:hAnsi="宋体" w:eastAsia="宋体" w:cs="黑体"/>
          <w:sz w:val="24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《大型活动可持续性评价指南</w:t>
      </w:r>
      <w:r>
        <w:rPr>
          <w:rFonts w:hint="eastAsia" w:ascii="黑体" w:eastAsia="黑体" w:cs="黑体"/>
        </w:rPr>
        <w:t>》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</w:rPr>
      </w:pPr>
      <w:bookmarkStart w:id="0" w:name="_GoBack"/>
      <w:r>
        <w:rPr>
          <w:rFonts w:hint="eastAsia" w:ascii="黑体" w:eastAsia="黑体" w:cs="黑体"/>
        </w:rPr>
        <w:t>国家标准起草单位报名表</w:t>
      </w:r>
    </w:p>
    <w:bookmarkEnd w:id="0"/>
    <w:tbl>
      <w:tblPr>
        <w:tblStyle w:val="4"/>
        <w:tblpPr w:leftFromText="180" w:rightFromText="180" w:vertAnchor="text" w:horzAnchor="margin" w:tblpXSpec="center" w:tblpY="924"/>
        <w:tblW w:w="102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>
            <w:pPr>
              <w:pStyle w:val="6"/>
              <w:kinsoku w:val="0"/>
              <w:overflowPunct w:val="0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</w:p>
    <w:p>
      <w:pPr>
        <w:pStyle w:val="2"/>
        <w:kinsoku w:val="0"/>
        <w:overflowPunct w:val="0"/>
        <w:rPr>
          <w:rFonts w:ascii="黑体" w:eastAsia="黑体" w:cs="黑体"/>
          <w:sz w:val="20"/>
          <w:szCs w:val="20"/>
        </w:rPr>
      </w:pPr>
    </w:p>
    <w:p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A5F4958"/>
    <w:rsid w:val="0A5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阎毛毛</dc:creator>
  <cp:lastModifiedBy>阎毛毛</cp:lastModifiedBy>
  <dcterms:modified xsi:type="dcterms:W3CDTF">2023-01-13T03:20:37Z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E62A184148ED4DEC884AA3E3D0E9D6E7</vt:lpwstr>
  </property>
</Properties>
</file>