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5A4" w:rsidRPr="002350B0" w:rsidRDefault="003865A4" w:rsidP="00B05ECD">
      <w:pPr>
        <w:autoSpaceDE w:val="0"/>
        <w:autoSpaceDN w:val="0"/>
        <w:snapToGrid w:val="0"/>
        <w:jc w:val="center"/>
        <w:rPr>
          <w:rFonts w:eastAsia="黑体"/>
          <w:b/>
          <w:bCs/>
          <w:kern w:val="0"/>
          <w:sz w:val="52"/>
        </w:rPr>
      </w:pPr>
      <w:r w:rsidRPr="002350B0">
        <w:rPr>
          <w:rFonts w:eastAsia="黑体"/>
          <w:spacing w:val="-8"/>
          <w:kern w:val="0"/>
          <w:sz w:val="32"/>
          <w:szCs w:val="32"/>
        </w:rPr>
        <w:t>《</w:t>
      </w:r>
      <w:r w:rsidR="00F726C8" w:rsidRPr="002350B0">
        <w:rPr>
          <w:rFonts w:eastAsia="黑体" w:hAnsi="黑体"/>
          <w:b/>
          <w:kern w:val="0"/>
          <w:sz w:val="32"/>
          <w:szCs w:val="32"/>
        </w:rPr>
        <w:t>植物激素类次生代谢产物的生物</w:t>
      </w:r>
      <w:r w:rsidR="00F726C8" w:rsidRPr="002350B0">
        <w:rPr>
          <w:rFonts w:eastAsia="黑体" w:hAnsi="黑体"/>
          <w:b/>
          <w:bCs/>
          <w:kern w:val="0"/>
          <w:sz w:val="32"/>
          <w:szCs w:val="32"/>
        </w:rPr>
        <w:t>活性测定</w:t>
      </w:r>
      <w:r w:rsidR="00B822C8" w:rsidRPr="002350B0">
        <w:rPr>
          <w:rFonts w:eastAsia="黑体"/>
          <w:b/>
          <w:bCs/>
          <w:kern w:val="0"/>
          <w:sz w:val="32"/>
          <w:szCs w:val="32"/>
        </w:rPr>
        <w:t xml:space="preserve"> </w:t>
      </w:r>
      <w:r w:rsidR="00B822C8" w:rsidRPr="002350B0">
        <w:rPr>
          <w:rFonts w:eastAsia="黑体" w:hAnsi="黑体"/>
          <w:b/>
          <w:bCs/>
          <w:kern w:val="0"/>
          <w:sz w:val="32"/>
          <w:szCs w:val="32"/>
        </w:rPr>
        <w:t>细胞学评价</w:t>
      </w:r>
      <w:r w:rsidR="00F726C8" w:rsidRPr="002350B0">
        <w:rPr>
          <w:rFonts w:eastAsia="黑体" w:hAnsi="黑体"/>
          <w:b/>
          <w:bCs/>
          <w:kern w:val="0"/>
          <w:sz w:val="32"/>
          <w:szCs w:val="32"/>
        </w:rPr>
        <w:t>法</w:t>
      </w:r>
      <w:r w:rsidRPr="002350B0">
        <w:rPr>
          <w:rFonts w:eastAsia="黑体"/>
          <w:kern w:val="0"/>
          <w:sz w:val="32"/>
          <w:szCs w:val="32"/>
        </w:rPr>
        <w:t>》</w:t>
      </w:r>
    </w:p>
    <w:p w:rsidR="003865A4" w:rsidRPr="002350B0" w:rsidRDefault="003865A4" w:rsidP="00B05ECD">
      <w:pPr>
        <w:snapToGrid w:val="0"/>
        <w:spacing w:line="240" w:lineRule="auto"/>
        <w:jc w:val="center"/>
        <w:textAlignment w:val="auto"/>
        <w:rPr>
          <w:rFonts w:eastAsia="黑体"/>
          <w:kern w:val="0"/>
          <w:sz w:val="32"/>
          <w:szCs w:val="32"/>
        </w:rPr>
      </w:pPr>
      <w:r w:rsidRPr="002350B0">
        <w:rPr>
          <w:rFonts w:eastAsia="黑体"/>
          <w:kern w:val="0"/>
          <w:sz w:val="32"/>
          <w:szCs w:val="32"/>
        </w:rPr>
        <w:t>(</w:t>
      </w:r>
      <w:r w:rsidRPr="002350B0">
        <w:rPr>
          <w:rFonts w:eastAsia="黑体"/>
          <w:kern w:val="0"/>
          <w:sz w:val="32"/>
          <w:szCs w:val="32"/>
        </w:rPr>
        <w:t>征求意见稿</w:t>
      </w:r>
      <w:r w:rsidRPr="002350B0">
        <w:rPr>
          <w:rFonts w:eastAsia="黑体"/>
          <w:kern w:val="0"/>
          <w:sz w:val="32"/>
          <w:szCs w:val="32"/>
        </w:rPr>
        <w:t>)</w:t>
      </w:r>
    </w:p>
    <w:p w:rsidR="003865A4" w:rsidRPr="002350B0" w:rsidRDefault="003865A4" w:rsidP="00B05ECD">
      <w:pPr>
        <w:snapToGrid w:val="0"/>
        <w:spacing w:line="240" w:lineRule="auto"/>
        <w:jc w:val="center"/>
        <w:textAlignment w:val="auto"/>
        <w:rPr>
          <w:rFonts w:eastAsia="黑体"/>
          <w:kern w:val="0"/>
          <w:sz w:val="32"/>
          <w:szCs w:val="32"/>
        </w:rPr>
      </w:pPr>
      <w:r w:rsidRPr="002350B0">
        <w:rPr>
          <w:rFonts w:eastAsia="黑体"/>
          <w:kern w:val="0"/>
          <w:sz w:val="32"/>
          <w:szCs w:val="32"/>
        </w:rPr>
        <w:t>编制说明</w:t>
      </w:r>
    </w:p>
    <w:p w:rsidR="003865A4" w:rsidRPr="002350B0" w:rsidRDefault="003865A4" w:rsidP="00B05ECD">
      <w:pPr>
        <w:snapToGrid w:val="0"/>
        <w:rPr>
          <w:b/>
          <w:sz w:val="24"/>
        </w:rPr>
      </w:pPr>
      <w:r w:rsidRPr="002350B0">
        <w:rPr>
          <w:b/>
          <w:sz w:val="24"/>
        </w:rPr>
        <w:t>一、任务来源</w:t>
      </w:r>
    </w:p>
    <w:p w:rsidR="003865A4" w:rsidRPr="002350B0" w:rsidRDefault="006D7106" w:rsidP="00B05ECD">
      <w:pPr>
        <w:tabs>
          <w:tab w:val="left" w:pos="0"/>
        </w:tabs>
        <w:autoSpaceDE w:val="0"/>
        <w:autoSpaceDN w:val="0"/>
        <w:snapToGrid w:val="0"/>
        <w:ind w:firstLineChars="200" w:firstLine="480"/>
        <w:rPr>
          <w:kern w:val="0"/>
          <w:sz w:val="24"/>
          <w:szCs w:val="24"/>
        </w:rPr>
      </w:pPr>
      <w:r w:rsidRPr="001B2D6E">
        <w:rPr>
          <w:color w:val="000000"/>
          <w:sz w:val="24"/>
        </w:rPr>
        <w:t>本国家标准的制定任务列入国家标准化管理委员会《国家标准委关于下达</w:t>
      </w:r>
      <w:r w:rsidRPr="001B2D6E">
        <w:rPr>
          <w:color w:val="000000"/>
          <w:sz w:val="24"/>
        </w:rPr>
        <w:t>2018</w:t>
      </w:r>
      <w:r w:rsidRPr="001B2D6E">
        <w:rPr>
          <w:color w:val="000000"/>
          <w:sz w:val="24"/>
        </w:rPr>
        <w:t>年第二批国家标准制修订计划的通知》（</w:t>
      </w:r>
      <w:proofErr w:type="gramStart"/>
      <w:r w:rsidRPr="001B2D6E">
        <w:rPr>
          <w:color w:val="000000"/>
          <w:sz w:val="24"/>
        </w:rPr>
        <w:t>国标委综合</w:t>
      </w:r>
      <w:proofErr w:type="gramEnd"/>
      <w:r w:rsidRPr="001B2D6E">
        <w:rPr>
          <w:color w:val="000000"/>
          <w:sz w:val="24"/>
        </w:rPr>
        <w:t>〔</w:t>
      </w:r>
      <w:r w:rsidRPr="001B2D6E">
        <w:rPr>
          <w:color w:val="000000"/>
          <w:sz w:val="24"/>
        </w:rPr>
        <w:t>2018</w:t>
      </w:r>
      <w:r w:rsidRPr="001B2D6E">
        <w:rPr>
          <w:color w:val="000000"/>
          <w:sz w:val="24"/>
        </w:rPr>
        <w:t>〕</w:t>
      </w:r>
      <w:r w:rsidRPr="001B2D6E">
        <w:rPr>
          <w:color w:val="000000"/>
          <w:sz w:val="24"/>
        </w:rPr>
        <w:t>41</w:t>
      </w:r>
      <w:r w:rsidRPr="001B2D6E">
        <w:rPr>
          <w:color w:val="000000"/>
          <w:sz w:val="24"/>
        </w:rPr>
        <w:t>号），</w:t>
      </w:r>
      <w:r w:rsidR="003865A4" w:rsidRPr="002350B0">
        <w:rPr>
          <w:kern w:val="0"/>
          <w:sz w:val="24"/>
          <w:szCs w:val="24"/>
        </w:rPr>
        <w:t>项目编号</w:t>
      </w:r>
      <w:r w:rsidR="007F3186" w:rsidRPr="002350B0">
        <w:rPr>
          <w:kern w:val="0"/>
          <w:sz w:val="24"/>
          <w:szCs w:val="24"/>
        </w:rPr>
        <w:t>“</w:t>
      </w:r>
      <w:r w:rsidR="00EF5D7D" w:rsidRPr="00EF5D7D">
        <w:rPr>
          <w:kern w:val="0"/>
          <w:sz w:val="24"/>
          <w:szCs w:val="24"/>
        </w:rPr>
        <w:t>20181039-T-424</w:t>
      </w:r>
      <w:r w:rsidR="003865A4" w:rsidRPr="002350B0">
        <w:rPr>
          <w:kern w:val="0"/>
          <w:sz w:val="24"/>
          <w:szCs w:val="24"/>
        </w:rPr>
        <w:t>”</w:t>
      </w:r>
      <w:r w:rsidR="003865A4" w:rsidRPr="002350B0">
        <w:rPr>
          <w:kern w:val="0"/>
          <w:sz w:val="24"/>
          <w:szCs w:val="24"/>
        </w:rPr>
        <w:t>。本项任务由中国标准化研究院提出并归口，</w:t>
      </w:r>
      <w:r w:rsidR="007F3186" w:rsidRPr="002350B0">
        <w:rPr>
          <w:sz w:val="24"/>
        </w:rPr>
        <w:t>定于</w:t>
      </w:r>
      <w:r w:rsidR="007F3186" w:rsidRPr="002350B0">
        <w:rPr>
          <w:sz w:val="24"/>
        </w:rPr>
        <w:t>2019</w:t>
      </w:r>
      <w:r w:rsidR="007F3186" w:rsidRPr="002350B0">
        <w:rPr>
          <w:sz w:val="24"/>
        </w:rPr>
        <w:t>年完成</w:t>
      </w:r>
      <w:r w:rsidR="003865A4" w:rsidRPr="002350B0">
        <w:rPr>
          <w:kern w:val="0"/>
          <w:sz w:val="24"/>
          <w:szCs w:val="24"/>
        </w:rPr>
        <w:t>。本标准起草工作组由</w:t>
      </w:r>
      <w:bookmarkStart w:id="0" w:name="_GoBack"/>
      <w:bookmarkEnd w:id="0"/>
      <w:r w:rsidR="00F726C8" w:rsidRPr="002350B0">
        <w:rPr>
          <w:kern w:val="0"/>
          <w:sz w:val="24"/>
          <w:szCs w:val="24"/>
        </w:rPr>
        <w:t>中国计量大学</w:t>
      </w:r>
      <w:r w:rsidR="007F3186" w:rsidRPr="002350B0">
        <w:rPr>
          <w:sz w:val="24"/>
        </w:rPr>
        <w:t>和中国标准化研究院</w:t>
      </w:r>
      <w:r w:rsidR="003865A4" w:rsidRPr="002350B0">
        <w:rPr>
          <w:kern w:val="0"/>
          <w:sz w:val="24"/>
          <w:szCs w:val="24"/>
        </w:rPr>
        <w:t>等单位共同组成。</w:t>
      </w:r>
    </w:p>
    <w:p w:rsidR="00B822C8" w:rsidRPr="002350B0" w:rsidRDefault="00B822C8" w:rsidP="00B822C8">
      <w:pPr>
        <w:snapToGrid w:val="0"/>
        <w:textAlignment w:val="auto"/>
        <w:rPr>
          <w:b/>
          <w:sz w:val="24"/>
        </w:rPr>
      </w:pPr>
      <w:r w:rsidRPr="002350B0">
        <w:rPr>
          <w:b/>
          <w:sz w:val="24"/>
        </w:rPr>
        <w:t>二、标准制定目的及意义</w:t>
      </w:r>
    </w:p>
    <w:p w:rsidR="00993EAD" w:rsidRPr="002350B0" w:rsidRDefault="00993EAD" w:rsidP="00993EAD">
      <w:pPr>
        <w:snapToGrid w:val="0"/>
        <w:ind w:firstLine="480"/>
        <w:rPr>
          <w:sz w:val="24"/>
          <w:szCs w:val="24"/>
        </w:rPr>
      </w:pPr>
      <w:r w:rsidRPr="002350B0">
        <w:rPr>
          <w:sz w:val="24"/>
          <w:szCs w:val="24"/>
        </w:rPr>
        <w:t>植物激素是植物细胞接受特定环境信号诱导产生的、低浓度时可调节植物生理反应的活性物质，因其在调节植物生长发育时表现出微量、精准的调控模式，因此陆续被开发为植物生长调节剂，其使用浓度低，效果好，在农业上应用十分广泛，统计表明我国农产品收益的相当比例来自于植物生长调节剂的正确合理使用。因此植物激素的研究一直受到科研领域、工业生产和农业应用收到密切关注。</w:t>
      </w:r>
    </w:p>
    <w:p w:rsidR="00993EAD" w:rsidRPr="002350B0" w:rsidRDefault="00993EAD" w:rsidP="00993EAD">
      <w:pPr>
        <w:snapToGrid w:val="0"/>
        <w:ind w:firstLine="480"/>
        <w:rPr>
          <w:sz w:val="24"/>
          <w:szCs w:val="24"/>
        </w:rPr>
      </w:pPr>
      <w:r w:rsidRPr="002350B0">
        <w:rPr>
          <w:sz w:val="24"/>
          <w:szCs w:val="24"/>
        </w:rPr>
        <w:t>植物激素种类繁多，国外针对植物激素活性研究继而开发的植物生长调节剂中有效成分多达</w:t>
      </w:r>
      <w:r w:rsidRPr="002350B0">
        <w:rPr>
          <w:sz w:val="24"/>
          <w:szCs w:val="24"/>
        </w:rPr>
        <w:t>100</w:t>
      </w:r>
      <w:r w:rsidRPr="002350B0">
        <w:rPr>
          <w:sz w:val="24"/>
          <w:szCs w:val="24"/>
        </w:rPr>
        <w:t>多种，且剂型丰富，而</w:t>
      </w:r>
      <w:r w:rsidRPr="002350B0">
        <w:rPr>
          <w:sz w:val="24"/>
        </w:rPr>
        <w:t>我国对植物激素类次生代谢产物研究起步较晚，总体处于跟跑阶段，且产品同质化严重，</w:t>
      </w:r>
      <w:r w:rsidRPr="002350B0">
        <w:rPr>
          <w:sz w:val="24"/>
          <w:szCs w:val="24"/>
        </w:rPr>
        <w:t>有效成分物质少，剂型单一、研制进度慢，田间复配药剂出现药害概率高等问题，</w:t>
      </w:r>
      <w:r w:rsidRPr="002350B0">
        <w:rPr>
          <w:sz w:val="24"/>
        </w:rPr>
        <w:t>缺乏核心竞争力。主要原因是其活性测定和功效评价缺乏统一的试验方法和标准，以植物激素类次生代谢物为主要活性成分的产品质量控制缺乏统一的标准和先进的技术等。因此，本课题拟在前期工作基础上，研究建立植物激素类活性物质的活性测定、功效评价技术等相关标准。研究结果将为以植物激素类次生代谢产物为主要活性成分的活性评价、产品研发和质量控制提供强大的技术保障，有效推动次生代谢物产业的发展。</w:t>
      </w:r>
    </w:p>
    <w:p w:rsidR="00993EAD" w:rsidRPr="002350B0" w:rsidRDefault="00993EAD" w:rsidP="00993EAD">
      <w:pPr>
        <w:snapToGrid w:val="0"/>
        <w:rPr>
          <w:b/>
          <w:bCs/>
          <w:sz w:val="24"/>
          <w:szCs w:val="24"/>
        </w:rPr>
      </w:pPr>
      <w:r w:rsidRPr="002350B0">
        <w:rPr>
          <w:sz w:val="24"/>
          <w:szCs w:val="24"/>
        </w:rPr>
        <w:t>植物体内产生的激素有五大类，即生长素、赤霉素、细胞分裂素、脱落酸和乙烯，存在多种具有类似生物活性的化合物，活性不一，其中吲哚乙酸（</w:t>
      </w:r>
      <w:r w:rsidRPr="002350B0">
        <w:rPr>
          <w:sz w:val="24"/>
          <w:szCs w:val="24"/>
        </w:rPr>
        <w:t>IAA</w:t>
      </w:r>
      <w:r w:rsidRPr="002350B0">
        <w:rPr>
          <w:sz w:val="24"/>
          <w:szCs w:val="24"/>
        </w:rPr>
        <w:t>）为主要的天然生长素，但是其极不稳定，从而通过人工合成了</w:t>
      </w:r>
      <w:proofErr w:type="gramStart"/>
      <w:r w:rsidRPr="002350B0">
        <w:rPr>
          <w:sz w:val="24"/>
          <w:szCs w:val="24"/>
        </w:rPr>
        <w:t>萘</w:t>
      </w:r>
      <w:proofErr w:type="gramEnd"/>
      <w:r w:rsidRPr="002350B0">
        <w:rPr>
          <w:sz w:val="24"/>
          <w:szCs w:val="24"/>
        </w:rPr>
        <w:t>乙酸（</w:t>
      </w:r>
      <w:r w:rsidRPr="002350B0">
        <w:rPr>
          <w:sz w:val="24"/>
          <w:szCs w:val="24"/>
        </w:rPr>
        <w:t>NAA</w:t>
      </w:r>
      <w:r w:rsidRPr="002350B0">
        <w:rPr>
          <w:sz w:val="24"/>
          <w:szCs w:val="24"/>
        </w:rPr>
        <w:t>）、</w:t>
      </w:r>
      <w:r w:rsidRPr="002350B0">
        <w:rPr>
          <w:sz w:val="24"/>
          <w:szCs w:val="24"/>
        </w:rPr>
        <w:t>4-</w:t>
      </w:r>
      <w:r w:rsidRPr="002350B0">
        <w:rPr>
          <w:sz w:val="24"/>
          <w:szCs w:val="24"/>
        </w:rPr>
        <w:t>氯</w:t>
      </w:r>
      <w:r w:rsidRPr="002350B0">
        <w:rPr>
          <w:sz w:val="24"/>
          <w:szCs w:val="24"/>
        </w:rPr>
        <w:t>-IAA</w:t>
      </w:r>
      <w:r w:rsidRPr="002350B0">
        <w:rPr>
          <w:sz w:val="24"/>
          <w:szCs w:val="24"/>
        </w:rPr>
        <w:t>、</w:t>
      </w:r>
      <w:r w:rsidRPr="002350B0">
        <w:rPr>
          <w:sz w:val="24"/>
          <w:szCs w:val="24"/>
        </w:rPr>
        <w:t>5-</w:t>
      </w:r>
      <w:r w:rsidRPr="002350B0">
        <w:rPr>
          <w:sz w:val="24"/>
          <w:szCs w:val="24"/>
        </w:rPr>
        <w:t>羟</w:t>
      </w:r>
      <w:r w:rsidRPr="002350B0">
        <w:rPr>
          <w:sz w:val="24"/>
          <w:szCs w:val="24"/>
        </w:rPr>
        <w:t>-IAA</w:t>
      </w:r>
      <w:r w:rsidRPr="002350B0">
        <w:rPr>
          <w:sz w:val="24"/>
          <w:szCs w:val="24"/>
        </w:rPr>
        <w:t>等结构功能类似物，主要作用于</w:t>
      </w:r>
      <w:proofErr w:type="gramStart"/>
      <w:r w:rsidRPr="002350B0">
        <w:rPr>
          <w:sz w:val="24"/>
          <w:szCs w:val="24"/>
        </w:rPr>
        <w:t>于</w:t>
      </w:r>
      <w:proofErr w:type="gramEnd"/>
      <w:r w:rsidRPr="002350B0">
        <w:rPr>
          <w:sz w:val="24"/>
          <w:szCs w:val="24"/>
        </w:rPr>
        <w:t>细胞的生长，特别是细胞的伸长；玉米素（</w:t>
      </w:r>
      <w:r w:rsidRPr="002350B0">
        <w:rPr>
          <w:sz w:val="24"/>
          <w:szCs w:val="24"/>
        </w:rPr>
        <w:t>ZT</w:t>
      </w:r>
      <w:r w:rsidRPr="002350B0">
        <w:rPr>
          <w:sz w:val="24"/>
          <w:szCs w:val="24"/>
        </w:rPr>
        <w:t>）是主要的天然细胞分裂素，主要作用于细胞分裂及分化，除玉米素外，植物中至今已发现了十几种具有类似生理活性的物质，以此为基础，人工合成开发了</w:t>
      </w:r>
      <w:r w:rsidRPr="002350B0">
        <w:rPr>
          <w:bCs/>
          <w:sz w:val="24"/>
          <w:szCs w:val="24"/>
        </w:rPr>
        <w:t>6-</w:t>
      </w:r>
      <w:proofErr w:type="gramStart"/>
      <w:r w:rsidRPr="002350B0">
        <w:rPr>
          <w:bCs/>
          <w:sz w:val="24"/>
          <w:szCs w:val="24"/>
        </w:rPr>
        <w:t>糠基氨基</w:t>
      </w:r>
      <w:proofErr w:type="gramEnd"/>
      <w:r w:rsidRPr="002350B0">
        <w:rPr>
          <w:bCs/>
          <w:sz w:val="24"/>
          <w:szCs w:val="24"/>
        </w:rPr>
        <w:t>嘌呤、</w:t>
      </w:r>
      <w:r w:rsidRPr="002350B0">
        <w:rPr>
          <w:bCs/>
          <w:sz w:val="24"/>
          <w:szCs w:val="24"/>
        </w:rPr>
        <w:t>6-</w:t>
      </w:r>
      <w:r w:rsidRPr="002350B0">
        <w:rPr>
          <w:bCs/>
          <w:sz w:val="24"/>
          <w:szCs w:val="24"/>
        </w:rPr>
        <w:t>苄基氨基嘌呤等</w:t>
      </w:r>
      <w:r w:rsidRPr="002350B0">
        <w:rPr>
          <w:sz w:val="24"/>
          <w:szCs w:val="24"/>
        </w:rPr>
        <w:t>结构功能类似物；脱落酸（</w:t>
      </w:r>
      <w:r w:rsidRPr="002350B0">
        <w:rPr>
          <w:sz w:val="24"/>
          <w:szCs w:val="24"/>
        </w:rPr>
        <w:t>ABA</w:t>
      </w:r>
      <w:r w:rsidRPr="002350B0">
        <w:rPr>
          <w:sz w:val="24"/>
          <w:szCs w:val="24"/>
        </w:rPr>
        <w:t>）</w:t>
      </w:r>
      <w:r w:rsidRPr="002350B0">
        <w:rPr>
          <w:sz w:val="24"/>
          <w:szCs w:val="24"/>
        </w:rPr>
        <w:lastRenderedPageBreak/>
        <w:t>是主要的植物天然生长调节剂，主要导致休眠和促进脱落，天然活性脱落酸的提取成本较高，而传统的化学合成法生产的脱落酸不仅成本高，且生理活性与天然的存在显著差异，至今只有美国等发达国家应用于大规模农业生产；</w:t>
      </w:r>
      <w:proofErr w:type="gramStart"/>
      <w:r w:rsidRPr="002350B0">
        <w:rPr>
          <w:sz w:val="24"/>
          <w:szCs w:val="24"/>
        </w:rPr>
        <w:t>赤</w:t>
      </w:r>
      <w:proofErr w:type="gramEnd"/>
      <w:r w:rsidRPr="002350B0">
        <w:rPr>
          <w:sz w:val="24"/>
          <w:szCs w:val="24"/>
        </w:rPr>
        <w:t>霉酸（</w:t>
      </w:r>
      <w:r w:rsidRPr="002350B0">
        <w:rPr>
          <w:sz w:val="24"/>
          <w:szCs w:val="24"/>
        </w:rPr>
        <w:t>GA</w:t>
      </w:r>
      <w:r w:rsidRPr="002350B0">
        <w:rPr>
          <w:sz w:val="24"/>
          <w:szCs w:val="24"/>
          <w:vertAlign w:val="subscript"/>
        </w:rPr>
        <w:t>3</w:t>
      </w:r>
      <w:r w:rsidRPr="002350B0">
        <w:rPr>
          <w:sz w:val="24"/>
          <w:szCs w:val="24"/>
        </w:rPr>
        <w:t>）是活性最高的天然赤霉素，可以加速细胞伸长，促进细胞扩大，大部分通过赤霉菌发酵液分离提取，至今已分离鉴定出近百种生理活性类似的物质。由于同类激素中存在多种结构类似物，且结构、生产方式或剂型等不同，其生理活性则会产生差异，因此植物激素的生理活性很单纯难以浓度、纯度等进行判定。而生理活性差异则会直接导致产品质量参差不齐，使用效果不一。因此，对产品的生理活性进行测定评价是控制产品质量、保障使用效果的关键，也是促进新产品开发的基础。鉴于此，建立统一的生物活性评价标准具有重要意义，是植物生长调节激素类产品质量控制的保障，同时为新产品的开发鉴定提供标准指导。</w:t>
      </w:r>
    </w:p>
    <w:p w:rsidR="00B822C8" w:rsidRPr="002350B0" w:rsidRDefault="00993EAD" w:rsidP="00993EAD">
      <w:pPr>
        <w:snapToGrid w:val="0"/>
        <w:ind w:firstLine="480"/>
        <w:rPr>
          <w:sz w:val="24"/>
          <w:szCs w:val="24"/>
        </w:rPr>
      </w:pPr>
      <w:r w:rsidRPr="002350B0">
        <w:rPr>
          <w:sz w:val="24"/>
          <w:szCs w:val="24"/>
        </w:rPr>
        <w:t>鉴于产品使用效果的重要性，相关科研人员也从植物生长调节剂在促进或抑制植物生根、发芽、生长、开花、结果等方面展开了大量研究，国家也从农作物生长发育为出发点规定了植物生长调节剂用于调节小麦、水稻、棉花、玉米、黄瓜、番茄、葡萄、大豆生长以及在</w:t>
      </w:r>
      <w:proofErr w:type="gramStart"/>
      <w:r w:rsidRPr="002350B0">
        <w:rPr>
          <w:sz w:val="24"/>
          <w:szCs w:val="24"/>
        </w:rPr>
        <w:t>马铃薯抑芽调控</w:t>
      </w:r>
      <w:proofErr w:type="gramEnd"/>
      <w:r w:rsidRPr="002350B0">
        <w:rPr>
          <w:sz w:val="24"/>
          <w:szCs w:val="24"/>
        </w:rPr>
        <w:t>，促进苹果着色、提高苹果果形指数、促进果树成花与坐果的田间药效小区试验的方法和基本要求，作为登记用的药效评价标准。而其余标准只规范了植物激素的测定方法，包括免疫法、薄层色谱、液相色谱等，都只能定量测定激素含量，而激素有效成分复杂，各成分间结构不同活性差异大，因此有必要制定统一的植物激素活性测定评价标准，以规范植物激素类产品的生产和使用，保障和促进该领域的健康发展。但是目前国内外均没有相关激素的活性检测标准。本标准的制定将填补相关空白，为科研和监管提供技术支撑。</w:t>
      </w:r>
    </w:p>
    <w:p w:rsidR="00B822C8" w:rsidRPr="002350B0" w:rsidRDefault="00B822C8" w:rsidP="00B822C8">
      <w:pPr>
        <w:snapToGrid w:val="0"/>
        <w:textAlignment w:val="auto"/>
        <w:rPr>
          <w:b/>
          <w:sz w:val="24"/>
        </w:rPr>
      </w:pPr>
      <w:r w:rsidRPr="002350B0">
        <w:rPr>
          <w:b/>
          <w:sz w:val="24"/>
        </w:rPr>
        <w:t>三、标准制定原则和依据</w:t>
      </w:r>
    </w:p>
    <w:p w:rsidR="003865A4" w:rsidRPr="002350B0" w:rsidRDefault="003865A4" w:rsidP="00B05ECD">
      <w:pPr>
        <w:tabs>
          <w:tab w:val="left" w:pos="0"/>
        </w:tabs>
        <w:autoSpaceDE w:val="0"/>
        <w:autoSpaceDN w:val="0"/>
        <w:snapToGrid w:val="0"/>
        <w:ind w:firstLineChars="200" w:firstLine="480"/>
        <w:rPr>
          <w:kern w:val="0"/>
          <w:sz w:val="24"/>
          <w:szCs w:val="24"/>
        </w:rPr>
      </w:pPr>
      <w:r w:rsidRPr="002350B0">
        <w:rPr>
          <w:sz w:val="24"/>
        </w:rPr>
        <w:t>本标准遵循</w:t>
      </w:r>
      <w:r w:rsidRPr="002350B0">
        <w:rPr>
          <w:sz w:val="24"/>
        </w:rPr>
        <w:t>GB/T1.1-2009</w:t>
      </w:r>
      <w:r w:rsidRPr="002350B0">
        <w:rPr>
          <w:sz w:val="24"/>
        </w:rPr>
        <w:t>《标准化工作导则第</w:t>
      </w:r>
      <w:r w:rsidRPr="002350B0">
        <w:rPr>
          <w:sz w:val="24"/>
        </w:rPr>
        <w:t>1</w:t>
      </w:r>
      <w:r w:rsidRPr="002350B0">
        <w:rPr>
          <w:sz w:val="24"/>
        </w:rPr>
        <w:t>部分：标准的结构和编写》</w:t>
      </w:r>
      <w:r w:rsidR="00012B0B" w:rsidRPr="002350B0">
        <w:rPr>
          <w:sz w:val="24"/>
        </w:rPr>
        <w:t>进行标准</w:t>
      </w:r>
      <w:r w:rsidR="00F726C8" w:rsidRPr="002350B0">
        <w:rPr>
          <w:sz w:val="24"/>
        </w:rPr>
        <w:t>编写，</w:t>
      </w:r>
      <w:r w:rsidR="00012B0B" w:rsidRPr="002350B0">
        <w:rPr>
          <w:sz w:val="24"/>
        </w:rPr>
        <w:t>标准内容参考了与植物激素活性检测相关</w:t>
      </w:r>
      <w:r w:rsidR="00B822C8" w:rsidRPr="002350B0">
        <w:rPr>
          <w:sz w:val="24"/>
        </w:rPr>
        <w:t>文献</w:t>
      </w:r>
      <w:r w:rsidR="00012B0B" w:rsidRPr="002350B0">
        <w:rPr>
          <w:sz w:val="24"/>
        </w:rPr>
        <w:t>，</w:t>
      </w:r>
      <w:r w:rsidRPr="002350B0">
        <w:rPr>
          <w:kern w:val="0"/>
          <w:sz w:val="24"/>
          <w:szCs w:val="24"/>
        </w:rPr>
        <w:t>标准参照了</w:t>
      </w:r>
      <w:r w:rsidRPr="002350B0">
        <w:rPr>
          <w:kern w:val="0"/>
          <w:sz w:val="24"/>
          <w:szCs w:val="24"/>
        </w:rPr>
        <w:t xml:space="preserve"> GB/T6379.1-2004</w:t>
      </w:r>
      <w:r w:rsidRPr="002350B0">
        <w:rPr>
          <w:kern w:val="0"/>
          <w:sz w:val="24"/>
          <w:szCs w:val="24"/>
        </w:rPr>
        <w:t>《测量方法与结果的准确度（正确度与精密度）》第</w:t>
      </w:r>
      <w:r w:rsidRPr="002350B0">
        <w:rPr>
          <w:kern w:val="0"/>
          <w:sz w:val="24"/>
          <w:szCs w:val="24"/>
        </w:rPr>
        <w:t>1</w:t>
      </w:r>
      <w:r w:rsidRPr="002350B0">
        <w:rPr>
          <w:kern w:val="0"/>
          <w:sz w:val="24"/>
          <w:szCs w:val="24"/>
        </w:rPr>
        <w:t>部分总则与定义和</w:t>
      </w:r>
      <w:r w:rsidRPr="002350B0">
        <w:rPr>
          <w:kern w:val="0"/>
          <w:sz w:val="24"/>
          <w:szCs w:val="24"/>
        </w:rPr>
        <w:t xml:space="preserve"> GB/T 6379.2-2004</w:t>
      </w:r>
      <w:r w:rsidRPr="002350B0">
        <w:rPr>
          <w:kern w:val="0"/>
          <w:sz w:val="24"/>
          <w:szCs w:val="24"/>
        </w:rPr>
        <w:t>《测量方法与结果的准确度》第</w:t>
      </w:r>
      <w:r w:rsidRPr="002350B0">
        <w:rPr>
          <w:kern w:val="0"/>
          <w:sz w:val="24"/>
          <w:szCs w:val="24"/>
        </w:rPr>
        <w:t>2</w:t>
      </w:r>
      <w:r w:rsidRPr="002350B0">
        <w:rPr>
          <w:kern w:val="0"/>
          <w:sz w:val="24"/>
          <w:szCs w:val="24"/>
        </w:rPr>
        <w:t>部分确定标准测量方法重复性与再现性的基本方法。</w:t>
      </w:r>
    </w:p>
    <w:p w:rsidR="00F726C8" w:rsidRPr="002350B0" w:rsidRDefault="00F726C8" w:rsidP="00B05ECD">
      <w:pPr>
        <w:snapToGrid w:val="0"/>
        <w:ind w:firstLineChars="200" w:firstLine="480"/>
        <w:rPr>
          <w:sz w:val="24"/>
          <w:szCs w:val="24"/>
        </w:rPr>
      </w:pPr>
      <w:r w:rsidRPr="002350B0">
        <w:rPr>
          <w:rFonts w:hAnsi="宋体"/>
          <w:sz w:val="24"/>
          <w:szCs w:val="24"/>
        </w:rPr>
        <w:t>标准的制定过程中采用文献调查法、专家座谈法、科学试验法等多种研究方法，确保方法的科学先进，过程周密严谨，保障数据真实可信、结果明确。</w:t>
      </w:r>
    </w:p>
    <w:p w:rsidR="00F726C8" w:rsidRPr="002350B0" w:rsidRDefault="00F726C8" w:rsidP="00B05ECD">
      <w:pPr>
        <w:snapToGrid w:val="0"/>
        <w:ind w:firstLineChars="200" w:firstLine="480"/>
        <w:rPr>
          <w:sz w:val="24"/>
          <w:szCs w:val="24"/>
        </w:rPr>
      </w:pPr>
      <w:r w:rsidRPr="002350B0">
        <w:rPr>
          <w:rFonts w:hAnsi="宋体"/>
          <w:sz w:val="24"/>
          <w:szCs w:val="24"/>
        </w:rPr>
        <w:lastRenderedPageBreak/>
        <w:t>本标准是为相关组织</w:t>
      </w:r>
      <w:r w:rsidR="00012B0B" w:rsidRPr="002350B0">
        <w:rPr>
          <w:rFonts w:hAnsi="宋体"/>
          <w:sz w:val="24"/>
          <w:szCs w:val="24"/>
        </w:rPr>
        <w:t>对提取或合成的植物激素类次生代谢产物进行活性</w:t>
      </w:r>
      <w:r w:rsidRPr="002350B0">
        <w:rPr>
          <w:rFonts w:hAnsi="宋体"/>
          <w:sz w:val="24"/>
          <w:szCs w:val="24"/>
        </w:rPr>
        <w:t>检测提供技术支撑，考虑到</w:t>
      </w:r>
      <w:r w:rsidR="00012B0B" w:rsidRPr="002350B0">
        <w:rPr>
          <w:rFonts w:hAnsi="宋体"/>
          <w:sz w:val="24"/>
          <w:szCs w:val="24"/>
        </w:rPr>
        <w:t>科研、</w:t>
      </w:r>
      <w:r w:rsidRPr="002350B0">
        <w:rPr>
          <w:rFonts w:hAnsi="宋体"/>
          <w:sz w:val="24"/>
          <w:szCs w:val="24"/>
        </w:rPr>
        <w:t>生产、监管等不同需求，在方法选择上，主要基于产业现状、现有成熟的技术以及试验结果验证基础确定的，因此实用性较强。</w:t>
      </w:r>
    </w:p>
    <w:p w:rsidR="00E50821" w:rsidRPr="002350B0" w:rsidRDefault="00873F52" w:rsidP="00FD3B50">
      <w:pPr>
        <w:snapToGrid w:val="0"/>
        <w:ind w:firstLine="480"/>
        <w:rPr>
          <w:sz w:val="24"/>
          <w:szCs w:val="24"/>
        </w:rPr>
      </w:pPr>
      <w:r w:rsidRPr="002350B0">
        <w:rPr>
          <w:sz w:val="24"/>
          <w:szCs w:val="24"/>
        </w:rPr>
        <w:t>同一类激素不同结构的活性物质在同等质量或浓度条件下各物质的生物活性不同，因此激素活性不能由物质质量或浓度来直接衡量。</w:t>
      </w:r>
      <w:r w:rsidR="00FD3B50" w:rsidRPr="002350B0">
        <w:rPr>
          <w:sz w:val="24"/>
          <w:szCs w:val="24"/>
        </w:rPr>
        <w:t>研究发现：植物激素可以通过与相应的激素受体结合，继而调节相关蛋白与其靶基因启动子序列内的增强子序列或抑制子序列结合而诱导或抑制靶基因表达。包括生长素响应元件</w:t>
      </w:r>
      <w:proofErr w:type="spellStart"/>
      <w:r w:rsidR="00FD3B50" w:rsidRPr="002350B0">
        <w:rPr>
          <w:sz w:val="24"/>
          <w:szCs w:val="24"/>
        </w:rPr>
        <w:t>AuxREs</w:t>
      </w:r>
      <w:proofErr w:type="spellEnd"/>
      <w:r w:rsidR="00FD3B50" w:rsidRPr="002350B0">
        <w:rPr>
          <w:sz w:val="24"/>
          <w:szCs w:val="24"/>
        </w:rPr>
        <w:t>，赤霉素响应元件</w:t>
      </w:r>
      <w:r w:rsidR="00FD3B50" w:rsidRPr="002350B0">
        <w:rPr>
          <w:sz w:val="24"/>
          <w:szCs w:val="24"/>
        </w:rPr>
        <w:t>TATC-box</w:t>
      </w:r>
      <w:r w:rsidR="00FD3B50" w:rsidRPr="002350B0">
        <w:rPr>
          <w:sz w:val="24"/>
          <w:szCs w:val="24"/>
        </w:rPr>
        <w:t>，脱落酸响应元件</w:t>
      </w:r>
      <w:r w:rsidR="00FD3B50" w:rsidRPr="002350B0">
        <w:rPr>
          <w:sz w:val="24"/>
          <w:szCs w:val="24"/>
        </w:rPr>
        <w:t>ABRE</w:t>
      </w:r>
      <w:r w:rsidR="00FD3B50" w:rsidRPr="002350B0">
        <w:rPr>
          <w:sz w:val="24"/>
          <w:szCs w:val="24"/>
        </w:rPr>
        <w:t>，细胞分裂素响应元件</w:t>
      </w:r>
      <w:r w:rsidR="00FD3B50" w:rsidRPr="002350B0">
        <w:rPr>
          <w:sz w:val="24"/>
          <w:szCs w:val="24"/>
        </w:rPr>
        <w:t>ARR1AT</w:t>
      </w:r>
      <w:r w:rsidR="00FD3B50" w:rsidRPr="002350B0">
        <w:rPr>
          <w:sz w:val="24"/>
          <w:szCs w:val="24"/>
        </w:rPr>
        <w:t>。已有研究表明在特定激素范围内，靶基因的表达与激素浓度成正比，因此本项目以</w:t>
      </w:r>
      <w:r w:rsidR="00FD3B50" w:rsidRPr="002350B0">
        <w:rPr>
          <w:sz w:val="24"/>
          <w:szCs w:val="24"/>
        </w:rPr>
        <w:t>pCAMBIA1301</w:t>
      </w:r>
      <w:r w:rsidR="00FD3B50" w:rsidRPr="002350B0">
        <w:rPr>
          <w:sz w:val="24"/>
          <w:szCs w:val="24"/>
        </w:rPr>
        <w:t>骨架质粒，将原</w:t>
      </w:r>
      <w:r w:rsidR="00FD3B50" w:rsidRPr="002350B0">
        <w:rPr>
          <w:sz w:val="24"/>
          <w:szCs w:val="24"/>
        </w:rPr>
        <w:t>35S</w:t>
      </w:r>
      <w:r w:rsidR="00FD3B50" w:rsidRPr="002350B0">
        <w:rPr>
          <w:sz w:val="24"/>
          <w:szCs w:val="24"/>
        </w:rPr>
        <w:t>启动子用不同激素的响应元件重复序列</w:t>
      </w:r>
      <w:r w:rsidR="00FD3B50" w:rsidRPr="002350B0">
        <w:rPr>
          <w:sz w:val="24"/>
          <w:szCs w:val="24"/>
        </w:rPr>
        <w:t>+</w:t>
      </w:r>
      <w:r w:rsidR="00FD3B50" w:rsidRPr="002350B0">
        <w:rPr>
          <w:sz w:val="24"/>
          <w:szCs w:val="24"/>
        </w:rPr>
        <w:t>启动子核心序列替换，以</w:t>
      </w:r>
      <w:r w:rsidR="00FD3B50" w:rsidRPr="002350B0">
        <w:rPr>
          <w:sz w:val="24"/>
          <w:szCs w:val="24"/>
        </w:rPr>
        <w:t>GUS</w:t>
      </w:r>
      <w:r w:rsidR="00FD3B50" w:rsidRPr="002350B0">
        <w:rPr>
          <w:sz w:val="24"/>
          <w:szCs w:val="24"/>
        </w:rPr>
        <w:t>为报告基因，分别转染拟南</w:t>
      </w:r>
      <w:proofErr w:type="gramStart"/>
      <w:r w:rsidR="00FD3B50" w:rsidRPr="002350B0">
        <w:rPr>
          <w:sz w:val="24"/>
          <w:szCs w:val="24"/>
        </w:rPr>
        <w:t>芥</w:t>
      </w:r>
      <w:proofErr w:type="gramEnd"/>
      <w:r w:rsidR="00FD3B50" w:rsidRPr="002350B0">
        <w:rPr>
          <w:sz w:val="24"/>
          <w:szCs w:val="24"/>
        </w:rPr>
        <w:t>，获得激素特异性响应的转基因拟南</w:t>
      </w:r>
      <w:proofErr w:type="gramStart"/>
      <w:r w:rsidR="00FD3B50" w:rsidRPr="002350B0">
        <w:rPr>
          <w:sz w:val="24"/>
          <w:szCs w:val="24"/>
        </w:rPr>
        <w:t>芥</w:t>
      </w:r>
      <w:proofErr w:type="gramEnd"/>
      <w:r w:rsidR="00FD3B50" w:rsidRPr="002350B0">
        <w:rPr>
          <w:sz w:val="24"/>
          <w:szCs w:val="24"/>
        </w:rPr>
        <w:t>，以原生质体作为植物激素活性细胞水平的检测模型。以</w:t>
      </w:r>
      <w:r w:rsidR="00FD3B50" w:rsidRPr="002350B0">
        <w:rPr>
          <w:sz w:val="24"/>
          <w:szCs w:val="24"/>
        </w:rPr>
        <w:t>GUS</w:t>
      </w:r>
      <w:r w:rsidR="00FD3B50" w:rsidRPr="002350B0">
        <w:rPr>
          <w:sz w:val="24"/>
          <w:szCs w:val="24"/>
        </w:rPr>
        <w:t>蛋白诱导表达量来评价激素的活性水平。</w:t>
      </w:r>
      <w:r w:rsidRPr="002350B0">
        <w:rPr>
          <w:sz w:val="24"/>
          <w:szCs w:val="24"/>
        </w:rPr>
        <w:t>规范了材料的获取、测定方法要求等要素，同时以</w:t>
      </w:r>
      <w:r w:rsidR="00993EAD" w:rsidRPr="002350B0">
        <w:rPr>
          <w:sz w:val="24"/>
          <w:szCs w:val="24"/>
        </w:rPr>
        <w:t>每类激素中活性高、稳定性强的天然活性物质或类似物为标准物，引入当量活性作为生物活性评价指标，即以</w:t>
      </w:r>
      <w:r w:rsidR="00993EAD" w:rsidRPr="002350B0">
        <w:rPr>
          <w:sz w:val="24"/>
        </w:rPr>
        <w:t>单位浓度的植物激素类次生代谢产物与其相对应的标准物诱导产生的</w:t>
      </w:r>
      <w:r w:rsidR="00993EAD" w:rsidRPr="002350B0">
        <w:rPr>
          <w:sz w:val="24"/>
        </w:rPr>
        <w:t>GUS</w:t>
      </w:r>
      <w:r w:rsidR="00993EAD" w:rsidRPr="002350B0">
        <w:rPr>
          <w:sz w:val="24"/>
        </w:rPr>
        <w:t>蛋白表达水平的相对值来评价不同物质的活性</w:t>
      </w:r>
      <w:r w:rsidRPr="002350B0">
        <w:rPr>
          <w:sz w:val="24"/>
          <w:szCs w:val="24"/>
        </w:rPr>
        <w:t>。</w:t>
      </w:r>
    </w:p>
    <w:p w:rsidR="00514008" w:rsidRPr="002350B0" w:rsidRDefault="00B822C8" w:rsidP="00B822C8">
      <w:pPr>
        <w:snapToGrid w:val="0"/>
        <w:textAlignment w:val="auto"/>
        <w:rPr>
          <w:b/>
          <w:sz w:val="24"/>
        </w:rPr>
      </w:pPr>
      <w:r w:rsidRPr="002350B0">
        <w:rPr>
          <w:b/>
          <w:sz w:val="24"/>
        </w:rPr>
        <w:t>四、主要</w:t>
      </w:r>
      <w:r w:rsidR="00514008" w:rsidRPr="002350B0">
        <w:rPr>
          <w:b/>
          <w:sz w:val="24"/>
        </w:rPr>
        <w:t>工作过程</w:t>
      </w:r>
    </w:p>
    <w:p w:rsidR="00843355" w:rsidRPr="002350B0" w:rsidRDefault="00172548" w:rsidP="00172548">
      <w:pPr>
        <w:snapToGrid w:val="0"/>
        <w:rPr>
          <w:bCs/>
          <w:sz w:val="24"/>
          <w:szCs w:val="24"/>
        </w:rPr>
      </w:pPr>
      <w:r w:rsidRPr="002350B0">
        <w:rPr>
          <w:bCs/>
          <w:sz w:val="24"/>
          <w:szCs w:val="24"/>
        </w:rPr>
        <w:t>4.1</w:t>
      </w:r>
      <w:r w:rsidRPr="002350B0">
        <w:rPr>
          <w:bCs/>
          <w:sz w:val="24"/>
          <w:szCs w:val="24"/>
        </w:rPr>
        <w:t>、</w:t>
      </w:r>
      <w:r w:rsidR="00843355" w:rsidRPr="002350B0">
        <w:rPr>
          <w:rFonts w:hAnsi="宋体"/>
          <w:bCs/>
          <w:sz w:val="24"/>
          <w:szCs w:val="24"/>
        </w:rPr>
        <w:t>组成标准起草小组</w:t>
      </w:r>
    </w:p>
    <w:p w:rsidR="00843355" w:rsidRPr="002350B0" w:rsidRDefault="00843355" w:rsidP="00B05ECD">
      <w:pPr>
        <w:snapToGrid w:val="0"/>
        <w:ind w:firstLineChars="200" w:firstLine="480"/>
        <w:rPr>
          <w:bCs/>
          <w:sz w:val="24"/>
          <w:szCs w:val="24"/>
        </w:rPr>
      </w:pPr>
      <w:r w:rsidRPr="002350B0">
        <w:rPr>
          <w:rFonts w:hAnsi="宋体"/>
          <w:bCs/>
          <w:sz w:val="24"/>
          <w:szCs w:val="24"/>
        </w:rPr>
        <w:t>根据国家标准制修订有关程序和要求，召开标准制定研讨会，组成了标准起草工作组，明确了任务要求，安排了工作进度，成立了标准起草工作小组，会议研究讨论了标准初稿，对起草小组在标准起草过程中的一些思考及难点问题进行了深刻讨论，各单位代表就标准内容及方法选择进行了讨论。</w:t>
      </w:r>
    </w:p>
    <w:p w:rsidR="00843355" w:rsidRPr="002350B0" w:rsidRDefault="00172548" w:rsidP="00172548">
      <w:pPr>
        <w:snapToGrid w:val="0"/>
        <w:rPr>
          <w:bCs/>
          <w:sz w:val="24"/>
          <w:szCs w:val="24"/>
        </w:rPr>
      </w:pPr>
      <w:r w:rsidRPr="002350B0">
        <w:rPr>
          <w:bCs/>
          <w:sz w:val="24"/>
          <w:szCs w:val="24"/>
        </w:rPr>
        <w:t>4.2</w:t>
      </w:r>
      <w:r w:rsidRPr="002350B0">
        <w:rPr>
          <w:bCs/>
          <w:sz w:val="24"/>
          <w:szCs w:val="24"/>
        </w:rPr>
        <w:t>、</w:t>
      </w:r>
      <w:r w:rsidR="00843355" w:rsidRPr="002350B0">
        <w:rPr>
          <w:rFonts w:hAnsi="宋体"/>
          <w:bCs/>
          <w:sz w:val="24"/>
          <w:szCs w:val="24"/>
        </w:rPr>
        <w:t>开展相关调研情况</w:t>
      </w:r>
    </w:p>
    <w:p w:rsidR="00843355" w:rsidRPr="002350B0" w:rsidRDefault="00843355" w:rsidP="00B05ECD">
      <w:pPr>
        <w:snapToGrid w:val="0"/>
        <w:ind w:firstLineChars="200" w:firstLine="480"/>
        <w:rPr>
          <w:bCs/>
          <w:sz w:val="24"/>
          <w:szCs w:val="24"/>
        </w:rPr>
      </w:pPr>
      <w:r w:rsidRPr="002350B0">
        <w:rPr>
          <w:rFonts w:hAnsi="宋体"/>
          <w:bCs/>
          <w:sz w:val="24"/>
          <w:szCs w:val="24"/>
        </w:rPr>
        <w:t>该标准属于生物产业领域的标准，是支撑科研开发以及生产方、第三方组织开展产品评价的技术依据。起草工作小组首先针对科研、生产和检测开展了大量的调研工作。从满足实际检测需要出发，开展了国内外相关资料的收集和确认工作，资料的检索和信息的收集过程中，分析比较了大量的国内外文献方法。</w:t>
      </w:r>
    </w:p>
    <w:p w:rsidR="00843355" w:rsidRPr="002350B0" w:rsidRDefault="00172548" w:rsidP="00172548">
      <w:pPr>
        <w:snapToGrid w:val="0"/>
        <w:rPr>
          <w:bCs/>
          <w:sz w:val="24"/>
          <w:szCs w:val="24"/>
        </w:rPr>
      </w:pPr>
      <w:r w:rsidRPr="002350B0">
        <w:rPr>
          <w:bCs/>
          <w:sz w:val="24"/>
          <w:szCs w:val="24"/>
        </w:rPr>
        <w:t>4.3</w:t>
      </w:r>
      <w:r w:rsidRPr="002350B0">
        <w:rPr>
          <w:bCs/>
          <w:sz w:val="24"/>
          <w:szCs w:val="24"/>
        </w:rPr>
        <w:t>、</w:t>
      </w:r>
      <w:r w:rsidR="00843355" w:rsidRPr="002350B0">
        <w:rPr>
          <w:rFonts w:hAnsi="宋体"/>
          <w:bCs/>
          <w:sz w:val="24"/>
          <w:szCs w:val="24"/>
        </w:rPr>
        <w:t>标准起草完善过程</w:t>
      </w:r>
    </w:p>
    <w:p w:rsidR="00843355" w:rsidRPr="002350B0" w:rsidRDefault="00843355" w:rsidP="00B05ECD">
      <w:pPr>
        <w:snapToGrid w:val="0"/>
        <w:ind w:firstLineChars="200" w:firstLine="480"/>
        <w:rPr>
          <w:sz w:val="24"/>
          <w:szCs w:val="24"/>
        </w:rPr>
      </w:pPr>
      <w:r w:rsidRPr="002350B0">
        <w:rPr>
          <w:rFonts w:hAnsi="宋体"/>
          <w:bCs/>
          <w:sz w:val="24"/>
          <w:szCs w:val="24"/>
        </w:rPr>
        <w:t>在广泛调查研究的基础上，标准起草单位组织相关技术人员对项目进行了预</w:t>
      </w:r>
      <w:r w:rsidRPr="002350B0">
        <w:rPr>
          <w:rFonts w:hAnsi="宋体"/>
          <w:bCs/>
          <w:sz w:val="24"/>
          <w:szCs w:val="24"/>
        </w:rPr>
        <w:lastRenderedPageBreak/>
        <w:t>研，课题组成员广泛收集了国内外植物激素活性测定</w:t>
      </w:r>
      <w:r w:rsidRPr="002350B0">
        <w:rPr>
          <w:bCs/>
          <w:sz w:val="24"/>
          <w:szCs w:val="24"/>
        </w:rPr>
        <w:t>/</w:t>
      </w:r>
      <w:r w:rsidRPr="002350B0">
        <w:rPr>
          <w:rFonts w:hAnsi="宋体"/>
          <w:bCs/>
          <w:sz w:val="24"/>
          <w:szCs w:val="24"/>
        </w:rPr>
        <w:t>评价的标准、文献，了解了国内外相关技术动态，并且明确了工作思路和进程安排，分析了通过前期的实验摸索、反复论证，</w:t>
      </w:r>
      <w:r w:rsidRPr="002350B0">
        <w:rPr>
          <w:rFonts w:hAnsi="宋体"/>
          <w:sz w:val="24"/>
          <w:szCs w:val="24"/>
        </w:rPr>
        <w:t>确定了本标准方法设定的重要参数，</w:t>
      </w:r>
      <w:r w:rsidRPr="002350B0">
        <w:rPr>
          <w:rFonts w:hAnsi="宋体"/>
          <w:bCs/>
          <w:sz w:val="24"/>
          <w:szCs w:val="24"/>
        </w:rPr>
        <w:t>开展了实际样品的检测。然后依据</w:t>
      </w:r>
      <w:r w:rsidRPr="002350B0">
        <w:rPr>
          <w:bCs/>
          <w:sz w:val="24"/>
          <w:szCs w:val="24"/>
        </w:rPr>
        <w:t>GB/T 1.1—2000</w:t>
      </w:r>
      <w:r w:rsidRPr="002350B0">
        <w:rPr>
          <w:rFonts w:hAnsi="宋体"/>
          <w:bCs/>
          <w:sz w:val="24"/>
          <w:szCs w:val="24"/>
        </w:rPr>
        <w:t>《标准化工作导则</w:t>
      </w:r>
      <w:r w:rsidRPr="002350B0">
        <w:rPr>
          <w:bCs/>
          <w:sz w:val="24"/>
          <w:szCs w:val="24"/>
        </w:rPr>
        <w:t xml:space="preserve">  </w:t>
      </w:r>
      <w:r w:rsidRPr="002350B0">
        <w:rPr>
          <w:rFonts w:hAnsi="宋体"/>
          <w:bCs/>
          <w:sz w:val="24"/>
          <w:szCs w:val="24"/>
        </w:rPr>
        <w:t>第</w:t>
      </w:r>
      <w:r w:rsidRPr="002350B0">
        <w:rPr>
          <w:bCs/>
          <w:sz w:val="24"/>
          <w:szCs w:val="24"/>
        </w:rPr>
        <w:t>1</w:t>
      </w:r>
      <w:r w:rsidRPr="002350B0">
        <w:rPr>
          <w:rFonts w:hAnsi="宋体"/>
          <w:bCs/>
          <w:sz w:val="24"/>
          <w:szCs w:val="24"/>
        </w:rPr>
        <w:t>部分：标准的结构和编写规则》、</w:t>
      </w:r>
      <w:r w:rsidRPr="002350B0">
        <w:rPr>
          <w:bCs/>
          <w:sz w:val="24"/>
          <w:szCs w:val="24"/>
        </w:rPr>
        <w:t>GB/T 1.2—2002</w:t>
      </w:r>
      <w:r w:rsidRPr="002350B0">
        <w:rPr>
          <w:rFonts w:hAnsi="宋体"/>
          <w:bCs/>
          <w:sz w:val="24"/>
          <w:szCs w:val="24"/>
        </w:rPr>
        <w:t>《标准化工作导则</w:t>
      </w:r>
      <w:r w:rsidRPr="002350B0">
        <w:rPr>
          <w:bCs/>
          <w:sz w:val="24"/>
          <w:szCs w:val="24"/>
        </w:rPr>
        <w:t xml:space="preserve">  </w:t>
      </w:r>
      <w:r w:rsidRPr="002350B0">
        <w:rPr>
          <w:rFonts w:hAnsi="宋体"/>
          <w:bCs/>
          <w:sz w:val="24"/>
          <w:szCs w:val="24"/>
        </w:rPr>
        <w:t>第</w:t>
      </w:r>
      <w:r w:rsidRPr="002350B0">
        <w:rPr>
          <w:bCs/>
          <w:sz w:val="24"/>
          <w:szCs w:val="24"/>
        </w:rPr>
        <w:t>2</w:t>
      </w:r>
      <w:r w:rsidRPr="002350B0">
        <w:rPr>
          <w:rFonts w:hAnsi="宋体"/>
          <w:bCs/>
          <w:sz w:val="24"/>
          <w:szCs w:val="24"/>
        </w:rPr>
        <w:t>部分：标准中规范性技术要素内容的确定方法》等标准编制要求，对</w:t>
      </w:r>
      <w:r w:rsidR="00707E13" w:rsidRPr="002350B0">
        <w:rPr>
          <w:rFonts w:hAnsi="宋体"/>
          <w:bCs/>
          <w:sz w:val="24"/>
          <w:szCs w:val="24"/>
        </w:rPr>
        <w:t>本</w:t>
      </w:r>
      <w:r w:rsidRPr="002350B0">
        <w:rPr>
          <w:rFonts w:hAnsi="宋体"/>
          <w:bCs/>
          <w:sz w:val="24"/>
          <w:szCs w:val="24"/>
        </w:rPr>
        <w:t>标准开展了起草工作。于</w:t>
      </w:r>
      <w:r w:rsidRPr="002350B0">
        <w:rPr>
          <w:bCs/>
          <w:sz w:val="24"/>
          <w:szCs w:val="24"/>
        </w:rPr>
        <w:t>201</w:t>
      </w:r>
      <w:r w:rsidR="00707E13" w:rsidRPr="002350B0">
        <w:rPr>
          <w:bCs/>
          <w:sz w:val="24"/>
          <w:szCs w:val="24"/>
        </w:rPr>
        <w:t>8</w:t>
      </w:r>
      <w:r w:rsidRPr="002350B0">
        <w:rPr>
          <w:rFonts w:hAnsi="宋体"/>
          <w:bCs/>
          <w:sz w:val="24"/>
          <w:szCs w:val="24"/>
        </w:rPr>
        <w:t>年</w:t>
      </w:r>
      <w:r w:rsidR="00707E13" w:rsidRPr="002350B0">
        <w:rPr>
          <w:bCs/>
          <w:sz w:val="24"/>
          <w:szCs w:val="24"/>
        </w:rPr>
        <w:t>6</w:t>
      </w:r>
      <w:r w:rsidRPr="002350B0">
        <w:rPr>
          <w:rFonts w:hAnsi="宋体"/>
          <w:bCs/>
          <w:sz w:val="24"/>
          <w:szCs w:val="24"/>
        </w:rPr>
        <w:t>月中旬，起草工作小组完成了《</w:t>
      </w:r>
      <w:r w:rsidR="00707E13" w:rsidRPr="002350B0">
        <w:rPr>
          <w:rFonts w:hAnsi="宋体"/>
          <w:bCs/>
          <w:sz w:val="24"/>
          <w:szCs w:val="24"/>
        </w:rPr>
        <w:t>植物激素类次生代谢产物的生物活性测定</w:t>
      </w:r>
      <w:r w:rsidR="00511BB3" w:rsidRPr="002350B0">
        <w:rPr>
          <w:bCs/>
          <w:sz w:val="24"/>
          <w:szCs w:val="24"/>
        </w:rPr>
        <w:t xml:space="preserve"> </w:t>
      </w:r>
      <w:r w:rsidR="00FD3B50" w:rsidRPr="002350B0">
        <w:rPr>
          <w:rFonts w:hAnsi="宋体"/>
          <w:bCs/>
          <w:sz w:val="24"/>
          <w:szCs w:val="24"/>
        </w:rPr>
        <w:t>细胞学评价法</w:t>
      </w:r>
      <w:r w:rsidRPr="002350B0">
        <w:rPr>
          <w:rFonts w:hAnsi="宋体"/>
          <w:bCs/>
          <w:sz w:val="24"/>
          <w:szCs w:val="24"/>
        </w:rPr>
        <w:t>》国家标准（草案）。</w:t>
      </w:r>
      <w:r w:rsidRPr="002350B0">
        <w:rPr>
          <w:bCs/>
          <w:sz w:val="24"/>
          <w:szCs w:val="24"/>
        </w:rPr>
        <w:t>201</w:t>
      </w:r>
      <w:r w:rsidR="00707E13" w:rsidRPr="002350B0">
        <w:rPr>
          <w:bCs/>
          <w:sz w:val="24"/>
          <w:szCs w:val="24"/>
        </w:rPr>
        <w:t>8</w:t>
      </w:r>
      <w:r w:rsidRPr="002350B0">
        <w:rPr>
          <w:rFonts w:hAnsi="宋体"/>
          <w:bCs/>
          <w:sz w:val="24"/>
          <w:szCs w:val="24"/>
        </w:rPr>
        <w:t>年</w:t>
      </w:r>
      <w:r w:rsidR="00707E13" w:rsidRPr="002350B0">
        <w:rPr>
          <w:bCs/>
          <w:sz w:val="24"/>
          <w:szCs w:val="24"/>
        </w:rPr>
        <w:t>12</w:t>
      </w:r>
      <w:r w:rsidRPr="002350B0">
        <w:rPr>
          <w:rFonts w:hAnsi="宋体"/>
          <w:bCs/>
          <w:sz w:val="24"/>
          <w:szCs w:val="24"/>
        </w:rPr>
        <w:t>月，在</w:t>
      </w:r>
      <w:r w:rsidR="00707E13" w:rsidRPr="002350B0">
        <w:rPr>
          <w:rFonts w:hAnsi="宋体"/>
          <w:bCs/>
          <w:sz w:val="24"/>
          <w:szCs w:val="24"/>
        </w:rPr>
        <w:t>杭州</w:t>
      </w:r>
      <w:r w:rsidRPr="002350B0">
        <w:rPr>
          <w:rFonts w:hAnsi="宋体"/>
          <w:bCs/>
          <w:sz w:val="24"/>
          <w:szCs w:val="24"/>
        </w:rPr>
        <w:t>组织有关单位和专家分别召开了标准草案讨论会，重点对</w:t>
      </w:r>
      <w:r w:rsidR="00707E13" w:rsidRPr="002350B0">
        <w:rPr>
          <w:rFonts w:hAnsi="宋体"/>
          <w:bCs/>
          <w:sz w:val="24"/>
          <w:szCs w:val="24"/>
        </w:rPr>
        <w:t>各个激素活性评价</w:t>
      </w:r>
      <w:r w:rsidRPr="002350B0">
        <w:rPr>
          <w:rFonts w:hAnsi="宋体"/>
          <w:bCs/>
          <w:sz w:val="24"/>
          <w:szCs w:val="24"/>
        </w:rPr>
        <w:t>的重要指标选取提出了完善建议。同时对方法进行了验证，针对验证所出现的问题，在</w:t>
      </w:r>
      <w:r w:rsidRPr="002350B0">
        <w:rPr>
          <w:bCs/>
          <w:sz w:val="24"/>
          <w:szCs w:val="24"/>
        </w:rPr>
        <w:t>201</w:t>
      </w:r>
      <w:r w:rsidR="00707E13" w:rsidRPr="002350B0">
        <w:rPr>
          <w:bCs/>
          <w:sz w:val="24"/>
          <w:szCs w:val="24"/>
        </w:rPr>
        <w:t>9</w:t>
      </w:r>
      <w:r w:rsidRPr="002350B0">
        <w:rPr>
          <w:rFonts w:hAnsi="宋体"/>
          <w:bCs/>
          <w:sz w:val="24"/>
          <w:szCs w:val="24"/>
        </w:rPr>
        <w:t>年</w:t>
      </w:r>
      <w:r w:rsidR="00707E13" w:rsidRPr="002350B0">
        <w:rPr>
          <w:bCs/>
          <w:sz w:val="24"/>
          <w:szCs w:val="24"/>
        </w:rPr>
        <w:t>2</w:t>
      </w:r>
      <w:r w:rsidRPr="002350B0">
        <w:rPr>
          <w:rFonts w:hAnsi="宋体"/>
          <w:bCs/>
          <w:sz w:val="24"/>
          <w:szCs w:val="24"/>
        </w:rPr>
        <w:t>月</w:t>
      </w:r>
      <w:r w:rsidR="00707E13" w:rsidRPr="002350B0">
        <w:rPr>
          <w:bCs/>
          <w:sz w:val="24"/>
          <w:szCs w:val="24"/>
        </w:rPr>
        <w:t>22</w:t>
      </w:r>
      <w:r w:rsidRPr="002350B0">
        <w:rPr>
          <w:rFonts w:hAnsi="宋体"/>
          <w:bCs/>
          <w:sz w:val="24"/>
          <w:szCs w:val="24"/>
        </w:rPr>
        <w:t>组织专家对标准逐字逐句进行了讨论完善，形成了《</w:t>
      </w:r>
      <w:r w:rsidR="00707E13" w:rsidRPr="002350B0">
        <w:rPr>
          <w:rFonts w:hAnsi="宋体"/>
          <w:bCs/>
          <w:sz w:val="24"/>
          <w:szCs w:val="24"/>
        </w:rPr>
        <w:t>植物激素类次生代谢产物的生物活性测定</w:t>
      </w:r>
      <w:r w:rsidR="00511BB3" w:rsidRPr="002350B0">
        <w:rPr>
          <w:bCs/>
          <w:sz w:val="24"/>
          <w:szCs w:val="24"/>
        </w:rPr>
        <w:t xml:space="preserve"> </w:t>
      </w:r>
      <w:r w:rsidR="003F24D6" w:rsidRPr="002350B0">
        <w:rPr>
          <w:rFonts w:hAnsi="宋体"/>
          <w:bCs/>
          <w:sz w:val="24"/>
          <w:szCs w:val="24"/>
        </w:rPr>
        <w:t>细胞学评价法</w:t>
      </w:r>
      <w:r w:rsidRPr="002350B0">
        <w:rPr>
          <w:rFonts w:hAnsi="宋体"/>
          <w:bCs/>
          <w:sz w:val="24"/>
          <w:szCs w:val="24"/>
        </w:rPr>
        <w:t>》国家标准征求意见稿。</w:t>
      </w:r>
    </w:p>
    <w:p w:rsidR="003C17B5" w:rsidRPr="002350B0" w:rsidRDefault="00511BB3" w:rsidP="00511BB3">
      <w:pPr>
        <w:snapToGrid w:val="0"/>
        <w:textAlignment w:val="auto"/>
        <w:rPr>
          <w:b/>
          <w:sz w:val="24"/>
        </w:rPr>
      </w:pPr>
      <w:r w:rsidRPr="002350B0">
        <w:rPr>
          <w:b/>
          <w:sz w:val="24"/>
        </w:rPr>
        <w:t>五、主要技术内容</w:t>
      </w:r>
    </w:p>
    <w:p w:rsidR="00DF6DE2" w:rsidRPr="002350B0" w:rsidRDefault="00691BFB" w:rsidP="00DF6DE2">
      <w:pPr>
        <w:pStyle w:val="af0"/>
        <w:adjustRightInd w:val="0"/>
        <w:snapToGrid w:val="0"/>
        <w:spacing w:line="360" w:lineRule="auto"/>
        <w:ind w:firstLineChars="0" w:firstLine="0"/>
        <w:rPr>
          <w:rFonts w:ascii="Times New Roman" w:eastAsiaTheme="minorEastAsia" w:hAnsi="Times New Roman"/>
          <w:sz w:val="24"/>
          <w:szCs w:val="24"/>
        </w:rPr>
      </w:pPr>
      <w:r w:rsidRPr="002350B0">
        <w:rPr>
          <w:rFonts w:ascii="Times New Roman" w:eastAsiaTheme="minorEastAsia" w:hAnsi="Times New Roman"/>
          <w:sz w:val="24"/>
          <w:szCs w:val="24"/>
        </w:rPr>
        <w:t>5</w:t>
      </w:r>
      <w:r w:rsidR="00DF6DE2" w:rsidRPr="002350B0">
        <w:rPr>
          <w:rFonts w:ascii="Times New Roman" w:eastAsiaTheme="minorEastAsia" w:hAnsi="Times New Roman"/>
          <w:sz w:val="24"/>
          <w:szCs w:val="24"/>
        </w:rPr>
        <w:t xml:space="preserve">.1 </w:t>
      </w:r>
      <w:r w:rsidR="003F24D6" w:rsidRPr="002350B0">
        <w:rPr>
          <w:rFonts w:ascii="Times New Roman" w:eastAsiaTheme="minorEastAsia" w:hAnsi="Times New Roman"/>
          <w:sz w:val="24"/>
          <w:szCs w:val="24"/>
        </w:rPr>
        <w:t>材料的选择及制备要求</w:t>
      </w:r>
    </w:p>
    <w:p w:rsidR="003F24D6" w:rsidRPr="002350B0" w:rsidRDefault="003F24D6" w:rsidP="00DF6DE2">
      <w:pPr>
        <w:snapToGrid w:val="0"/>
        <w:ind w:firstLine="437"/>
        <w:rPr>
          <w:rFonts w:eastAsiaTheme="minorEastAsia"/>
          <w:sz w:val="24"/>
          <w:szCs w:val="24"/>
        </w:rPr>
      </w:pPr>
      <w:r w:rsidRPr="002350B0">
        <w:rPr>
          <w:rFonts w:eastAsiaTheme="minorEastAsia"/>
          <w:sz w:val="24"/>
          <w:szCs w:val="24"/>
        </w:rPr>
        <w:t>植物激素主要通过与相应的激素受体结合，继而调节相关蛋白与其靶基因启动子序列内的增强子序列或抑制子序列结合而诱导或抑制靶基因表达。前期通过文献查询和专家咨询，确定了生长素响应元件序列：</w:t>
      </w:r>
      <w:r w:rsidRPr="002350B0">
        <w:rPr>
          <w:rFonts w:eastAsiaTheme="minorEastAsia"/>
          <w:sz w:val="24"/>
          <w:szCs w:val="24"/>
        </w:rPr>
        <w:t>TGTCTCAATAAG</w:t>
      </w:r>
      <w:r w:rsidRPr="002350B0">
        <w:rPr>
          <w:rFonts w:eastAsiaTheme="minorEastAsia"/>
          <w:sz w:val="24"/>
          <w:szCs w:val="24"/>
        </w:rPr>
        <w:t>，赤霉素响应元件序列</w:t>
      </w:r>
      <w:r w:rsidRPr="002350B0">
        <w:rPr>
          <w:rFonts w:eastAsiaTheme="minorEastAsia"/>
          <w:sz w:val="24"/>
          <w:szCs w:val="24"/>
        </w:rPr>
        <w:t>CTATTCTCATT</w:t>
      </w:r>
      <w:r w:rsidRPr="002350B0">
        <w:rPr>
          <w:rFonts w:eastAsiaTheme="minorEastAsia"/>
          <w:sz w:val="24"/>
          <w:szCs w:val="24"/>
        </w:rPr>
        <w:t>以及细胞分裂素响应元件序列</w:t>
      </w:r>
      <w:r w:rsidRPr="002350B0">
        <w:rPr>
          <w:rFonts w:eastAsiaTheme="minorEastAsia"/>
          <w:sz w:val="24"/>
          <w:szCs w:val="24"/>
        </w:rPr>
        <w:t>AAGATCTTAAGATCTT</w:t>
      </w:r>
      <w:r w:rsidRPr="002350B0">
        <w:rPr>
          <w:rFonts w:eastAsiaTheme="minorEastAsia"/>
          <w:sz w:val="24"/>
          <w:szCs w:val="24"/>
        </w:rPr>
        <w:t>能特异性响应，而响应序列的重复可以增强其对激素的响应，因此将以上序列做</w:t>
      </w:r>
      <w:r w:rsidRPr="002350B0">
        <w:rPr>
          <w:rFonts w:eastAsiaTheme="minorEastAsia"/>
          <w:sz w:val="24"/>
          <w:szCs w:val="24"/>
        </w:rPr>
        <w:t>5~9</w:t>
      </w:r>
      <w:r w:rsidRPr="002350B0">
        <w:rPr>
          <w:rFonts w:eastAsiaTheme="minorEastAsia"/>
          <w:sz w:val="24"/>
          <w:szCs w:val="24"/>
        </w:rPr>
        <w:t>次重复作为最终的激素响应元件重复序列，由公司合成。鉴于</w:t>
      </w:r>
      <w:proofErr w:type="spellStart"/>
      <w:r w:rsidRPr="002350B0">
        <w:rPr>
          <w:rFonts w:eastAsiaTheme="minorEastAsia"/>
          <w:sz w:val="24"/>
          <w:szCs w:val="24"/>
        </w:rPr>
        <w:t>pCAMBIA</w:t>
      </w:r>
      <w:proofErr w:type="spellEnd"/>
      <w:r w:rsidRPr="002350B0">
        <w:rPr>
          <w:rFonts w:eastAsiaTheme="minorEastAsia"/>
          <w:sz w:val="24"/>
          <w:szCs w:val="24"/>
        </w:rPr>
        <w:t>系列载体及</w:t>
      </w:r>
      <w:r w:rsidRPr="002350B0">
        <w:rPr>
          <w:rFonts w:eastAsiaTheme="minorEastAsia"/>
          <w:sz w:val="24"/>
          <w:szCs w:val="24"/>
        </w:rPr>
        <w:t>35S</w:t>
      </w:r>
      <w:r w:rsidRPr="002350B0">
        <w:rPr>
          <w:rFonts w:eastAsiaTheme="minorEastAsia"/>
          <w:sz w:val="24"/>
          <w:szCs w:val="24"/>
        </w:rPr>
        <w:t>启动子在植物中的广泛应用取得较好的表达效果，因此我们选用</w:t>
      </w:r>
      <w:r w:rsidRPr="002350B0">
        <w:rPr>
          <w:rFonts w:eastAsiaTheme="minorEastAsia"/>
          <w:sz w:val="24"/>
          <w:szCs w:val="24"/>
        </w:rPr>
        <w:t>35S</w:t>
      </w:r>
      <w:r w:rsidRPr="002350B0">
        <w:rPr>
          <w:rFonts w:eastAsiaTheme="minorEastAsia"/>
          <w:sz w:val="24"/>
          <w:szCs w:val="24"/>
        </w:rPr>
        <w:t>启动子的核心元件与合成的激素响应元件重复序列结合，组成激素诱导型启动子（激素的响应元件重复序列</w:t>
      </w:r>
      <w:r w:rsidRPr="002350B0">
        <w:rPr>
          <w:rFonts w:eastAsiaTheme="minorEastAsia"/>
          <w:sz w:val="24"/>
          <w:szCs w:val="24"/>
        </w:rPr>
        <w:t>+</w:t>
      </w:r>
      <w:r w:rsidRPr="002350B0">
        <w:rPr>
          <w:rFonts w:eastAsiaTheme="minorEastAsia"/>
          <w:sz w:val="24"/>
          <w:szCs w:val="24"/>
        </w:rPr>
        <w:t>启动子核心序列），替换原</w:t>
      </w:r>
      <w:r w:rsidRPr="002350B0">
        <w:rPr>
          <w:rFonts w:eastAsiaTheme="minorEastAsia"/>
          <w:sz w:val="24"/>
          <w:szCs w:val="24"/>
        </w:rPr>
        <w:t>pCAMBIA1301</w:t>
      </w:r>
      <w:r w:rsidRPr="002350B0">
        <w:rPr>
          <w:rFonts w:eastAsiaTheme="minorEastAsia"/>
          <w:sz w:val="24"/>
          <w:szCs w:val="24"/>
        </w:rPr>
        <w:t>骨架质粒中的</w:t>
      </w:r>
      <w:r w:rsidRPr="002350B0">
        <w:rPr>
          <w:rFonts w:eastAsiaTheme="minorEastAsia"/>
          <w:sz w:val="24"/>
          <w:szCs w:val="24"/>
        </w:rPr>
        <w:t>35S</w:t>
      </w:r>
      <w:r w:rsidRPr="002350B0">
        <w:rPr>
          <w:rFonts w:eastAsiaTheme="minorEastAsia"/>
          <w:sz w:val="24"/>
          <w:szCs w:val="24"/>
        </w:rPr>
        <w:t>强启动子，以</w:t>
      </w:r>
      <w:r w:rsidRPr="002350B0">
        <w:rPr>
          <w:rFonts w:eastAsiaTheme="minorEastAsia"/>
          <w:i/>
          <w:sz w:val="24"/>
          <w:szCs w:val="24"/>
        </w:rPr>
        <w:t>GUS</w:t>
      </w:r>
      <w:r w:rsidRPr="002350B0">
        <w:rPr>
          <w:rFonts w:eastAsiaTheme="minorEastAsia"/>
          <w:sz w:val="24"/>
          <w:szCs w:val="24"/>
        </w:rPr>
        <w:t>为报告基因，分别转染拟南</w:t>
      </w:r>
      <w:proofErr w:type="gramStart"/>
      <w:r w:rsidRPr="002350B0">
        <w:rPr>
          <w:rFonts w:eastAsiaTheme="minorEastAsia"/>
          <w:sz w:val="24"/>
          <w:szCs w:val="24"/>
        </w:rPr>
        <w:t>芥</w:t>
      </w:r>
      <w:proofErr w:type="gramEnd"/>
      <w:r w:rsidRPr="002350B0">
        <w:rPr>
          <w:rFonts w:eastAsiaTheme="minorEastAsia"/>
          <w:sz w:val="24"/>
          <w:szCs w:val="24"/>
        </w:rPr>
        <w:t>，获得激素特异性响应的转基因拟南</w:t>
      </w:r>
      <w:proofErr w:type="gramStart"/>
      <w:r w:rsidRPr="002350B0">
        <w:rPr>
          <w:rFonts w:eastAsiaTheme="minorEastAsia"/>
          <w:sz w:val="24"/>
          <w:szCs w:val="24"/>
        </w:rPr>
        <w:t>芥</w:t>
      </w:r>
      <w:proofErr w:type="gramEnd"/>
      <w:r w:rsidRPr="002350B0">
        <w:rPr>
          <w:rFonts w:eastAsiaTheme="minorEastAsia"/>
          <w:sz w:val="24"/>
          <w:szCs w:val="24"/>
        </w:rPr>
        <w:t>。通过悬浮细胞、愈伤组织、原生质体材料的对比，我们发现，不论在材料获取简易程度还是材料的稳定性及培养溶液的干扰方面，原生质体材料均好于其它两种材料，因此本项目以</w:t>
      </w:r>
      <w:r w:rsidR="00511BB3" w:rsidRPr="002350B0">
        <w:rPr>
          <w:rFonts w:eastAsiaTheme="minorEastAsia"/>
          <w:sz w:val="24"/>
          <w:szCs w:val="24"/>
        </w:rPr>
        <w:t>构建的</w:t>
      </w:r>
      <w:r w:rsidRPr="002350B0">
        <w:rPr>
          <w:rFonts w:eastAsiaTheme="minorEastAsia"/>
          <w:sz w:val="24"/>
          <w:szCs w:val="24"/>
        </w:rPr>
        <w:t>原生质</w:t>
      </w:r>
      <w:r w:rsidR="00511BB3" w:rsidRPr="002350B0">
        <w:rPr>
          <w:rFonts w:eastAsiaTheme="minorEastAsia"/>
          <w:sz w:val="24"/>
          <w:szCs w:val="24"/>
        </w:rPr>
        <w:t>细胞系为</w:t>
      </w:r>
      <w:r w:rsidRPr="002350B0">
        <w:rPr>
          <w:rFonts w:eastAsiaTheme="minorEastAsia"/>
          <w:sz w:val="24"/>
          <w:szCs w:val="24"/>
        </w:rPr>
        <w:t>植物激素活性检测的细胞材料。</w:t>
      </w:r>
    </w:p>
    <w:p w:rsidR="00553561" w:rsidRPr="002350B0" w:rsidRDefault="00553561" w:rsidP="00DF6DE2">
      <w:pPr>
        <w:snapToGrid w:val="0"/>
        <w:ind w:firstLine="437"/>
        <w:rPr>
          <w:rFonts w:eastAsiaTheme="minorEastAsia"/>
          <w:sz w:val="24"/>
          <w:szCs w:val="24"/>
        </w:rPr>
      </w:pPr>
      <w:r w:rsidRPr="002350B0">
        <w:rPr>
          <w:rFonts w:eastAsiaTheme="minorEastAsia"/>
          <w:sz w:val="24"/>
          <w:szCs w:val="24"/>
        </w:rPr>
        <w:t>由于蛋白表达水平检测需求，我们对不同浓度的原生质体进行了蛋白测定，在可检出范围内，</w:t>
      </w:r>
      <w:r w:rsidR="006D3274" w:rsidRPr="002350B0">
        <w:rPr>
          <w:rFonts w:eastAsiaTheme="minorEastAsia"/>
          <w:sz w:val="24"/>
          <w:szCs w:val="24"/>
        </w:rPr>
        <w:t>每个处理</w:t>
      </w:r>
      <w:r w:rsidRPr="002350B0">
        <w:rPr>
          <w:rFonts w:eastAsiaTheme="minorEastAsia"/>
          <w:sz w:val="24"/>
          <w:szCs w:val="24"/>
        </w:rPr>
        <w:t>至少需要</w:t>
      </w:r>
      <w:r w:rsidRPr="002350B0">
        <w:rPr>
          <w:rFonts w:eastAsiaTheme="minorEastAsia"/>
          <w:sz w:val="24"/>
          <w:szCs w:val="24"/>
        </w:rPr>
        <w:t>10</w:t>
      </w:r>
      <w:r w:rsidRPr="002350B0">
        <w:rPr>
          <w:rFonts w:eastAsiaTheme="minorEastAsia"/>
          <w:sz w:val="24"/>
          <w:szCs w:val="24"/>
          <w:vertAlign w:val="superscript"/>
        </w:rPr>
        <w:t>6</w:t>
      </w:r>
      <w:r w:rsidRPr="002350B0">
        <w:rPr>
          <w:rFonts w:eastAsiaTheme="minorEastAsia"/>
          <w:sz w:val="24"/>
          <w:szCs w:val="24"/>
        </w:rPr>
        <w:t>cfu/</w:t>
      </w:r>
      <w:proofErr w:type="spellStart"/>
      <w:r w:rsidRPr="002350B0">
        <w:rPr>
          <w:rFonts w:eastAsiaTheme="minorEastAsia"/>
          <w:sz w:val="24"/>
          <w:szCs w:val="24"/>
        </w:rPr>
        <w:t>mL</w:t>
      </w:r>
      <w:proofErr w:type="spellEnd"/>
      <w:r w:rsidRPr="002350B0">
        <w:rPr>
          <w:rFonts w:eastAsiaTheme="minorEastAsia"/>
          <w:sz w:val="24"/>
          <w:szCs w:val="24"/>
        </w:rPr>
        <w:t>的原生质体，因此本标准规定了</w:t>
      </w:r>
      <w:r w:rsidRPr="002350B0">
        <w:rPr>
          <w:rFonts w:eastAsiaTheme="minorEastAsia"/>
          <w:sz w:val="24"/>
          <w:szCs w:val="24"/>
        </w:rPr>
        <w:lastRenderedPageBreak/>
        <w:t>初始</w:t>
      </w:r>
      <w:r w:rsidR="006D3274" w:rsidRPr="002350B0">
        <w:rPr>
          <w:rFonts w:eastAsiaTheme="minorEastAsia"/>
          <w:sz w:val="24"/>
          <w:szCs w:val="24"/>
        </w:rPr>
        <w:t>活</w:t>
      </w:r>
      <w:r w:rsidRPr="002350B0">
        <w:rPr>
          <w:rFonts w:eastAsiaTheme="minorEastAsia"/>
          <w:sz w:val="24"/>
          <w:szCs w:val="24"/>
        </w:rPr>
        <w:t>细胞材料的最低浓度。</w:t>
      </w:r>
    </w:p>
    <w:p w:rsidR="006D3274" w:rsidRPr="002350B0" w:rsidRDefault="00993EAD" w:rsidP="00993EAD">
      <w:pPr>
        <w:pStyle w:val="af0"/>
        <w:adjustRightInd w:val="0"/>
        <w:snapToGrid w:val="0"/>
        <w:spacing w:line="360" w:lineRule="auto"/>
        <w:ind w:firstLineChars="0" w:firstLine="0"/>
        <w:rPr>
          <w:rFonts w:ascii="Times New Roman" w:eastAsiaTheme="minorEastAsia" w:hAnsi="Times New Roman"/>
          <w:sz w:val="24"/>
          <w:szCs w:val="24"/>
        </w:rPr>
      </w:pPr>
      <w:r w:rsidRPr="002350B0">
        <w:rPr>
          <w:rFonts w:ascii="Times New Roman" w:eastAsiaTheme="minorEastAsia" w:hAnsi="Times New Roman"/>
          <w:sz w:val="24"/>
          <w:szCs w:val="24"/>
        </w:rPr>
        <w:t xml:space="preserve">5.2 </w:t>
      </w:r>
      <w:r w:rsidR="00605EE9" w:rsidRPr="002350B0">
        <w:rPr>
          <w:rFonts w:ascii="Times New Roman" w:eastAsiaTheme="minorEastAsia" w:hAnsi="Times New Roman"/>
          <w:sz w:val="24"/>
          <w:szCs w:val="24"/>
        </w:rPr>
        <w:t>GUS</w:t>
      </w:r>
      <w:r w:rsidR="00605EE9" w:rsidRPr="002350B0">
        <w:rPr>
          <w:rFonts w:ascii="Times New Roman" w:eastAsiaTheme="minorEastAsia" w:hAnsi="Times New Roman"/>
          <w:sz w:val="24"/>
          <w:szCs w:val="24"/>
        </w:rPr>
        <w:t>蛋白表达水平测定过程中的条件优化</w:t>
      </w:r>
    </w:p>
    <w:p w:rsidR="00605EE9" w:rsidRPr="002350B0" w:rsidRDefault="00605EE9" w:rsidP="00993EAD">
      <w:pPr>
        <w:pStyle w:val="af0"/>
        <w:adjustRightInd w:val="0"/>
        <w:snapToGrid w:val="0"/>
        <w:spacing w:line="360" w:lineRule="auto"/>
        <w:ind w:firstLineChars="0" w:firstLine="0"/>
        <w:rPr>
          <w:rFonts w:ascii="Times New Roman" w:eastAsiaTheme="minorEastAsia" w:hAnsi="Times New Roman"/>
          <w:sz w:val="24"/>
          <w:szCs w:val="24"/>
        </w:rPr>
      </w:pPr>
      <w:r w:rsidRPr="002350B0">
        <w:rPr>
          <w:rFonts w:ascii="Times New Roman" w:eastAsiaTheme="minorEastAsia" w:hAnsi="Times New Roman"/>
          <w:sz w:val="24"/>
          <w:szCs w:val="24"/>
        </w:rPr>
        <w:t xml:space="preserve">   </w:t>
      </w:r>
      <w:r w:rsidRPr="002350B0">
        <w:rPr>
          <w:rFonts w:ascii="Times New Roman" w:eastAsiaTheme="minorEastAsia" w:hAnsi="Times New Roman"/>
          <w:sz w:val="24"/>
          <w:szCs w:val="24"/>
        </w:rPr>
        <w:t>我们推荐使用</w:t>
      </w:r>
      <w:r w:rsidRPr="002350B0">
        <w:rPr>
          <w:rFonts w:ascii="Times New Roman" w:eastAsiaTheme="minorEastAsia" w:hAnsi="Times New Roman"/>
          <w:sz w:val="24"/>
          <w:szCs w:val="24"/>
        </w:rPr>
        <w:t>12</w:t>
      </w:r>
      <w:r w:rsidRPr="002350B0">
        <w:rPr>
          <w:rFonts w:ascii="Times New Roman" w:eastAsiaTheme="minorEastAsia" w:hAnsi="Times New Roman"/>
          <w:sz w:val="24"/>
          <w:szCs w:val="24"/>
        </w:rPr>
        <w:t>格的细胞培养板，且用同一批的细胞系材料，以确保一个重复中的标准品和试样溶液能在相对一致的实验条件下，减少试验误差。</w:t>
      </w:r>
    </w:p>
    <w:p w:rsidR="00172548" w:rsidRDefault="00605EE9" w:rsidP="00172548">
      <w:pPr>
        <w:pStyle w:val="af0"/>
        <w:adjustRightInd w:val="0"/>
        <w:snapToGrid w:val="0"/>
        <w:spacing w:line="360" w:lineRule="auto"/>
        <w:ind w:firstLineChars="0" w:firstLine="480"/>
        <w:rPr>
          <w:rFonts w:ascii="Times New Roman" w:eastAsiaTheme="minorEastAsia" w:hAnsi="Times New Roman"/>
          <w:sz w:val="24"/>
          <w:szCs w:val="24"/>
        </w:rPr>
      </w:pPr>
      <w:r w:rsidRPr="002350B0">
        <w:rPr>
          <w:rFonts w:ascii="Times New Roman" w:eastAsiaTheme="minorEastAsia" w:hAnsi="Times New Roman"/>
          <w:sz w:val="24"/>
          <w:szCs w:val="24"/>
        </w:rPr>
        <w:t>另外，我们比较了不同的</w:t>
      </w:r>
      <w:r w:rsidRPr="002350B0">
        <w:rPr>
          <w:rFonts w:ascii="Times New Roman" w:eastAsiaTheme="minorEastAsia" w:hAnsi="Times New Roman"/>
          <w:sz w:val="24"/>
          <w:szCs w:val="24"/>
        </w:rPr>
        <w:t>GUS</w:t>
      </w:r>
      <w:r w:rsidRPr="002350B0">
        <w:rPr>
          <w:rFonts w:ascii="Times New Roman" w:eastAsiaTheme="minorEastAsia" w:hAnsi="Times New Roman"/>
          <w:sz w:val="24"/>
          <w:szCs w:val="24"/>
        </w:rPr>
        <w:t>蛋白诱导表达时间对结果的影响，</w:t>
      </w:r>
      <w:r w:rsidR="00974CB3" w:rsidRPr="002350B0">
        <w:rPr>
          <w:rFonts w:ascii="Times New Roman" w:eastAsiaTheme="minorEastAsia" w:hAnsi="Times New Roman"/>
          <w:sz w:val="24"/>
          <w:szCs w:val="24"/>
        </w:rPr>
        <w:t>见图</w:t>
      </w:r>
      <w:r w:rsidR="00974CB3" w:rsidRPr="002350B0">
        <w:rPr>
          <w:rFonts w:ascii="Times New Roman" w:eastAsiaTheme="minorEastAsia" w:hAnsi="Times New Roman"/>
          <w:sz w:val="24"/>
          <w:szCs w:val="24"/>
        </w:rPr>
        <w:t>1</w:t>
      </w:r>
      <w:r w:rsidR="00974CB3" w:rsidRPr="002350B0">
        <w:rPr>
          <w:rFonts w:ascii="Times New Roman" w:eastAsiaTheme="minorEastAsia" w:hAnsi="Times New Roman"/>
          <w:sz w:val="24"/>
          <w:szCs w:val="24"/>
        </w:rPr>
        <w:t>，</w:t>
      </w:r>
      <w:r w:rsidRPr="002350B0">
        <w:rPr>
          <w:rFonts w:ascii="Times New Roman" w:eastAsiaTheme="minorEastAsia" w:hAnsi="Times New Roman"/>
          <w:sz w:val="24"/>
          <w:szCs w:val="24"/>
        </w:rPr>
        <w:t>发现</w:t>
      </w:r>
      <w:r w:rsidR="00974CB3" w:rsidRPr="002350B0">
        <w:rPr>
          <w:rFonts w:ascii="Times New Roman" w:eastAsiaTheme="minorEastAsia" w:hAnsi="Times New Roman"/>
          <w:sz w:val="24"/>
          <w:szCs w:val="24"/>
        </w:rPr>
        <w:t>适宜浓度范围内的标准品诱导</w:t>
      </w:r>
      <w:r w:rsidR="00974CB3" w:rsidRPr="002350B0">
        <w:rPr>
          <w:rFonts w:ascii="Times New Roman" w:eastAsiaTheme="minorEastAsia" w:hAnsi="Times New Roman"/>
          <w:sz w:val="24"/>
          <w:szCs w:val="24"/>
        </w:rPr>
        <w:t>GUS</w:t>
      </w:r>
      <w:r w:rsidR="00974CB3" w:rsidRPr="002350B0">
        <w:rPr>
          <w:rFonts w:ascii="Times New Roman" w:eastAsiaTheme="minorEastAsia" w:hAnsi="Times New Roman"/>
          <w:sz w:val="24"/>
          <w:szCs w:val="24"/>
        </w:rPr>
        <w:t>蛋白表达的趋势基本一致，在诱导</w:t>
      </w:r>
      <w:r w:rsidR="00974CB3" w:rsidRPr="002350B0">
        <w:rPr>
          <w:rFonts w:ascii="Times New Roman" w:eastAsiaTheme="minorEastAsia" w:hAnsi="Times New Roman"/>
          <w:sz w:val="24"/>
          <w:szCs w:val="24"/>
        </w:rPr>
        <w:t>2~6 h</w:t>
      </w:r>
      <w:r w:rsidR="00974CB3" w:rsidRPr="002350B0">
        <w:rPr>
          <w:rFonts w:ascii="Times New Roman" w:eastAsiaTheme="minorEastAsia" w:hAnsi="Times New Roman"/>
          <w:sz w:val="24"/>
          <w:szCs w:val="24"/>
        </w:rPr>
        <w:t>范围内增长明显，而后期</w:t>
      </w:r>
      <w:r w:rsidR="00974CB3" w:rsidRPr="002350B0">
        <w:rPr>
          <w:rFonts w:ascii="Times New Roman" w:eastAsiaTheme="minorEastAsia" w:hAnsi="Times New Roman"/>
          <w:sz w:val="24"/>
          <w:szCs w:val="24"/>
        </w:rPr>
        <w:t>GUS</w:t>
      </w:r>
      <w:r w:rsidR="00974CB3" w:rsidRPr="002350B0">
        <w:rPr>
          <w:rFonts w:ascii="Times New Roman" w:eastAsiaTheme="minorEastAsia" w:hAnsi="Times New Roman"/>
          <w:sz w:val="24"/>
          <w:szCs w:val="24"/>
        </w:rPr>
        <w:t>蛋白表达水平基本不变</w:t>
      </w:r>
      <w:r w:rsidR="00172548" w:rsidRPr="002350B0">
        <w:rPr>
          <w:rFonts w:ascii="Times New Roman" w:eastAsiaTheme="minorEastAsia" w:hAnsi="Times New Roman"/>
          <w:sz w:val="24"/>
          <w:szCs w:val="24"/>
        </w:rPr>
        <w:t>，</w:t>
      </w:r>
      <w:r w:rsidR="00974CB3" w:rsidRPr="002350B0">
        <w:rPr>
          <w:rFonts w:ascii="Times New Roman" w:eastAsiaTheme="minorEastAsia" w:hAnsi="Times New Roman"/>
          <w:sz w:val="24"/>
          <w:szCs w:val="24"/>
        </w:rPr>
        <w:t>为了尽可能诱导</w:t>
      </w:r>
      <w:r w:rsidR="00974CB3" w:rsidRPr="002350B0">
        <w:rPr>
          <w:rFonts w:ascii="Times New Roman" w:eastAsiaTheme="minorEastAsia" w:hAnsi="Times New Roman"/>
          <w:sz w:val="24"/>
          <w:szCs w:val="24"/>
        </w:rPr>
        <w:t>GUS</w:t>
      </w:r>
      <w:r w:rsidR="00974CB3" w:rsidRPr="002350B0">
        <w:rPr>
          <w:rFonts w:ascii="Times New Roman" w:eastAsiaTheme="minorEastAsia" w:hAnsi="Times New Roman"/>
          <w:sz w:val="24"/>
          <w:szCs w:val="24"/>
        </w:rPr>
        <w:t>大量产生，</w:t>
      </w:r>
      <w:r w:rsidR="00172548" w:rsidRPr="002350B0">
        <w:rPr>
          <w:rFonts w:ascii="Times New Roman" w:eastAsiaTheme="minorEastAsia" w:hAnsi="Times New Roman"/>
          <w:sz w:val="24"/>
          <w:szCs w:val="24"/>
        </w:rPr>
        <w:t>因此推荐使用光照培养箱培养</w:t>
      </w:r>
      <w:r w:rsidR="00172548" w:rsidRPr="002350B0">
        <w:rPr>
          <w:rFonts w:ascii="Times New Roman" w:eastAsiaTheme="minorEastAsia" w:hAnsi="Times New Roman"/>
          <w:sz w:val="24"/>
          <w:szCs w:val="24"/>
        </w:rPr>
        <w:t>6 h</w:t>
      </w:r>
      <w:r w:rsidR="00172548" w:rsidRPr="002350B0">
        <w:rPr>
          <w:rFonts w:ascii="Times New Roman" w:eastAsiaTheme="minorEastAsia" w:hAnsi="Times New Roman"/>
          <w:sz w:val="24"/>
          <w:szCs w:val="24"/>
        </w:rPr>
        <w:t>。</w:t>
      </w:r>
    </w:p>
    <w:p w:rsidR="009470A8" w:rsidRDefault="009470A8" w:rsidP="009470A8">
      <w:pPr>
        <w:pStyle w:val="af0"/>
        <w:adjustRightInd w:val="0"/>
        <w:snapToGrid w:val="0"/>
        <w:spacing w:line="360" w:lineRule="auto"/>
        <w:ind w:firstLineChars="0" w:firstLine="0"/>
        <w:rPr>
          <w:rFonts w:ascii="Times New Roman" w:eastAsiaTheme="minorEastAsia" w:hAnsi="Times New Roman"/>
          <w:sz w:val="24"/>
          <w:szCs w:val="24"/>
        </w:rPr>
      </w:pPr>
      <w:r w:rsidRPr="009470A8">
        <w:rPr>
          <w:rFonts w:hint="eastAsia"/>
          <w:noProof/>
          <w:szCs w:val="24"/>
        </w:rPr>
        <w:drawing>
          <wp:inline distT="0" distB="0" distL="0" distR="0">
            <wp:extent cx="3590925" cy="1986331"/>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10261" cy="1997027"/>
                    </a:xfrm>
                    <a:prstGeom prst="rect">
                      <a:avLst/>
                    </a:prstGeom>
                    <a:noFill/>
                    <a:ln w="9525">
                      <a:noFill/>
                      <a:miter lim="800000"/>
                      <a:headEnd/>
                      <a:tailEnd/>
                    </a:ln>
                  </pic:spPr>
                </pic:pic>
              </a:graphicData>
            </a:graphic>
          </wp:inline>
        </w:drawing>
      </w:r>
      <w:r w:rsidRPr="009470A8">
        <w:rPr>
          <w:rFonts w:hint="eastAsia"/>
          <w:noProof/>
          <w:szCs w:val="24"/>
        </w:rPr>
        <w:drawing>
          <wp:inline distT="0" distB="0" distL="0" distR="0">
            <wp:extent cx="3590925" cy="2141377"/>
            <wp:effectExtent l="1905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595756" cy="2144258"/>
                    </a:xfrm>
                    <a:prstGeom prst="rect">
                      <a:avLst/>
                    </a:prstGeom>
                    <a:noFill/>
                    <a:ln w="9525">
                      <a:noFill/>
                      <a:miter lim="800000"/>
                      <a:headEnd/>
                      <a:tailEnd/>
                    </a:ln>
                  </pic:spPr>
                </pic:pic>
              </a:graphicData>
            </a:graphic>
          </wp:inline>
        </w:drawing>
      </w:r>
      <w:r w:rsidRPr="009470A8">
        <w:rPr>
          <w:rFonts w:hint="eastAsia"/>
          <w:noProof/>
          <w:szCs w:val="24"/>
        </w:rPr>
        <w:drawing>
          <wp:inline distT="0" distB="0" distL="0" distR="0">
            <wp:extent cx="3590925" cy="2199608"/>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597739" cy="2203782"/>
                    </a:xfrm>
                    <a:prstGeom prst="rect">
                      <a:avLst/>
                    </a:prstGeom>
                    <a:noFill/>
                    <a:ln w="9525">
                      <a:noFill/>
                      <a:miter lim="800000"/>
                      <a:headEnd/>
                      <a:tailEnd/>
                    </a:ln>
                  </pic:spPr>
                </pic:pic>
              </a:graphicData>
            </a:graphic>
          </wp:inline>
        </w:drawing>
      </w:r>
    </w:p>
    <w:p w:rsidR="005268D4" w:rsidRPr="002350B0" w:rsidRDefault="009470A8" w:rsidP="009470A8">
      <w:pPr>
        <w:pStyle w:val="af0"/>
        <w:adjustRightInd w:val="0"/>
        <w:snapToGrid w:val="0"/>
        <w:spacing w:line="360" w:lineRule="auto"/>
        <w:ind w:firstLineChars="0" w:firstLine="0"/>
        <w:rPr>
          <w:rFonts w:ascii="Times New Roman" w:eastAsiaTheme="minorEastAsia" w:hAnsi="Times New Roman"/>
          <w:sz w:val="24"/>
          <w:szCs w:val="24"/>
        </w:rPr>
      </w:pPr>
      <w:r>
        <w:rPr>
          <w:rFonts w:ascii="Times New Roman" w:eastAsiaTheme="minorEastAsia" w:hAnsi="Times New Roman" w:hint="eastAsia"/>
          <w:sz w:val="24"/>
          <w:szCs w:val="24"/>
        </w:rPr>
        <w:lastRenderedPageBreak/>
        <w:t xml:space="preserve">    </w:t>
      </w:r>
      <w:r w:rsidR="00DA6FF7">
        <w:rPr>
          <w:rFonts w:ascii="Times New Roman" w:eastAsiaTheme="minorEastAsia" w:hAnsi="Times New Roman" w:hint="eastAsia"/>
          <w:sz w:val="24"/>
          <w:szCs w:val="24"/>
        </w:rPr>
        <w:t>图</w:t>
      </w:r>
      <w:r w:rsidR="00DA6FF7">
        <w:rPr>
          <w:rFonts w:ascii="Times New Roman" w:eastAsiaTheme="minorEastAsia" w:hAnsi="Times New Roman" w:hint="eastAsia"/>
          <w:sz w:val="24"/>
          <w:szCs w:val="24"/>
        </w:rPr>
        <w:t>1</w:t>
      </w:r>
      <w:r>
        <w:rPr>
          <w:rFonts w:ascii="Times New Roman" w:eastAsiaTheme="minorEastAsia" w:hAnsi="Times New Roman" w:hint="eastAsia"/>
          <w:sz w:val="24"/>
          <w:szCs w:val="24"/>
        </w:rPr>
        <w:t xml:space="preserve"> </w:t>
      </w:r>
      <w:r w:rsidR="001C6952">
        <w:rPr>
          <w:rFonts w:ascii="Times New Roman" w:eastAsiaTheme="minorEastAsia" w:hAnsi="Times New Roman" w:hint="eastAsia"/>
          <w:sz w:val="24"/>
          <w:szCs w:val="24"/>
        </w:rPr>
        <w:t>诱导表达时间对</w:t>
      </w:r>
      <w:r w:rsidR="001C6952">
        <w:rPr>
          <w:rFonts w:ascii="Times New Roman" w:eastAsiaTheme="minorEastAsia" w:hAnsi="Times New Roman" w:hint="eastAsia"/>
          <w:sz w:val="24"/>
          <w:szCs w:val="24"/>
        </w:rPr>
        <w:t>UGS</w:t>
      </w:r>
      <w:r w:rsidR="001C6952">
        <w:rPr>
          <w:rFonts w:ascii="Times New Roman" w:eastAsiaTheme="minorEastAsia" w:hAnsi="Times New Roman" w:hint="eastAsia"/>
          <w:sz w:val="24"/>
          <w:szCs w:val="24"/>
        </w:rPr>
        <w:t>蛋白表达水平的影响。</w:t>
      </w:r>
    </w:p>
    <w:p w:rsidR="00605EE9" w:rsidRPr="002350B0" w:rsidRDefault="00605EE9" w:rsidP="00605EE9">
      <w:pPr>
        <w:pStyle w:val="af0"/>
        <w:adjustRightInd w:val="0"/>
        <w:snapToGrid w:val="0"/>
        <w:spacing w:line="360" w:lineRule="auto"/>
        <w:ind w:firstLineChars="0" w:firstLine="0"/>
        <w:rPr>
          <w:rFonts w:ascii="Times New Roman" w:eastAsiaTheme="minorEastAsia" w:hAnsi="Times New Roman"/>
          <w:sz w:val="24"/>
          <w:szCs w:val="24"/>
        </w:rPr>
      </w:pPr>
      <w:r w:rsidRPr="002350B0">
        <w:rPr>
          <w:rFonts w:ascii="Times New Roman" w:eastAsiaTheme="minorEastAsia" w:hAnsi="Times New Roman"/>
          <w:sz w:val="24"/>
          <w:szCs w:val="24"/>
        </w:rPr>
        <w:t xml:space="preserve">5.3 </w:t>
      </w:r>
      <w:r w:rsidRPr="002350B0">
        <w:rPr>
          <w:rFonts w:ascii="Times New Roman" w:eastAsiaTheme="minorEastAsia" w:hAnsi="Times New Roman"/>
          <w:sz w:val="24"/>
          <w:szCs w:val="24"/>
        </w:rPr>
        <w:t>激素标准物的选择</w:t>
      </w:r>
    </w:p>
    <w:p w:rsidR="00605EE9" w:rsidRDefault="002350B0" w:rsidP="00943D2B">
      <w:pPr>
        <w:pStyle w:val="af0"/>
        <w:adjustRightInd w:val="0"/>
        <w:snapToGrid w:val="0"/>
        <w:spacing w:line="360" w:lineRule="auto"/>
        <w:ind w:firstLine="480"/>
        <w:rPr>
          <w:rFonts w:ascii="Times New Roman" w:eastAsiaTheme="minorEastAsia" w:hAnsiTheme="minorEastAsia"/>
          <w:sz w:val="24"/>
          <w:szCs w:val="24"/>
        </w:rPr>
      </w:pPr>
      <w:r w:rsidRPr="002350B0">
        <w:rPr>
          <w:rFonts w:ascii="Times New Roman" w:eastAsiaTheme="minorEastAsia" w:hAnsiTheme="minorEastAsia"/>
          <w:sz w:val="24"/>
          <w:szCs w:val="24"/>
        </w:rPr>
        <w:t>试验发现同一浓度梯度的</w:t>
      </w:r>
      <w:r w:rsidRPr="002350B0">
        <w:rPr>
          <w:rFonts w:ascii="Times New Roman" w:eastAsiaTheme="minorEastAsia" w:hAnsi="Times New Roman"/>
          <w:sz w:val="24"/>
          <w:szCs w:val="24"/>
        </w:rPr>
        <w:t>标准物（以细胞分裂素为例）</w:t>
      </w:r>
      <w:r w:rsidRPr="002350B0">
        <w:rPr>
          <w:rFonts w:ascii="Times New Roman" w:eastAsiaTheme="minorEastAsia" w:hAnsi="Times New Roman"/>
          <w:sz w:val="24"/>
          <w:szCs w:val="24"/>
        </w:rPr>
        <w:t>ZT</w:t>
      </w:r>
      <w:r w:rsidRPr="002350B0">
        <w:rPr>
          <w:rFonts w:ascii="Times New Roman" w:eastAsiaTheme="minorEastAsia" w:hAnsiTheme="minorEastAsia"/>
          <w:sz w:val="24"/>
          <w:szCs w:val="24"/>
        </w:rPr>
        <w:t>处理不同批次的</w:t>
      </w:r>
      <w:r w:rsidRPr="002350B0">
        <w:rPr>
          <w:rFonts w:ascii="Times New Roman" w:eastAsiaTheme="minorEastAsia" w:hAnsi="Times New Roman"/>
          <w:sz w:val="24"/>
          <w:szCs w:val="24"/>
        </w:rPr>
        <w:t>ARR1AT-GUS</w:t>
      </w:r>
      <w:r w:rsidRPr="002350B0">
        <w:rPr>
          <w:rFonts w:ascii="Times New Roman" w:eastAsiaTheme="minorEastAsia" w:hAnsiTheme="minorEastAsia"/>
          <w:sz w:val="24"/>
          <w:szCs w:val="24"/>
        </w:rPr>
        <w:t>细胞系，</w:t>
      </w:r>
      <w:r w:rsidRPr="002350B0">
        <w:rPr>
          <w:rFonts w:ascii="Times New Roman" w:eastAsiaTheme="minorEastAsia" w:hAnsi="Times New Roman"/>
          <w:sz w:val="24"/>
          <w:szCs w:val="24"/>
        </w:rPr>
        <w:t>GUS</w:t>
      </w:r>
      <w:r w:rsidRPr="002350B0">
        <w:rPr>
          <w:rFonts w:ascii="Times New Roman" w:eastAsiaTheme="minorEastAsia" w:hAnsiTheme="minorEastAsia"/>
          <w:sz w:val="24"/>
          <w:szCs w:val="24"/>
        </w:rPr>
        <w:t>蛋白表达水平不一致（图</w:t>
      </w:r>
      <w:r w:rsidRPr="002350B0">
        <w:rPr>
          <w:rFonts w:ascii="Times New Roman" w:eastAsiaTheme="minorEastAsia" w:hAnsi="Times New Roman"/>
          <w:sz w:val="24"/>
          <w:szCs w:val="24"/>
        </w:rPr>
        <w:t>2A</w:t>
      </w:r>
      <w:r w:rsidRPr="002350B0">
        <w:rPr>
          <w:rFonts w:ascii="Times New Roman" w:eastAsiaTheme="minorEastAsia" w:hAnsiTheme="minorEastAsia"/>
          <w:sz w:val="24"/>
          <w:szCs w:val="24"/>
        </w:rPr>
        <w:t>），因此无法单纯以</w:t>
      </w:r>
      <w:r w:rsidRPr="002350B0">
        <w:rPr>
          <w:rFonts w:ascii="Times New Roman" w:eastAsiaTheme="minorEastAsia" w:hAnsi="Times New Roman"/>
          <w:sz w:val="24"/>
          <w:szCs w:val="24"/>
        </w:rPr>
        <w:t>GUS</w:t>
      </w:r>
      <w:r w:rsidRPr="002350B0">
        <w:rPr>
          <w:rFonts w:ascii="Times New Roman" w:eastAsiaTheme="minorEastAsia" w:hAnsiTheme="minorEastAsia"/>
          <w:sz w:val="24"/>
          <w:szCs w:val="24"/>
        </w:rPr>
        <w:t>蛋白表达水平来评价激素的生理活性。且不同批次间，</w:t>
      </w:r>
      <w:r w:rsidRPr="002350B0">
        <w:rPr>
          <w:rFonts w:ascii="Times New Roman" w:eastAsiaTheme="minorEastAsia" w:hAnsi="Times New Roman"/>
          <w:sz w:val="24"/>
          <w:szCs w:val="24"/>
        </w:rPr>
        <w:t>ZT</w:t>
      </w:r>
      <w:r w:rsidRPr="002350B0">
        <w:rPr>
          <w:rFonts w:ascii="Times New Roman" w:eastAsiaTheme="minorEastAsia" w:hAnsiTheme="minorEastAsia"/>
          <w:sz w:val="24"/>
          <w:szCs w:val="24"/>
        </w:rPr>
        <w:t>浓度在</w:t>
      </w:r>
      <w:r w:rsidRPr="002350B0">
        <w:rPr>
          <w:rFonts w:ascii="Times New Roman" w:eastAsiaTheme="minorEastAsia" w:hAnsi="Times New Roman"/>
          <w:sz w:val="24"/>
          <w:szCs w:val="24"/>
        </w:rPr>
        <w:t>10</w:t>
      </w:r>
      <w:r w:rsidRPr="002350B0">
        <w:rPr>
          <w:rFonts w:ascii="Times New Roman" w:eastAsiaTheme="minorEastAsia" w:hAnsi="Times New Roman"/>
          <w:sz w:val="24"/>
          <w:szCs w:val="24"/>
          <w:vertAlign w:val="superscript"/>
        </w:rPr>
        <w:t>-5</w:t>
      </w:r>
      <w:r w:rsidRPr="002350B0">
        <w:rPr>
          <w:rFonts w:ascii="Times New Roman" w:eastAsiaTheme="minorEastAsia" w:hAnsi="Times New Roman"/>
          <w:sz w:val="24"/>
          <w:szCs w:val="24"/>
        </w:rPr>
        <w:t>~10</w:t>
      </w:r>
      <w:r w:rsidRPr="002350B0">
        <w:rPr>
          <w:rFonts w:ascii="Times New Roman" w:eastAsiaTheme="minorEastAsia" w:hAnsi="Times New Roman"/>
          <w:sz w:val="24"/>
          <w:szCs w:val="24"/>
          <w:vertAlign w:val="superscript"/>
        </w:rPr>
        <w:t>-3</w:t>
      </w:r>
      <w:r>
        <w:rPr>
          <w:rFonts w:ascii="Times New Roman" w:eastAsiaTheme="minorEastAsia" w:hAnsi="Times New Roman" w:hint="eastAsia"/>
          <w:sz w:val="24"/>
          <w:szCs w:val="24"/>
          <w:vertAlign w:val="superscript"/>
        </w:rPr>
        <w:t xml:space="preserve"> </w:t>
      </w:r>
      <w:r w:rsidRPr="002350B0">
        <w:rPr>
          <w:rFonts w:ascii="Times New Roman" w:eastAsiaTheme="minorEastAsia" w:hAnsi="Times New Roman"/>
          <w:sz w:val="24"/>
          <w:szCs w:val="24"/>
        </w:rPr>
        <w:t>mg/</w:t>
      </w:r>
      <w:proofErr w:type="spellStart"/>
      <w:r w:rsidRPr="002350B0">
        <w:rPr>
          <w:rFonts w:ascii="Times New Roman" w:eastAsiaTheme="minorEastAsia" w:hAnsi="Times New Roman"/>
          <w:sz w:val="24"/>
          <w:szCs w:val="24"/>
        </w:rPr>
        <w:t>mL</w:t>
      </w:r>
      <w:proofErr w:type="spellEnd"/>
      <w:r w:rsidRPr="002350B0">
        <w:rPr>
          <w:rFonts w:ascii="Times New Roman" w:eastAsiaTheme="minorEastAsia" w:hAnsiTheme="minorEastAsia"/>
          <w:sz w:val="24"/>
          <w:szCs w:val="24"/>
        </w:rPr>
        <w:t>范围内，</w:t>
      </w:r>
      <w:r>
        <w:rPr>
          <w:rFonts w:ascii="Times New Roman" w:eastAsiaTheme="minorEastAsia" w:hAnsiTheme="minorEastAsia" w:hint="eastAsia"/>
          <w:sz w:val="24"/>
          <w:szCs w:val="24"/>
        </w:rPr>
        <w:t>GUS</w:t>
      </w:r>
      <w:r>
        <w:rPr>
          <w:rFonts w:ascii="Times New Roman" w:eastAsiaTheme="minorEastAsia" w:hAnsiTheme="minorEastAsia" w:hint="eastAsia"/>
          <w:sz w:val="24"/>
          <w:szCs w:val="24"/>
        </w:rPr>
        <w:t>蛋白的表达水平</w:t>
      </w:r>
      <w:r w:rsidRPr="002350B0">
        <w:rPr>
          <w:rFonts w:ascii="Times New Roman" w:eastAsiaTheme="minorEastAsia" w:hAnsiTheme="minorEastAsia"/>
          <w:sz w:val="24"/>
          <w:szCs w:val="24"/>
        </w:rPr>
        <w:t>与</w:t>
      </w:r>
      <w:r w:rsidRPr="002350B0">
        <w:rPr>
          <w:rFonts w:ascii="Times New Roman" w:eastAsiaTheme="minorEastAsia" w:hAnsi="Times New Roman"/>
          <w:sz w:val="24"/>
          <w:szCs w:val="24"/>
        </w:rPr>
        <w:t>ZT</w:t>
      </w:r>
      <w:r w:rsidRPr="002350B0">
        <w:rPr>
          <w:rFonts w:ascii="Times New Roman" w:eastAsiaTheme="minorEastAsia" w:hAnsiTheme="minorEastAsia"/>
          <w:sz w:val="24"/>
          <w:szCs w:val="24"/>
        </w:rPr>
        <w:t>浓度的对数值均存在显著的线性关系（图</w:t>
      </w:r>
      <w:r>
        <w:rPr>
          <w:rFonts w:ascii="Times New Roman" w:eastAsiaTheme="minorEastAsia" w:hAnsi="Times New Roman" w:hint="eastAsia"/>
          <w:sz w:val="24"/>
          <w:szCs w:val="24"/>
        </w:rPr>
        <w:t>2</w:t>
      </w:r>
      <w:r w:rsidRPr="002350B0">
        <w:rPr>
          <w:rFonts w:ascii="Times New Roman" w:eastAsiaTheme="minorEastAsia" w:hAnsi="Times New Roman"/>
          <w:sz w:val="24"/>
          <w:szCs w:val="24"/>
        </w:rPr>
        <w:t>B</w:t>
      </w:r>
      <w:r w:rsidRPr="002350B0">
        <w:rPr>
          <w:rFonts w:ascii="Times New Roman" w:eastAsiaTheme="minorEastAsia" w:hAnsiTheme="minorEastAsia"/>
          <w:sz w:val="24"/>
          <w:szCs w:val="24"/>
        </w:rPr>
        <w:t>），而同一批次</w:t>
      </w:r>
      <w:r w:rsidRPr="002350B0">
        <w:rPr>
          <w:rFonts w:ascii="Times New Roman" w:eastAsiaTheme="minorEastAsia" w:hAnsi="Times New Roman"/>
          <w:sz w:val="24"/>
          <w:szCs w:val="24"/>
        </w:rPr>
        <w:t>ARR1AT-GUS</w:t>
      </w:r>
      <w:r w:rsidRPr="002350B0">
        <w:rPr>
          <w:rFonts w:ascii="Times New Roman" w:eastAsiaTheme="minorEastAsia" w:hAnsiTheme="minorEastAsia"/>
          <w:sz w:val="24"/>
          <w:szCs w:val="24"/>
        </w:rPr>
        <w:t>细胞系用不同细胞分裂素活性的激素处理后，浓度在</w:t>
      </w:r>
      <w:r w:rsidRPr="002350B0">
        <w:rPr>
          <w:rFonts w:ascii="Times New Roman" w:eastAsiaTheme="minorEastAsia" w:hAnsi="Times New Roman"/>
          <w:sz w:val="24"/>
          <w:szCs w:val="24"/>
        </w:rPr>
        <w:t>10</w:t>
      </w:r>
      <w:r w:rsidRPr="002350B0">
        <w:rPr>
          <w:rFonts w:ascii="Times New Roman" w:eastAsiaTheme="minorEastAsia" w:hAnsi="Times New Roman"/>
          <w:sz w:val="24"/>
          <w:szCs w:val="24"/>
          <w:vertAlign w:val="superscript"/>
        </w:rPr>
        <w:t>-5</w:t>
      </w:r>
      <w:r w:rsidRPr="002350B0">
        <w:rPr>
          <w:rFonts w:ascii="Times New Roman" w:eastAsiaTheme="minorEastAsia" w:hAnsi="Times New Roman"/>
          <w:sz w:val="24"/>
          <w:szCs w:val="24"/>
        </w:rPr>
        <w:t>~10</w:t>
      </w:r>
      <w:r w:rsidRPr="002350B0">
        <w:rPr>
          <w:rFonts w:ascii="Times New Roman" w:eastAsiaTheme="minorEastAsia" w:hAnsi="Times New Roman"/>
          <w:sz w:val="24"/>
          <w:szCs w:val="24"/>
          <w:vertAlign w:val="superscript"/>
        </w:rPr>
        <w:t>-3</w:t>
      </w:r>
      <w:r w:rsidRPr="002350B0">
        <w:rPr>
          <w:rFonts w:ascii="Times New Roman" w:eastAsiaTheme="minorEastAsia" w:hAnsi="Times New Roman"/>
          <w:sz w:val="24"/>
          <w:szCs w:val="24"/>
        </w:rPr>
        <w:t>mg/</w:t>
      </w:r>
      <w:proofErr w:type="spellStart"/>
      <w:r w:rsidRPr="002350B0">
        <w:rPr>
          <w:rFonts w:ascii="Times New Roman" w:eastAsiaTheme="minorEastAsia" w:hAnsi="Times New Roman"/>
          <w:sz w:val="24"/>
          <w:szCs w:val="24"/>
        </w:rPr>
        <w:t>mL</w:t>
      </w:r>
      <w:proofErr w:type="spellEnd"/>
      <w:r w:rsidRPr="002350B0">
        <w:rPr>
          <w:rFonts w:ascii="Times New Roman" w:eastAsiaTheme="minorEastAsia" w:hAnsiTheme="minorEastAsia"/>
          <w:sz w:val="24"/>
          <w:szCs w:val="24"/>
        </w:rPr>
        <w:t>范围内，处理的</w:t>
      </w:r>
      <w:r>
        <w:rPr>
          <w:rFonts w:ascii="Times New Roman" w:eastAsiaTheme="minorEastAsia" w:hAnsiTheme="minorEastAsia" w:hint="eastAsia"/>
          <w:sz w:val="24"/>
          <w:szCs w:val="24"/>
        </w:rPr>
        <w:t>GUS</w:t>
      </w:r>
      <w:r>
        <w:rPr>
          <w:rFonts w:ascii="Times New Roman" w:eastAsiaTheme="minorEastAsia" w:hAnsiTheme="minorEastAsia" w:hint="eastAsia"/>
          <w:sz w:val="24"/>
          <w:szCs w:val="24"/>
        </w:rPr>
        <w:t>蛋白的表达水平</w:t>
      </w:r>
      <w:r w:rsidRPr="002350B0">
        <w:rPr>
          <w:rFonts w:ascii="Times New Roman" w:eastAsiaTheme="minorEastAsia" w:hAnsiTheme="minorEastAsia"/>
          <w:sz w:val="24"/>
          <w:szCs w:val="24"/>
        </w:rPr>
        <w:t>与激素浓度的对数值均存在显著的线性关系，且斜率无显著差异（图</w:t>
      </w:r>
      <w:r>
        <w:rPr>
          <w:rFonts w:ascii="Times New Roman" w:eastAsiaTheme="minorEastAsia" w:hAnsi="Times New Roman" w:hint="eastAsia"/>
          <w:sz w:val="24"/>
          <w:szCs w:val="24"/>
        </w:rPr>
        <w:t>2</w:t>
      </w:r>
      <w:r w:rsidRPr="002350B0">
        <w:rPr>
          <w:rFonts w:ascii="Times New Roman" w:eastAsiaTheme="minorEastAsia" w:hAnsi="Times New Roman"/>
          <w:sz w:val="24"/>
          <w:szCs w:val="24"/>
        </w:rPr>
        <w:t>C</w:t>
      </w:r>
      <w:r w:rsidRPr="002350B0">
        <w:rPr>
          <w:rFonts w:ascii="Times New Roman" w:eastAsiaTheme="minorEastAsia" w:hAnsiTheme="minorEastAsia"/>
          <w:sz w:val="24"/>
          <w:szCs w:val="24"/>
        </w:rPr>
        <w:t>），说明单批次试验中</w:t>
      </w:r>
      <w:r>
        <w:rPr>
          <w:rFonts w:ascii="Times New Roman" w:eastAsiaTheme="minorEastAsia" w:hAnsiTheme="minorEastAsia" w:hint="eastAsia"/>
          <w:sz w:val="24"/>
          <w:szCs w:val="24"/>
        </w:rPr>
        <w:t>GUS</w:t>
      </w:r>
      <w:r>
        <w:rPr>
          <w:rFonts w:ascii="Times New Roman" w:eastAsiaTheme="minorEastAsia" w:hAnsiTheme="minorEastAsia" w:hint="eastAsia"/>
          <w:sz w:val="24"/>
          <w:szCs w:val="24"/>
        </w:rPr>
        <w:t>蛋白的表达水平</w:t>
      </w:r>
      <w:r w:rsidRPr="002350B0">
        <w:rPr>
          <w:rFonts w:ascii="Times New Roman" w:eastAsiaTheme="minorEastAsia" w:hAnsiTheme="minorEastAsia"/>
          <w:sz w:val="24"/>
          <w:szCs w:val="24"/>
        </w:rPr>
        <w:t>对</w:t>
      </w:r>
      <w:r>
        <w:rPr>
          <w:rFonts w:ascii="Times New Roman" w:eastAsiaTheme="minorEastAsia" w:hAnsiTheme="minorEastAsia" w:hint="eastAsia"/>
          <w:sz w:val="24"/>
          <w:szCs w:val="24"/>
        </w:rPr>
        <w:t>细胞分裂素</w:t>
      </w:r>
      <w:r w:rsidRPr="002350B0">
        <w:rPr>
          <w:rFonts w:ascii="Times New Roman" w:eastAsiaTheme="minorEastAsia" w:hAnsiTheme="minorEastAsia"/>
          <w:sz w:val="24"/>
          <w:szCs w:val="24"/>
        </w:rPr>
        <w:t>活性物质浓度的响应具有一致性，而批次间的差异可能和环境有关，因此我们引入当量的理念，用活性较高的细胞分裂素类标准物作为参照，计算与试样中有效成分对</w:t>
      </w:r>
      <w:r>
        <w:rPr>
          <w:rFonts w:ascii="Times New Roman" w:eastAsiaTheme="minorEastAsia" w:hAnsiTheme="minorEastAsia" w:hint="eastAsia"/>
          <w:sz w:val="24"/>
          <w:szCs w:val="24"/>
        </w:rPr>
        <w:t>GUS</w:t>
      </w:r>
      <w:r>
        <w:rPr>
          <w:rFonts w:ascii="Times New Roman" w:eastAsiaTheme="minorEastAsia" w:hAnsiTheme="minorEastAsia" w:hint="eastAsia"/>
          <w:sz w:val="24"/>
          <w:szCs w:val="24"/>
        </w:rPr>
        <w:t>蛋白的表达水平</w:t>
      </w:r>
      <w:r w:rsidRPr="002350B0">
        <w:rPr>
          <w:rFonts w:ascii="Times New Roman" w:eastAsiaTheme="minorEastAsia" w:hAnsiTheme="minorEastAsia"/>
          <w:sz w:val="24"/>
          <w:szCs w:val="24"/>
        </w:rPr>
        <w:t>相当的标准物的量，作为试样中有效成分的细胞分裂素生物活性。</w:t>
      </w:r>
      <w:r w:rsidR="00605EE9" w:rsidRPr="002350B0">
        <w:rPr>
          <w:rFonts w:ascii="Times New Roman" w:eastAsiaTheme="minorEastAsia" w:hAnsiTheme="minorEastAsia"/>
          <w:sz w:val="24"/>
          <w:szCs w:val="24"/>
        </w:rPr>
        <w:t>由图</w:t>
      </w:r>
      <w:r w:rsidR="00DA6FF7">
        <w:rPr>
          <w:rFonts w:ascii="Times New Roman" w:eastAsiaTheme="minorEastAsia" w:hAnsi="Times New Roman" w:hint="eastAsia"/>
          <w:sz w:val="24"/>
          <w:szCs w:val="24"/>
        </w:rPr>
        <w:t>2C</w:t>
      </w:r>
      <w:r w:rsidR="00605EE9" w:rsidRPr="002350B0">
        <w:rPr>
          <w:rFonts w:ascii="Times New Roman" w:eastAsiaTheme="minorEastAsia" w:hAnsiTheme="minorEastAsia"/>
          <w:sz w:val="24"/>
          <w:szCs w:val="24"/>
        </w:rPr>
        <w:t>所知，</w:t>
      </w:r>
      <w:r w:rsidRPr="002350B0">
        <w:rPr>
          <w:rFonts w:ascii="Times New Roman" w:eastAsiaTheme="minorEastAsia" w:hAnsi="Times New Roman"/>
          <w:sz w:val="24"/>
          <w:szCs w:val="24"/>
        </w:rPr>
        <w:t>ARR1AT-GUS</w:t>
      </w:r>
      <w:r w:rsidRPr="002350B0">
        <w:rPr>
          <w:rFonts w:ascii="Times New Roman" w:eastAsiaTheme="minorEastAsia" w:hAnsiTheme="minorEastAsia"/>
          <w:sz w:val="24"/>
          <w:szCs w:val="24"/>
        </w:rPr>
        <w:t>细胞系</w:t>
      </w:r>
      <w:r>
        <w:rPr>
          <w:rFonts w:ascii="Times New Roman" w:eastAsiaTheme="minorEastAsia" w:hAnsiTheme="minorEastAsia" w:hint="eastAsia"/>
          <w:sz w:val="24"/>
          <w:szCs w:val="24"/>
        </w:rPr>
        <w:t>对天然细胞分裂素活性的玉米素</w:t>
      </w:r>
      <w:r>
        <w:rPr>
          <w:rFonts w:ascii="Times New Roman" w:eastAsiaTheme="minorEastAsia" w:hAnsiTheme="minorEastAsia" w:hint="eastAsia"/>
          <w:sz w:val="24"/>
          <w:szCs w:val="24"/>
        </w:rPr>
        <w:t>ZT</w:t>
      </w:r>
      <w:r w:rsidR="00943D2B">
        <w:rPr>
          <w:rFonts w:ascii="Times New Roman" w:eastAsiaTheme="minorEastAsia" w:hAnsiTheme="minorEastAsia" w:hint="eastAsia"/>
          <w:sz w:val="24"/>
          <w:szCs w:val="24"/>
        </w:rPr>
        <w:t>更为敏感，而对生长素活性和赤霉素活性物质无明显反应，表明</w:t>
      </w:r>
      <w:r w:rsidR="00943D2B" w:rsidRPr="002350B0">
        <w:rPr>
          <w:rFonts w:ascii="Times New Roman" w:eastAsiaTheme="minorEastAsia" w:hAnsi="Times New Roman"/>
          <w:sz w:val="24"/>
          <w:szCs w:val="24"/>
        </w:rPr>
        <w:t>ARR1AT-GUS</w:t>
      </w:r>
      <w:r>
        <w:rPr>
          <w:rFonts w:ascii="Times New Roman" w:eastAsiaTheme="minorEastAsia" w:hAnsiTheme="minorEastAsia" w:hint="eastAsia"/>
          <w:sz w:val="24"/>
          <w:szCs w:val="24"/>
        </w:rPr>
        <w:t>细胞系可用于检测细胞分裂素活性，且</w:t>
      </w:r>
      <w:r w:rsidR="00943D2B">
        <w:rPr>
          <w:rFonts w:ascii="Times New Roman" w:eastAsiaTheme="minorEastAsia" w:hAnsiTheme="minorEastAsia" w:hint="eastAsia"/>
          <w:sz w:val="24"/>
          <w:szCs w:val="24"/>
        </w:rPr>
        <w:t>本标准推荐</w:t>
      </w:r>
      <w:r w:rsidR="00943D2B" w:rsidRPr="002350B0">
        <w:rPr>
          <w:rFonts w:ascii="Times New Roman" w:eastAsiaTheme="minorEastAsia" w:hAnsi="Times New Roman"/>
          <w:sz w:val="24"/>
          <w:szCs w:val="24"/>
        </w:rPr>
        <w:t>ZT</w:t>
      </w:r>
      <w:r w:rsidR="00943D2B" w:rsidRPr="002350B0">
        <w:rPr>
          <w:rFonts w:ascii="Times New Roman" w:eastAsiaTheme="minorEastAsia" w:hAnsiTheme="minorEastAsia"/>
          <w:sz w:val="24"/>
          <w:szCs w:val="24"/>
        </w:rPr>
        <w:t>作为标准物来评价</w:t>
      </w:r>
      <w:r w:rsidR="00943D2B">
        <w:rPr>
          <w:rFonts w:ascii="Times New Roman" w:eastAsiaTheme="minorEastAsia" w:hAnsiTheme="minorEastAsia" w:hint="eastAsia"/>
          <w:sz w:val="24"/>
          <w:szCs w:val="24"/>
        </w:rPr>
        <w:t>细胞分裂素</w:t>
      </w:r>
      <w:r w:rsidR="00943D2B" w:rsidRPr="002350B0">
        <w:rPr>
          <w:rFonts w:ascii="Times New Roman" w:eastAsiaTheme="minorEastAsia" w:hAnsiTheme="minorEastAsia"/>
          <w:sz w:val="24"/>
          <w:szCs w:val="24"/>
        </w:rPr>
        <w:t>类物质的生物活性。</w:t>
      </w:r>
      <w:r w:rsidR="00943D2B">
        <w:rPr>
          <w:rFonts w:ascii="Times New Roman" w:eastAsiaTheme="minorEastAsia" w:hAnsiTheme="minorEastAsia" w:hint="eastAsia"/>
          <w:sz w:val="24"/>
          <w:szCs w:val="24"/>
        </w:rPr>
        <w:t>同理，图</w:t>
      </w:r>
      <w:r w:rsidR="00943D2B">
        <w:rPr>
          <w:rFonts w:ascii="Times New Roman" w:eastAsiaTheme="minorEastAsia" w:hAnsiTheme="minorEastAsia" w:hint="eastAsia"/>
          <w:sz w:val="24"/>
          <w:szCs w:val="24"/>
        </w:rPr>
        <w:t>3</w:t>
      </w:r>
      <w:r w:rsidR="00943D2B">
        <w:rPr>
          <w:rFonts w:ascii="Times New Roman" w:eastAsiaTheme="minorEastAsia" w:hAnsiTheme="minorEastAsia" w:hint="eastAsia"/>
          <w:sz w:val="24"/>
          <w:szCs w:val="24"/>
        </w:rPr>
        <w:t>表明，</w:t>
      </w:r>
      <w:proofErr w:type="spellStart"/>
      <w:r w:rsidR="00943D2B" w:rsidRPr="00943D2B">
        <w:rPr>
          <w:rFonts w:ascii="Times New Roman" w:eastAsiaTheme="minorEastAsia" w:hAnsiTheme="minorEastAsia" w:hint="eastAsia"/>
          <w:sz w:val="24"/>
          <w:szCs w:val="24"/>
        </w:rPr>
        <w:t>AuxREs</w:t>
      </w:r>
      <w:proofErr w:type="spellEnd"/>
      <w:r w:rsidR="00943D2B" w:rsidRPr="00943D2B">
        <w:rPr>
          <w:rFonts w:ascii="Times New Roman" w:eastAsiaTheme="minorEastAsia" w:hAnsiTheme="minorEastAsia" w:hint="eastAsia"/>
          <w:sz w:val="24"/>
          <w:szCs w:val="24"/>
        </w:rPr>
        <w:t>-GUS</w:t>
      </w:r>
      <w:r w:rsidR="00943D2B" w:rsidRPr="00943D2B">
        <w:rPr>
          <w:rFonts w:ascii="Times New Roman" w:eastAsiaTheme="minorEastAsia" w:hAnsiTheme="minorEastAsia" w:hint="eastAsia"/>
          <w:sz w:val="24"/>
          <w:szCs w:val="24"/>
        </w:rPr>
        <w:t>细胞系</w:t>
      </w:r>
      <w:r w:rsidR="00943D2B">
        <w:rPr>
          <w:rFonts w:ascii="Times New Roman" w:eastAsiaTheme="minorEastAsia" w:hAnsiTheme="minorEastAsia" w:hint="eastAsia"/>
          <w:sz w:val="24"/>
          <w:szCs w:val="24"/>
        </w:rPr>
        <w:t>对</w:t>
      </w:r>
      <w:r w:rsidR="00605EE9" w:rsidRPr="002350B0">
        <w:rPr>
          <w:rFonts w:ascii="Times New Roman" w:eastAsiaTheme="minorEastAsia" w:hAnsiTheme="minorEastAsia"/>
          <w:sz w:val="24"/>
          <w:szCs w:val="24"/>
        </w:rPr>
        <w:t>天然活性的生长素</w:t>
      </w:r>
      <w:r w:rsidR="00605EE9" w:rsidRPr="002350B0">
        <w:rPr>
          <w:rFonts w:ascii="Times New Roman" w:eastAsiaTheme="minorEastAsia" w:hAnsi="Times New Roman"/>
          <w:sz w:val="24"/>
          <w:szCs w:val="24"/>
        </w:rPr>
        <w:t>IAA</w:t>
      </w:r>
      <w:r w:rsidR="00605EE9" w:rsidRPr="002350B0">
        <w:rPr>
          <w:rFonts w:ascii="Times New Roman" w:eastAsiaTheme="minorEastAsia" w:hAnsiTheme="minorEastAsia"/>
          <w:sz w:val="24"/>
          <w:szCs w:val="24"/>
        </w:rPr>
        <w:t>和稳定的</w:t>
      </w:r>
      <w:r w:rsidR="00605EE9" w:rsidRPr="002350B0">
        <w:rPr>
          <w:rFonts w:ascii="Times New Roman" w:eastAsiaTheme="minorEastAsia" w:hAnsi="Times New Roman"/>
          <w:sz w:val="24"/>
          <w:szCs w:val="24"/>
        </w:rPr>
        <w:t>IAA</w:t>
      </w:r>
      <w:r w:rsidR="00605EE9" w:rsidRPr="002350B0">
        <w:rPr>
          <w:rFonts w:ascii="Times New Roman" w:eastAsiaTheme="minorEastAsia" w:hAnsiTheme="minorEastAsia"/>
          <w:sz w:val="24"/>
          <w:szCs w:val="24"/>
        </w:rPr>
        <w:t>结构类似物</w:t>
      </w:r>
      <w:r w:rsidR="00605EE9" w:rsidRPr="002350B0">
        <w:rPr>
          <w:rFonts w:ascii="Times New Roman" w:eastAsiaTheme="minorEastAsia" w:hAnsi="Times New Roman"/>
          <w:sz w:val="24"/>
          <w:szCs w:val="24"/>
        </w:rPr>
        <w:t>NAA</w:t>
      </w:r>
      <w:r w:rsidR="00943D2B">
        <w:rPr>
          <w:rFonts w:ascii="Times New Roman" w:eastAsiaTheme="minorEastAsia" w:hAnsiTheme="minorEastAsia" w:hint="eastAsia"/>
          <w:sz w:val="24"/>
          <w:szCs w:val="24"/>
        </w:rPr>
        <w:t>都比较敏感，两者间</w:t>
      </w:r>
      <w:r w:rsidR="00605EE9" w:rsidRPr="002350B0">
        <w:rPr>
          <w:rFonts w:ascii="Times New Roman" w:eastAsiaTheme="minorEastAsia" w:hAnsiTheme="minorEastAsia"/>
          <w:sz w:val="24"/>
          <w:szCs w:val="24"/>
        </w:rPr>
        <w:t>无显著差异，</w:t>
      </w:r>
      <w:r w:rsidR="00943D2B">
        <w:rPr>
          <w:rFonts w:ascii="Times New Roman" w:eastAsiaTheme="minorEastAsia" w:hAnsiTheme="minorEastAsia" w:hint="eastAsia"/>
          <w:sz w:val="24"/>
          <w:szCs w:val="24"/>
        </w:rPr>
        <w:t>且对细胞分裂素活性和赤霉素活性物质无明显反应，表明</w:t>
      </w:r>
      <w:proofErr w:type="spellStart"/>
      <w:r w:rsidR="00943D2B" w:rsidRPr="00943D2B">
        <w:rPr>
          <w:rFonts w:ascii="Times New Roman" w:eastAsiaTheme="minorEastAsia" w:hAnsiTheme="minorEastAsia" w:hint="eastAsia"/>
          <w:sz w:val="24"/>
          <w:szCs w:val="24"/>
        </w:rPr>
        <w:t>AuxREs</w:t>
      </w:r>
      <w:proofErr w:type="spellEnd"/>
      <w:r w:rsidR="00943D2B" w:rsidRPr="00943D2B">
        <w:rPr>
          <w:rFonts w:ascii="Times New Roman" w:eastAsiaTheme="minorEastAsia" w:hAnsiTheme="minorEastAsia" w:hint="eastAsia"/>
          <w:sz w:val="24"/>
          <w:szCs w:val="24"/>
        </w:rPr>
        <w:t>-GUS</w:t>
      </w:r>
      <w:r w:rsidR="00943D2B">
        <w:rPr>
          <w:rFonts w:ascii="Times New Roman" w:eastAsiaTheme="minorEastAsia" w:hAnsiTheme="minorEastAsia" w:hint="eastAsia"/>
          <w:sz w:val="24"/>
          <w:szCs w:val="24"/>
        </w:rPr>
        <w:t>细胞系可用于检测生长素活性，考虑到</w:t>
      </w:r>
      <w:r w:rsidR="00605EE9" w:rsidRPr="002350B0">
        <w:rPr>
          <w:rFonts w:ascii="Times New Roman" w:eastAsiaTheme="minorEastAsia" w:hAnsi="Times New Roman"/>
          <w:sz w:val="24"/>
          <w:szCs w:val="24"/>
        </w:rPr>
        <w:t>IAA</w:t>
      </w:r>
      <w:r w:rsidR="00605EE9" w:rsidRPr="002350B0">
        <w:rPr>
          <w:rFonts w:ascii="Times New Roman" w:eastAsiaTheme="minorEastAsia" w:hAnsiTheme="minorEastAsia"/>
          <w:sz w:val="24"/>
          <w:szCs w:val="24"/>
        </w:rPr>
        <w:t>容易降解，不利于试验的稳定性，因此本</w:t>
      </w:r>
      <w:r w:rsidR="00943D2B">
        <w:rPr>
          <w:rFonts w:ascii="Times New Roman" w:eastAsiaTheme="minorEastAsia" w:hAnsiTheme="minorEastAsia" w:hint="eastAsia"/>
          <w:sz w:val="24"/>
          <w:szCs w:val="24"/>
        </w:rPr>
        <w:t>标准推荐采用</w:t>
      </w:r>
      <w:r w:rsidR="00605EE9" w:rsidRPr="002350B0">
        <w:rPr>
          <w:rFonts w:ascii="Times New Roman" w:eastAsiaTheme="minorEastAsia" w:hAnsi="Times New Roman"/>
          <w:sz w:val="24"/>
          <w:szCs w:val="24"/>
        </w:rPr>
        <w:t>NAA</w:t>
      </w:r>
      <w:r w:rsidR="00605EE9" w:rsidRPr="002350B0">
        <w:rPr>
          <w:rFonts w:ascii="Times New Roman" w:eastAsiaTheme="minorEastAsia" w:hAnsiTheme="minorEastAsia"/>
          <w:sz w:val="24"/>
          <w:szCs w:val="24"/>
        </w:rPr>
        <w:t>作为标准物来评价生长素类物质的生物活性。</w:t>
      </w:r>
      <w:r w:rsidR="00943D2B">
        <w:rPr>
          <w:rFonts w:ascii="Times New Roman" w:eastAsiaTheme="minorEastAsia" w:hAnsiTheme="minorEastAsia" w:hint="eastAsia"/>
          <w:sz w:val="24"/>
          <w:szCs w:val="24"/>
        </w:rPr>
        <w:t>图</w:t>
      </w:r>
      <w:r w:rsidR="00DA6FF7">
        <w:rPr>
          <w:rFonts w:ascii="Times New Roman" w:eastAsiaTheme="minorEastAsia" w:hAnsiTheme="minorEastAsia" w:hint="eastAsia"/>
          <w:sz w:val="24"/>
          <w:szCs w:val="24"/>
        </w:rPr>
        <w:t>4</w:t>
      </w:r>
      <w:r w:rsidR="00943D2B">
        <w:rPr>
          <w:rFonts w:ascii="Times New Roman" w:eastAsiaTheme="minorEastAsia" w:hAnsiTheme="minorEastAsia" w:hint="eastAsia"/>
          <w:sz w:val="24"/>
          <w:szCs w:val="24"/>
        </w:rPr>
        <w:t>表明，</w:t>
      </w:r>
      <w:r w:rsidR="00943D2B" w:rsidRPr="00943D2B">
        <w:rPr>
          <w:rFonts w:ascii="Times New Roman" w:eastAsiaTheme="minorEastAsia" w:hAnsiTheme="minorEastAsia" w:hint="eastAsia"/>
          <w:sz w:val="24"/>
          <w:szCs w:val="24"/>
        </w:rPr>
        <w:t>TATC-box-GUS</w:t>
      </w:r>
      <w:r w:rsidR="00943D2B" w:rsidRPr="00943D2B">
        <w:rPr>
          <w:rFonts w:ascii="Times New Roman" w:eastAsiaTheme="minorEastAsia" w:hAnsiTheme="minorEastAsia" w:hint="eastAsia"/>
          <w:sz w:val="24"/>
          <w:szCs w:val="24"/>
        </w:rPr>
        <w:t>细胞系</w:t>
      </w:r>
      <w:r w:rsidR="00943D2B">
        <w:rPr>
          <w:rFonts w:ascii="Times New Roman" w:eastAsiaTheme="minorEastAsia" w:hAnsiTheme="minorEastAsia" w:hint="eastAsia"/>
          <w:sz w:val="24"/>
          <w:szCs w:val="24"/>
        </w:rPr>
        <w:t>对</w:t>
      </w:r>
      <w:r w:rsidR="00605EE9" w:rsidRPr="002350B0">
        <w:rPr>
          <w:rFonts w:ascii="Times New Roman" w:eastAsiaTheme="minorEastAsia" w:hAnsi="Times New Roman"/>
          <w:sz w:val="24"/>
          <w:szCs w:val="24"/>
        </w:rPr>
        <w:t>GA</w:t>
      </w:r>
      <w:r w:rsidR="00605EE9" w:rsidRPr="002350B0">
        <w:rPr>
          <w:rFonts w:ascii="Times New Roman" w:eastAsiaTheme="minorEastAsia" w:hAnsi="Times New Roman"/>
          <w:sz w:val="24"/>
          <w:szCs w:val="24"/>
          <w:vertAlign w:val="subscript"/>
        </w:rPr>
        <w:t>3</w:t>
      </w:r>
      <w:r w:rsidR="00943D2B">
        <w:rPr>
          <w:rFonts w:ascii="Times New Roman" w:eastAsiaTheme="minorEastAsia" w:hAnsiTheme="minorEastAsia" w:hint="eastAsia"/>
          <w:sz w:val="24"/>
          <w:szCs w:val="24"/>
        </w:rPr>
        <w:t>更为敏感，且对生长素和细胞分裂素活性物质无明显反应，表明</w:t>
      </w:r>
      <w:r w:rsidR="00943D2B" w:rsidRPr="00943D2B">
        <w:rPr>
          <w:rFonts w:ascii="Times New Roman" w:eastAsiaTheme="minorEastAsia" w:hAnsiTheme="minorEastAsia" w:hint="eastAsia"/>
          <w:sz w:val="24"/>
          <w:szCs w:val="24"/>
        </w:rPr>
        <w:t>TATC-box-GUS</w:t>
      </w:r>
      <w:r w:rsidR="00943D2B" w:rsidRPr="00943D2B">
        <w:rPr>
          <w:rFonts w:ascii="Times New Roman" w:eastAsiaTheme="minorEastAsia" w:hAnsiTheme="minorEastAsia" w:hint="eastAsia"/>
          <w:sz w:val="24"/>
          <w:szCs w:val="24"/>
        </w:rPr>
        <w:t>细胞系</w:t>
      </w:r>
      <w:r w:rsidR="00943D2B">
        <w:rPr>
          <w:rFonts w:ascii="Times New Roman" w:eastAsiaTheme="minorEastAsia" w:hAnsiTheme="minorEastAsia" w:hint="eastAsia"/>
          <w:sz w:val="24"/>
          <w:szCs w:val="24"/>
        </w:rPr>
        <w:t>可用于检测赤霉素活性，本标准推荐</w:t>
      </w:r>
      <w:r w:rsidR="00605EE9" w:rsidRPr="002350B0">
        <w:rPr>
          <w:rFonts w:ascii="Times New Roman" w:eastAsiaTheme="minorEastAsia" w:hAnsiTheme="minorEastAsia"/>
          <w:sz w:val="24"/>
          <w:szCs w:val="24"/>
        </w:rPr>
        <w:t>采用</w:t>
      </w:r>
      <w:r w:rsidR="00605EE9" w:rsidRPr="002350B0">
        <w:rPr>
          <w:rFonts w:ascii="Times New Roman" w:eastAsiaTheme="minorEastAsia" w:hAnsi="Times New Roman"/>
          <w:sz w:val="24"/>
          <w:szCs w:val="24"/>
        </w:rPr>
        <w:t>GA</w:t>
      </w:r>
      <w:r w:rsidR="00605EE9" w:rsidRPr="002350B0">
        <w:rPr>
          <w:rFonts w:ascii="Times New Roman" w:eastAsiaTheme="minorEastAsia" w:hAnsi="Times New Roman"/>
          <w:sz w:val="24"/>
          <w:szCs w:val="24"/>
          <w:vertAlign w:val="subscript"/>
        </w:rPr>
        <w:t>3</w:t>
      </w:r>
      <w:r w:rsidR="00605EE9" w:rsidRPr="002350B0">
        <w:rPr>
          <w:rFonts w:ascii="Times New Roman" w:eastAsiaTheme="minorEastAsia" w:hAnsiTheme="minorEastAsia"/>
          <w:sz w:val="24"/>
          <w:szCs w:val="24"/>
        </w:rPr>
        <w:t>作为标准物来评价生长素类物质的生物活性。</w:t>
      </w:r>
    </w:p>
    <w:p w:rsidR="00A018F3" w:rsidRDefault="00A018F3" w:rsidP="00A018F3">
      <w:pPr>
        <w:pStyle w:val="af0"/>
        <w:adjustRightInd w:val="0"/>
        <w:snapToGrid w:val="0"/>
        <w:spacing w:line="360" w:lineRule="auto"/>
        <w:ind w:firstLineChars="0" w:firstLine="0"/>
        <w:rPr>
          <w:rFonts w:ascii="Times New Roman" w:eastAsiaTheme="minorEastAsia" w:hAnsiTheme="minorEastAsia"/>
          <w:sz w:val="24"/>
          <w:szCs w:val="24"/>
        </w:rPr>
      </w:pPr>
      <w:r w:rsidRPr="00A018F3">
        <w:rPr>
          <w:noProof/>
          <w:szCs w:val="24"/>
        </w:rPr>
        <w:lastRenderedPageBreak/>
        <w:drawing>
          <wp:inline distT="0" distB="0" distL="0" distR="0">
            <wp:extent cx="4381500" cy="2478864"/>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b="6939"/>
                    <a:stretch>
                      <a:fillRect/>
                    </a:stretch>
                  </pic:blipFill>
                  <pic:spPr bwMode="auto">
                    <a:xfrm>
                      <a:off x="0" y="0"/>
                      <a:ext cx="4387195" cy="2482086"/>
                    </a:xfrm>
                    <a:prstGeom prst="rect">
                      <a:avLst/>
                    </a:prstGeom>
                    <a:noFill/>
                    <a:ln w="9525">
                      <a:noFill/>
                      <a:miter lim="800000"/>
                      <a:headEnd/>
                      <a:tailEnd/>
                    </a:ln>
                  </pic:spPr>
                </pic:pic>
              </a:graphicData>
            </a:graphic>
          </wp:inline>
        </w:drawing>
      </w:r>
      <w:r w:rsidRPr="00A018F3">
        <w:rPr>
          <w:noProof/>
          <w:szCs w:val="24"/>
        </w:rPr>
        <w:drawing>
          <wp:inline distT="0" distB="0" distL="0" distR="0">
            <wp:extent cx="4381233" cy="2838450"/>
            <wp:effectExtent l="19050" t="0" r="267"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382742" cy="2839428"/>
                    </a:xfrm>
                    <a:prstGeom prst="rect">
                      <a:avLst/>
                    </a:prstGeom>
                    <a:noFill/>
                    <a:ln w="9525">
                      <a:noFill/>
                      <a:miter lim="800000"/>
                      <a:headEnd/>
                      <a:tailEnd/>
                    </a:ln>
                  </pic:spPr>
                </pic:pic>
              </a:graphicData>
            </a:graphic>
          </wp:inline>
        </w:drawing>
      </w:r>
      <w:r w:rsidRPr="00A018F3">
        <w:rPr>
          <w:noProof/>
          <w:szCs w:val="24"/>
        </w:rPr>
        <w:drawing>
          <wp:inline distT="0" distB="0" distL="0" distR="0">
            <wp:extent cx="4410636" cy="2857500"/>
            <wp:effectExtent l="19050" t="0" r="8964"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411427" cy="2858013"/>
                    </a:xfrm>
                    <a:prstGeom prst="rect">
                      <a:avLst/>
                    </a:prstGeom>
                    <a:noFill/>
                    <a:ln w="9525">
                      <a:noFill/>
                      <a:miter lim="800000"/>
                      <a:headEnd/>
                      <a:tailEnd/>
                    </a:ln>
                  </pic:spPr>
                </pic:pic>
              </a:graphicData>
            </a:graphic>
          </wp:inline>
        </w:drawing>
      </w:r>
    </w:p>
    <w:p w:rsidR="00A018F3" w:rsidRDefault="00A018F3" w:rsidP="00A018F3">
      <w:pPr>
        <w:pStyle w:val="af0"/>
        <w:adjustRightInd w:val="0"/>
        <w:snapToGrid w:val="0"/>
        <w:spacing w:line="360" w:lineRule="auto"/>
        <w:ind w:firstLineChars="0" w:firstLine="0"/>
        <w:rPr>
          <w:rFonts w:eastAsiaTheme="minorEastAsia" w:hAnsiTheme="minorEastAsia"/>
          <w:sz w:val="24"/>
          <w:szCs w:val="24"/>
        </w:rPr>
      </w:pPr>
      <w:r>
        <w:rPr>
          <w:rFonts w:ascii="Times New Roman" w:eastAsiaTheme="minorEastAsia" w:hAnsiTheme="minorEastAsia" w:hint="eastAsia"/>
          <w:sz w:val="24"/>
          <w:szCs w:val="24"/>
        </w:rPr>
        <w:t>图</w:t>
      </w:r>
      <w:r>
        <w:rPr>
          <w:rFonts w:ascii="Times New Roman" w:eastAsiaTheme="minorEastAsia" w:hAnsiTheme="minorEastAsia" w:hint="eastAsia"/>
          <w:sz w:val="24"/>
          <w:szCs w:val="24"/>
        </w:rPr>
        <w:t>2</w:t>
      </w:r>
      <w:r w:rsidRPr="00406FBE">
        <w:rPr>
          <w:rFonts w:eastAsiaTheme="minorEastAsia" w:hint="eastAsia"/>
          <w:sz w:val="24"/>
          <w:szCs w:val="24"/>
        </w:rPr>
        <w:t xml:space="preserve"> </w:t>
      </w:r>
      <w:r w:rsidRPr="00406FBE">
        <w:rPr>
          <w:rFonts w:eastAsiaTheme="minorEastAsia" w:hAnsiTheme="minorEastAsia"/>
          <w:sz w:val="24"/>
          <w:szCs w:val="24"/>
        </w:rPr>
        <w:t>不同浓度细胞分裂素处理后</w:t>
      </w:r>
      <w:r w:rsidRPr="00A018F3">
        <w:rPr>
          <w:rFonts w:ascii="Times New Roman" w:eastAsiaTheme="minorEastAsia" w:hAnsi="Times New Roman"/>
          <w:sz w:val="24"/>
          <w:szCs w:val="24"/>
        </w:rPr>
        <w:t>GUS</w:t>
      </w:r>
      <w:r>
        <w:rPr>
          <w:rFonts w:eastAsiaTheme="minorEastAsia" w:hAnsiTheme="minorEastAsia" w:hint="eastAsia"/>
          <w:sz w:val="24"/>
          <w:szCs w:val="24"/>
        </w:rPr>
        <w:t>蛋白的表达水平</w:t>
      </w:r>
    </w:p>
    <w:p w:rsidR="00A018F3" w:rsidRDefault="000C43CF" w:rsidP="00A018F3">
      <w:pPr>
        <w:pStyle w:val="af0"/>
        <w:adjustRightInd w:val="0"/>
        <w:snapToGrid w:val="0"/>
        <w:spacing w:line="360" w:lineRule="auto"/>
        <w:ind w:firstLineChars="0" w:firstLine="0"/>
        <w:rPr>
          <w:rFonts w:eastAsiaTheme="minorEastAsia" w:hAnsiTheme="minorEastAsia"/>
          <w:sz w:val="24"/>
          <w:szCs w:val="24"/>
        </w:rPr>
      </w:pPr>
      <w:r w:rsidRPr="000C43CF">
        <w:rPr>
          <w:noProof/>
          <w:szCs w:val="24"/>
        </w:rPr>
        <w:lastRenderedPageBreak/>
        <w:drawing>
          <wp:inline distT="0" distB="0" distL="0" distR="0">
            <wp:extent cx="4430395" cy="2695943"/>
            <wp:effectExtent l="19050" t="0" r="8255" b="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4430395" cy="2695943"/>
                    </a:xfrm>
                    <a:prstGeom prst="rect">
                      <a:avLst/>
                    </a:prstGeom>
                    <a:noFill/>
                    <a:ln w="9525">
                      <a:noFill/>
                      <a:miter lim="800000"/>
                      <a:headEnd/>
                      <a:tailEnd/>
                    </a:ln>
                  </pic:spPr>
                </pic:pic>
              </a:graphicData>
            </a:graphic>
          </wp:inline>
        </w:drawing>
      </w:r>
      <w:r w:rsidRPr="000C43CF">
        <w:rPr>
          <w:noProof/>
          <w:szCs w:val="24"/>
        </w:rPr>
        <w:drawing>
          <wp:inline distT="0" distB="0" distL="0" distR="0">
            <wp:extent cx="4419599" cy="2695575"/>
            <wp:effectExtent l="19050" t="0" r="1"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4424129" cy="2698338"/>
                    </a:xfrm>
                    <a:prstGeom prst="rect">
                      <a:avLst/>
                    </a:prstGeom>
                    <a:noFill/>
                    <a:ln w="9525">
                      <a:noFill/>
                      <a:miter lim="800000"/>
                      <a:headEnd/>
                      <a:tailEnd/>
                    </a:ln>
                  </pic:spPr>
                </pic:pic>
              </a:graphicData>
            </a:graphic>
          </wp:inline>
        </w:drawing>
      </w:r>
      <w:r w:rsidRPr="000C43CF">
        <w:rPr>
          <w:rFonts w:eastAsiaTheme="minorEastAsia" w:hAnsiTheme="minorEastAsia"/>
          <w:sz w:val="24"/>
          <w:szCs w:val="24"/>
        </w:rPr>
        <w:t xml:space="preserve"> </w:t>
      </w:r>
      <w:r w:rsidRPr="000C43CF">
        <w:rPr>
          <w:noProof/>
          <w:szCs w:val="24"/>
        </w:rPr>
        <w:drawing>
          <wp:inline distT="0" distB="0" distL="0" distR="0">
            <wp:extent cx="4430395" cy="2876550"/>
            <wp:effectExtent l="19050" t="0" r="825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4437551" cy="2881196"/>
                    </a:xfrm>
                    <a:prstGeom prst="rect">
                      <a:avLst/>
                    </a:prstGeom>
                    <a:noFill/>
                    <a:ln w="9525">
                      <a:noFill/>
                      <a:miter lim="800000"/>
                      <a:headEnd/>
                      <a:tailEnd/>
                    </a:ln>
                  </pic:spPr>
                </pic:pic>
              </a:graphicData>
            </a:graphic>
          </wp:inline>
        </w:drawing>
      </w:r>
    </w:p>
    <w:p w:rsidR="000C43CF" w:rsidRDefault="000C43CF" w:rsidP="000C43CF">
      <w:pPr>
        <w:pStyle w:val="af0"/>
        <w:adjustRightInd w:val="0"/>
        <w:snapToGrid w:val="0"/>
        <w:spacing w:line="360" w:lineRule="auto"/>
        <w:ind w:firstLineChars="0" w:firstLine="0"/>
        <w:rPr>
          <w:rFonts w:eastAsiaTheme="minorEastAsia" w:hAnsiTheme="minorEastAsia"/>
          <w:sz w:val="24"/>
          <w:szCs w:val="24"/>
        </w:rPr>
      </w:pPr>
      <w:r>
        <w:rPr>
          <w:rFonts w:ascii="Times New Roman" w:eastAsiaTheme="minorEastAsia" w:hAnsiTheme="minorEastAsia" w:hint="eastAsia"/>
          <w:sz w:val="24"/>
          <w:szCs w:val="24"/>
        </w:rPr>
        <w:t>图</w:t>
      </w:r>
      <w:r>
        <w:rPr>
          <w:rFonts w:ascii="Times New Roman" w:eastAsiaTheme="minorEastAsia" w:hAnsiTheme="minorEastAsia" w:hint="eastAsia"/>
          <w:sz w:val="24"/>
          <w:szCs w:val="24"/>
        </w:rPr>
        <w:t>3</w:t>
      </w:r>
      <w:r w:rsidRPr="00406FBE">
        <w:rPr>
          <w:rFonts w:eastAsiaTheme="minorEastAsia" w:hint="eastAsia"/>
          <w:sz w:val="24"/>
          <w:szCs w:val="24"/>
        </w:rPr>
        <w:t xml:space="preserve"> </w:t>
      </w:r>
      <w:r w:rsidRPr="00406FBE">
        <w:rPr>
          <w:rFonts w:eastAsiaTheme="minorEastAsia" w:hAnsiTheme="minorEastAsia"/>
          <w:sz w:val="24"/>
          <w:szCs w:val="24"/>
        </w:rPr>
        <w:t>不同浓度</w:t>
      </w:r>
      <w:r>
        <w:rPr>
          <w:rFonts w:eastAsiaTheme="minorEastAsia" w:hAnsiTheme="minorEastAsia" w:hint="eastAsia"/>
          <w:sz w:val="24"/>
          <w:szCs w:val="24"/>
        </w:rPr>
        <w:t>生长素</w:t>
      </w:r>
      <w:r w:rsidRPr="00406FBE">
        <w:rPr>
          <w:rFonts w:eastAsiaTheme="minorEastAsia" w:hAnsiTheme="minorEastAsia"/>
          <w:sz w:val="24"/>
          <w:szCs w:val="24"/>
        </w:rPr>
        <w:t>处理后</w:t>
      </w:r>
      <w:r w:rsidRPr="00A018F3">
        <w:rPr>
          <w:rFonts w:ascii="Times New Roman" w:eastAsiaTheme="minorEastAsia" w:hAnsi="Times New Roman"/>
          <w:sz w:val="24"/>
          <w:szCs w:val="24"/>
        </w:rPr>
        <w:t>GUS</w:t>
      </w:r>
      <w:r>
        <w:rPr>
          <w:rFonts w:eastAsiaTheme="minorEastAsia" w:hAnsiTheme="minorEastAsia" w:hint="eastAsia"/>
          <w:sz w:val="24"/>
          <w:szCs w:val="24"/>
        </w:rPr>
        <w:t>蛋白的表达水平</w:t>
      </w:r>
    </w:p>
    <w:p w:rsidR="000C43CF" w:rsidRDefault="000C43CF" w:rsidP="00A018F3">
      <w:pPr>
        <w:pStyle w:val="af0"/>
        <w:adjustRightInd w:val="0"/>
        <w:snapToGrid w:val="0"/>
        <w:spacing w:line="360" w:lineRule="auto"/>
        <w:ind w:firstLineChars="0" w:firstLine="0"/>
        <w:rPr>
          <w:rFonts w:eastAsiaTheme="minorEastAsia" w:hAnsiTheme="minorEastAsia"/>
          <w:sz w:val="24"/>
          <w:szCs w:val="24"/>
        </w:rPr>
      </w:pPr>
      <w:r w:rsidRPr="000C43CF">
        <w:rPr>
          <w:noProof/>
          <w:szCs w:val="24"/>
        </w:rPr>
        <w:lastRenderedPageBreak/>
        <w:drawing>
          <wp:inline distT="0" distB="0" distL="0" distR="0">
            <wp:extent cx="4562475" cy="2438400"/>
            <wp:effectExtent l="19050" t="0" r="9525" b="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b="9220"/>
                    <a:stretch>
                      <a:fillRect/>
                    </a:stretch>
                  </pic:blipFill>
                  <pic:spPr bwMode="auto">
                    <a:xfrm>
                      <a:off x="0" y="0"/>
                      <a:ext cx="4562475" cy="2438400"/>
                    </a:xfrm>
                    <a:prstGeom prst="rect">
                      <a:avLst/>
                    </a:prstGeom>
                    <a:noFill/>
                    <a:ln w="9525">
                      <a:noFill/>
                      <a:miter lim="800000"/>
                      <a:headEnd/>
                      <a:tailEnd/>
                    </a:ln>
                  </pic:spPr>
                </pic:pic>
              </a:graphicData>
            </a:graphic>
          </wp:inline>
        </w:drawing>
      </w:r>
      <w:r w:rsidRPr="000C43CF">
        <w:rPr>
          <w:rFonts w:eastAsiaTheme="minorEastAsia" w:hAnsiTheme="minorEastAsia"/>
          <w:sz w:val="24"/>
          <w:szCs w:val="24"/>
        </w:rPr>
        <w:t xml:space="preserve"> </w:t>
      </w:r>
      <w:r w:rsidRPr="000C43CF">
        <w:rPr>
          <w:noProof/>
          <w:szCs w:val="24"/>
        </w:rPr>
        <w:drawing>
          <wp:inline distT="0" distB="0" distL="0" distR="0">
            <wp:extent cx="4486275" cy="2938578"/>
            <wp:effectExtent l="19050" t="0" r="9525" b="0"/>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4482069" cy="2935823"/>
                    </a:xfrm>
                    <a:prstGeom prst="rect">
                      <a:avLst/>
                    </a:prstGeom>
                    <a:noFill/>
                    <a:ln w="9525">
                      <a:noFill/>
                      <a:miter lim="800000"/>
                      <a:headEnd/>
                      <a:tailEnd/>
                    </a:ln>
                  </pic:spPr>
                </pic:pic>
              </a:graphicData>
            </a:graphic>
          </wp:inline>
        </w:drawing>
      </w:r>
      <w:r w:rsidR="00AA73F4" w:rsidRPr="00AA73F4">
        <w:rPr>
          <w:rFonts w:eastAsiaTheme="minorEastAsia" w:hAnsiTheme="minorEastAsia"/>
          <w:sz w:val="24"/>
          <w:szCs w:val="24"/>
        </w:rPr>
        <w:t xml:space="preserve"> </w:t>
      </w:r>
      <w:r w:rsidR="00AA73F4" w:rsidRPr="00AA73F4">
        <w:rPr>
          <w:noProof/>
          <w:szCs w:val="24"/>
        </w:rPr>
        <w:drawing>
          <wp:inline distT="0" distB="0" distL="0" distR="0">
            <wp:extent cx="4495800" cy="2924319"/>
            <wp:effectExtent l="19050" t="0" r="0" b="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4498037" cy="2925774"/>
                    </a:xfrm>
                    <a:prstGeom prst="rect">
                      <a:avLst/>
                    </a:prstGeom>
                    <a:noFill/>
                    <a:ln w="9525">
                      <a:noFill/>
                      <a:miter lim="800000"/>
                      <a:headEnd/>
                      <a:tailEnd/>
                    </a:ln>
                  </pic:spPr>
                </pic:pic>
              </a:graphicData>
            </a:graphic>
          </wp:inline>
        </w:drawing>
      </w:r>
    </w:p>
    <w:p w:rsidR="00AA73F4" w:rsidRDefault="00AA73F4" w:rsidP="00AA73F4">
      <w:pPr>
        <w:pStyle w:val="af0"/>
        <w:adjustRightInd w:val="0"/>
        <w:snapToGrid w:val="0"/>
        <w:spacing w:line="360" w:lineRule="auto"/>
        <w:ind w:firstLineChars="0" w:firstLine="0"/>
        <w:rPr>
          <w:rFonts w:eastAsiaTheme="minorEastAsia" w:hAnsiTheme="minorEastAsia"/>
          <w:sz w:val="24"/>
          <w:szCs w:val="24"/>
        </w:rPr>
      </w:pPr>
      <w:r>
        <w:rPr>
          <w:rFonts w:ascii="Times New Roman" w:eastAsiaTheme="minorEastAsia" w:hAnsiTheme="minorEastAsia" w:hint="eastAsia"/>
          <w:sz w:val="24"/>
          <w:szCs w:val="24"/>
        </w:rPr>
        <w:t>图</w:t>
      </w:r>
      <w:r>
        <w:rPr>
          <w:rFonts w:ascii="Times New Roman" w:eastAsiaTheme="minorEastAsia" w:hAnsiTheme="minorEastAsia" w:hint="eastAsia"/>
          <w:sz w:val="24"/>
          <w:szCs w:val="24"/>
        </w:rPr>
        <w:t>4</w:t>
      </w:r>
      <w:r w:rsidRPr="00406FBE">
        <w:rPr>
          <w:rFonts w:eastAsiaTheme="minorEastAsia" w:hint="eastAsia"/>
          <w:sz w:val="24"/>
          <w:szCs w:val="24"/>
        </w:rPr>
        <w:t xml:space="preserve"> </w:t>
      </w:r>
      <w:r w:rsidRPr="00406FBE">
        <w:rPr>
          <w:rFonts w:eastAsiaTheme="minorEastAsia" w:hAnsiTheme="minorEastAsia"/>
          <w:sz w:val="24"/>
          <w:szCs w:val="24"/>
        </w:rPr>
        <w:t>不同浓度</w:t>
      </w:r>
      <w:r>
        <w:rPr>
          <w:rFonts w:eastAsiaTheme="minorEastAsia" w:hAnsiTheme="minorEastAsia" w:hint="eastAsia"/>
          <w:sz w:val="24"/>
          <w:szCs w:val="24"/>
        </w:rPr>
        <w:t>赤霉素</w:t>
      </w:r>
      <w:r w:rsidRPr="00406FBE">
        <w:rPr>
          <w:rFonts w:eastAsiaTheme="minorEastAsia" w:hAnsiTheme="minorEastAsia"/>
          <w:sz w:val="24"/>
          <w:szCs w:val="24"/>
        </w:rPr>
        <w:t>处理后</w:t>
      </w:r>
      <w:r w:rsidRPr="00A018F3">
        <w:rPr>
          <w:rFonts w:ascii="Times New Roman" w:eastAsiaTheme="minorEastAsia" w:hAnsi="Times New Roman"/>
          <w:sz w:val="24"/>
          <w:szCs w:val="24"/>
        </w:rPr>
        <w:t>GUS</w:t>
      </w:r>
      <w:r>
        <w:rPr>
          <w:rFonts w:eastAsiaTheme="minorEastAsia" w:hAnsiTheme="minorEastAsia" w:hint="eastAsia"/>
          <w:sz w:val="24"/>
          <w:szCs w:val="24"/>
        </w:rPr>
        <w:t>蛋白的表达水平</w:t>
      </w:r>
    </w:p>
    <w:p w:rsidR="00AA73F4" w:rsidRPr="00406FBE" w:rsidRDefault="00AA73F4" w:rsidP="00AA73F4">
      <w:pPr>
        <w:snapToGrid w:val="0"/>
        <w:rPr>
          <w:rFonts w:eastAsiaTheme="minorEastAsia"/>
          <w:sz w:val="24"/>
          <w:szCs w:val="24"/>
        </w:rPr>
      </w:pPr>
      <w:r>
        <w:rPr>
          <w:rFonts w:eastAsiaTheme="minorEastAsia"/>
          <w:sz w:val="24"/>
          <w:szCs w:val="24"/>
        </w:rPr>
        <w:lastRenderedPageBreak/>
        <w:t>5</w:t>
      </w:r>
      <w:r w:rsidRPr="00406FBE">
        <w:rPr>
          <w:rFonts w:eastAsiaTheme="minorEastAsia"/>
          <w:sz w:val="24"/>
          <w:szCs w:val="24"/>
        </w:rPr>
        <w:t xml:space="preserve">.4 </w:t>
      </w:r>
      <w:r w:rsidRPr="00406FBE">
        <w:rPr>
          <w:rFonts w:eastAsiaTheme="minorEastAsia" w:hAnsiTheme="minorEastAsia"/>
          <w:sz w:val="24"/>
          <w:szCs w:val="24"/>
        </w:rPr>
        <w:t>试样的制备</w:t>
      </w:r>
    </w:p>
    <w:p w:rsidR="00AA73F4" w:rsidRPr="00AA73F4" w:rsidRDefault="00AA73F4" w:rsidP="00AA73F4">
      <w:pPr>
        <w:pStyle w:val="af0"/>
        <w:adjustRightInd w:val="0"/>
        <w:snapToGrid w:val="0"/>
        <w:spacing w:line="360" w:lineRule="auto"/>
        <w:ind w:firstLineChars="0" w:firstLine="0"/>
        <w:rPr>
          <w:rFonts w:ascii="Times New Roman" w:eastAsiaTheme="minorEastAsia" w:hAnsi="Times New Roman"/>
          <w:sz w:val="24"/>
          <w:szCs w:val="24"/>
        </w:rPr>
      </w:pPr>
      <w:r w:rsidRPr="00406FBE">
        <w:rPr>
          <w:rFonts w:eastAsiaTheme="minorEastAsia"/>
          <w:sz w:val="24"/>
          <w:szCs w:val="24"/>
        </w:rPr>
        <w:t xml:space="preserve">  </w:t>
      </w:r>
      <w:r w:rsidRPr="00AA73F4">
        <w:rPr>
          <w:rFonts w:ascii="Times New Roman" w:eastAsiaTheme="minorEastAsia" w:hAnsi="Times New Roman"/>
          <w:sz w:val="24"/>
          <w:szCs w:val="24"/>
        </w:rPr>
        <w:t xml:space="preserve">  </w:t>
      </w:r>
      <w:r w:rsidRPr="00AA73F4">
        <w:rPr>
          <w:rFonts w:ascii="Times New Roman" w:eastAsiaTheme="minorEastAsia" w:hAnsiTheme="minorEastAsia"/>
          <w:sz w:val="24"/>
          <w:szCs w:val="24"/>
        </w:rPr>
        <w:t>由于检测对象包含商品化的植物生长调节剂或生产研发过程中的未知物质，存在液体、固体等多种状态，为了便于统一，我们将单位浓度（</w:t>
      </w:r>
      <w:r w:rsidRPr="00AA73F4">
        <w:rPr>
          <w:rFonts w:ascii="Times New Roman" w:eastAsiaTheme="minorEastAsia" w:hAnsi="Times New Roman"/>
          <w:sz w:val="24"/>
          <w:szCs w:val="24"/>
        </w:rPr>
        <w:t>mg/</w:t>
      </w:r>
      <w:proofErr w:type="spellStart"/>
      <w:r w:rsidRPr="00AA73F4">
        <w:rPr>
          <w:rFonts w:ascii="Times New Roman" w:eastAsiaTheme="minorEastAsia" w:hAnsi="Times New Roman"/>
          <w:sz w:val="24"/>
          <w:szCs w:val="24"/>
        </w:rPr>
        <w:t>mL</w:t>
      </w:r>
      <w:proofErr w:type="spellEnd"/>
      <w:r w:rsidRPr="00AA73F4">
        <w:rPr>
          <w:rFonts w:ascii="Times New Roman" w:eastAsiaTheme="minorEastAsia" w:hAnsiTheme="minorEastAsia"/>
          <w:sz w:val="24"/>
          <w:szCs w:val="24"/>
        </w:rPr>
        <w:t>）的有效物质或未知物质的生物活性来计算</w:t>
      </w:r>
      <w:r>
        <w:rPr>
          <w:rFonts w:ascii="Times New Roman" w:eastAsiaTheme="minorEastAsia" w:hAnsiTheme="minorEastAsia" w:hint="eastAsia"/>
          <w:sz w:val="24"/>
          <w:szCs w:val="24"/>
        </w:rPr>
        <w:t>激素</w:t>
      </w:r>
      <w:r w:rsidRPr="00AA73F4">
        <w:rPr>
          <w:rFonts w:ascii="Times New Roman" w:eastAsiaTheme="minorEastAsia" w:hAnsiTheme="minorEastAsia"/>
          <w:sz w:val="24"/>
          <w:szCs w:val="24"/>
        </w:rPr>
        <w:t>活性。试验</w:t>
      </w:r>
      <w:r>
        <w:rPr>
          <w:rFonts w:ascii="Times New Roman" w:eastAsiaTheme="minorEastAsia" w:hAnsiTheme="minorEastAsia" w:hint="eastAsia"/>
          <w:sz w:val="24"/>
          <w:szCs w:val="24"/>
        </w:rPr>
        <w:t>探索发现生长素在</w:t>
      </w:r>
      <w:r w:rsidRPr="00AA73F4">
        <w:rPr>
          <w:rFonts w:ascii="Times New Roman" w:hAnsi="Times New Roman"/>
          <w:sz w:val="24"/>
          <w:szCs w:val="24"/>
        </w:rPr>
        <w:t>10</w:t>
      </w:r>
      <w:r w:rsidRPr="00AA73F4">
        <w:rPr>
          <w:rFonts w:ascii="Times New Roman" w:hAnsi="Times New Roman"/>
          <w:sz w:val="24"/>
          <w:szCs w:val="24"/>
          <w:vertAlign w:val="superscript"/>
        </w:rPr>
        <w:t>-6</w:t>
      </w:r>
      <w:r w:rsidRPr="00AA73F4">
        <w:rPr>
          <w:rFonts w:ascii="Times New Roman" w:hAnsi="Times New Roman"/>
          <w:sz w:val="24"/>
          <w:szCs w:val="24"/>
        </w:rPr>
        <w:t>~10</w:t>
      </w:r>
      <w:r w:rsidRPr="00AA73F4">
        <w:rPr>
          <w:rFonts w:ascii="Times New Roman" w:hAnsi="Times New Roman"/>
          <w:sz w:val="24"/>
          <w:szCs w:val="24"/>
          <w:vertAlign w:val="superscript"/>
        </w:rPr>
        <w:t xml:space="preserve">-4 </w:t>
      </w:r>
      <w:r w:rsidRPr="00AA73F4">
        <w:rPr>
          <w:rFonts w:ascii="Times New Roman" w:hAnsi="Times New Roman"/>
          <w:sz w:val="24"/>
          <w:szCs w:val="24"/>
        </w:rPr>
        <w:t>mg/</w:t>
      </w:r>
      <w:proofErr w:type="spellStart"/>
      <w:r w:rsidRPr="00AA73F4">
        <w:rPr>
          <w:rFonts w:ascii="Times New Roman" w:hAnsi="Times New Roman"/>
          <w:sz w:val="24"/>
          <w:szCs w:val="24"/>
        </w:rPr>
        <w:t>mL</w:t>
      </w:r>
      <w:proofErr w:type="spellEnd"/>
      <w:r w:rsidRPr="00AA73F4">
        <w:rPr>
          <w:rFonts w:ascii="Times New Roman" w:hAnsi="Times New Roman"/>
          <w:sz w:val="24"/>
          <w:szCs w:val="24"/>
        </w:rPr>
        <w:t>浓度范围，细胞分裂素在</w:t>
      </w:r>
      <w:r w:rsidRPr="00AA73F4">
        <w:rPr>
          <w:rFonts w:ascii="Times New Roman" w:hAnsi="Times New Roman"/>
          <w:sz w:val="24"/>
          <w:szCs w:val="24"/>
        </w:rPr>
        <w:t>10</w:t>
      </w:r>
      <w:r w:rsidRPr="00AA73F4">
        <w:rPr>
          <w:rFonts w:ascii="Times New Roman" w:hAnsi="Times New Roman"/>
          <w:sz w:val="24"/>
          <w:szCs w:val="24"/>
          <w:vertAlign w:val="superscript"/>
        </w:rPr>
        <w:t>-5</w:t>
      </w:r>
      <w:r w:rsidRPr="00AA73F4">
        <w:rPr>
          <w:rFonts w:ascii="Times New Roman" w:hAnsi="Times New Roman"/>
          <w:sz w:val="24"/>
          <w:szCs w:val="24"/>
        </w:rPr>
        <w:t>~10</w:t>
      </w:r>
      <w:r w:rsidRPr="00AA73F4">
        <w:rPr>
          <w:rFonts w:ascii="Times New Roman" w:hAnsi="Times New Roman"/>
          <w:sz w:val="24"/>
          <w:szCs w:val="24"/>
          <w:vertAlign w:val="superscript"/>
        </w:rPr>
        <w:t xml:space="preserve">-3 </w:t>
      </w:r>
      <w:r w:rsidRPr="00AA73F4">
        <w:rPr>
          <w:rFonts w:ascii="Times New Roman" w:hAnsi="Times New Roman"/>
          <w:sz w:val="24"/>
          <w:szCs w:val="24"/>
        </w:rPr>
        <w:t>mg/</w:t>
      </w:r>
      <w:proofErr w:type="spellStart"/>
      <w:r w:rsidRPr="00AA73F4">
        <w:rPr>
          <w:rFonts w:ascii="Times New Roman" w:hAnsi="Times New Roman"/>
          <w:sz w:val="24"/>
          <w:szCs w:val="24"/>
        </w:rPr>
        <w:t>mL</w:t>
      </w:r>
      <w:proofErr w:type="spellEnd"/>
      <w:r w:rsidRPr="00AA73F4">
        <w:rPr>
          <w:rFonts w:ascii="Times New Roman" w:hAnsi="Times New Roman"/>
          <w:sz w:val="24"/>
          <w:szCs w:val="24"/>
        </w:rPr>
        <w:t>浓度范围</w:t>
      </w:r>
      <w:r w:rsidRPr="00AA73F4">
        <w:rPr>
          <w:rFonts w:ascii="Times New Roman" w:eastAsiaTheme="minorEastAsia" w:hAnsi="Times New Roman"/>
          <w:sz w:val="24"/>
          <w:szCs w:val="24"/>
        </w:rPr>
        <w:t>，赤霉素在</w:t>
      </w:r>
      <w:r w:rsidRPr="00AA73F4">
        <w:rPr>
          <w:rFonts w:ascii="Times New Roman" w:hAnsi="Times New Roman"/>
          <w:sz w:val="24"/>
          <w:szCs w:val="24"/>
        </w:rPr>
        <w:t>10</w:t>
      </w:r>
      <w:r w:rsidRPr="00AA73F4">
        <w:rPr>
          <w:rFonts w:ascii="Times New Roman" w:hAnsi="Times New Roman"/>
          <w:sz w:val="24"/>
          <w:szCs w:val="24"/>
          <w:vertAlign w:val="superscript"/>
        </w:rPr>
        <w:t>-6</w:t>
      </w:r>
      <w:r w:rsidRPr="00AA73F4">
        <w:rPr>
          <w:rFonts w:ascii="Times New Roman" w:hAnsi="Times New Roman"/>
          <w:sz w:val="24"/>
          <w:szCs w:val="24"/>
        </w:rPr>
        <w:t>~10</w:t>
      </w:r>
      <w:r w:rsidRPr="00AA73F4">
        <w:rPr>
          <w:rFonts w:ascii="Times New Roman" w:hAnsi="Times New Roman"/>
          <w:sz w:val="24"/>
          <w:szCs w:val="24"/>
          <w:vertAlign w:val="superscript"/>
        </w:rPr>
        <w:t xml:space="preserve">-4 </w:t>
      </w:r>
      <w:r w:rsidRPr="00AA73F4">
        <w:rPr>
          <w:rFonts w:ascii="Times New Roman" w:hAnsi="Times New Roman"/>
          <w:sz w:val="24"/>
          <w:szCs w:val="24"/>
        </w:rPr>
        <w:t>mg/</w:t>
      </w:r>
      <w:proofErr w:type="spellStart"/>
      <w:r w:rsidRPr="00AA73F4">
        <w:rPr>
          <w:rFonts w:ascii="Times New Roman" w:hAnsi="Times New Roman"/>
          <w:sz w:val="24"/>
          <w:szCs w:val="24"/>
        </w:rPr>
        <w:t>mL</w:t>
      </w:r>
      <w:proofErr w:type="spellEnd"/>
      <w:r>
        <w:rPr>
          <w:rFonts w:hint="eastAsia"/>
          <w:sz w:val="24"/>
          <w:szCs w:val="24"/>
        </w:rPr>
        <w:t>浓度范围，</w:t>
      </w:r>
      <w:r>
        <w:rPr>
          <w:rFonts w:ascii="Times New Roman" w:eastAsiaTheme="minorEastAsia" w:hAnsiTheme="minorEastAsia" w:hint="eastAsia"/>
          <w:sz w:val="24"/>
          <w:szCs w:val="24"/>
        </w:rPr>
        <w:t>诱导产生的</w:t>
      </w:r>
      <w:r>
        <w:rPr>
          <w:rFonts w:ascii="Times New Roman" w:eastAsiaTheme="minorEastAsia" w:hAnsiTheme="minorEastAsia" w:hint="eastAsia"/>
          <w:sz w:val="24"/>
          <w:szCs w:val="24"/>
        </w:rPr>
        <w:t>GUS</w:t>
      </w:r>
      <w:r>
        <w:rPr>
          <w:rFonts w:ascii="Times New Roman" w:eastAsiaTheme="minorEastAsia" w:hAnsiTheme="minorEastAsia" w:hint="eastAsia"/>
          <w:sz w:val="24"/>
          <w:szCs w:val="24"/>
        </w:rPr>
        <w:t>蛋白量与激素浓度存在显著的线性关系，而</w:t>
      </w:r>
      <w:r w:rsidRPr="00AA73F4">
        <w:rPr>
          <w:rFonts w:ascii="Times New Roman" w:eastAsiaTheme="minorEastAsia" w:hAnsiTheme="minorEastAsia"/>
          <w:sz w:val="24"/>
          <w:szCs w:val="24"/>
        </w:rPr>
        <w:t>小于该浓度范围作用不明显，大于该浓度范围则浓度越高反而不利（见图</w:t>
      </w:r>
      <w:r>
        <w:rPr>
          <w:rFonts w:ascii="Times New Roman" w:eastAsiaTheme="minorEastAsia" w:hAnsi="Times New Roman"/>
          <w:sz w:val="24"/>
          <w:szCs w:val="24"/>
        </w:rPr>
        <w:t>2</w:t>
      </w:r>
      <w:r>
        <w:rPr>
          <w:rFonts w:ascii="Times New Roman" w:eastAsiaTheme="minorEastAsia" w:hAnsi="Times New Roman" w:hint="eastAsia"/>
          <w:sz w:val="24"/>
          <w:szCs w:val="24"/>
        </w:rPr>
        <w:t>~4</w:t>
      </w:r>
      <w:r w:rsidRPr="00AA73F4">
        <w:rPr>
          <w:rFonts w:ascii="Times New Roman" w:eastAsiaTheme="minorEastAsia" w:hAnsiTheme="minorEastAsia"/>
          <w:sz w:val="24"/>
          <w:szCs w:val="24"/>
        </w:rPr>
        <w:t>），因此我们需要多个梯度的试样进行观测，以排除高浓度的干扰。因此建议试验样品进行</w:t>
      </w:r>
      <w:r w:rsidRPr="00AA73F4">
        <w:rPr>
          <w:rFonts w:ascii="Times New Roman" w:eastAsiaTheme="minorEastAsia" w:hAnsi="Times New Roman"/>
          <w:sz w:val="24"/>
          <w:szCs w:val="24"/>
        </w:rPr>
        <w:t>10</w:t>
      </w:r>
      <w:r w:rsidRPr="00AA73F4">
        <w:rPr>
          <w:rFonts w:ascii="Times New Roman" w:eastAsiaTheme="minorEastAsia" w:hAnsiTheme="minorEastAsia"/>
          <w:sz w:val="24"/>
          <w:szCs w:val="24"/>
        </w:rPr>
        <w:t>倍梯度稀释，并至少取</w:t>
      </w:r>
      <w:r w:rsidRPr="00AA73F4">
        <w:rPr>
          <w:rFonts w:ascii="Times New Roman" w:eastAsiaTheme="minorEastAsia" w:hAnsi="Times New Roman"/>
          <w:sz w:val="24"/>
          <w:szCs w:val="24"/>
        </w:rPr>
        <w:t>3</w:t>
      </w:r>
      <w:r w:rsidRPr="00AA73F4">
        <w:rPr>
          <w:rFonts w:ascii="Times New Roman" w:eastAsiaTheme="minorEastAsia" w:hAnsiTheme="minorEastAsia"/>
          <w:sz w:val="24"/>
          <w:szCs w:val="24"/>
        </w:rPr>
        <w:t>个稀释浓度以便观察数据变化趋势，保证至少有一个试样浓度在线性作用范围内。</w:t>
      </w:r>
    </w:p>
    <w:p w:rsidR="00172548" w:rsidRPr="002350B0" w:rsidRDefault="00172548" w:rsidP="00172548">
      <w:pPr>
        <w:snapToGrid w:val="0"/>
        <w:rPr>
          <w:b/>
          <w:sz w:val="24"/>
          <w:szCs w:val="24"/>
        </w:rPr>
      </w:pPr>
      <w:r w:rsidRPr="002350B0">
        <w:rPr>
          <w:sz w:val="24"/>
          <w:szCs w:val="24"/>
        </w:rPr>
        <w:t>六、</w:t>
      </w:r>
      <w:r w:rsidRPr="002350B0">
        <w:rPr>
          <w:b/>
          <w:sz w:val="24"/>
          <w:szCs w:val="24"/>
        </w:rPr>
        <w:t>验证情况及结果分析</w:t>
      </w:r>
    </w:p>
    <w:p w:rsidR="00172548" w:rsidRPr="002350B0" w:rsidRDefault="00172548" w:rsidP="00172548">
      <w:pPr>
        <w:snapToGrid w:val="0"/>
        <w:ind w:firstLineChars="200" w:firstLine="480"/>
        <w:rPr>
          <w:color w:val="000000"/>
          <w:sz w:val="24"/>
          <w:szCs w:val="24"/>
        </w:rPr>
      </w:pPr>
      <w:r w:rsidRPr="002350B0">
        <w:rPr>
          <w:color w:val="000000"/>
          <w:sz w:val="24"/>
          <w:szCs w:val="24"/>
        </w:rPr>
        <w:t>三种激素活性测定的标准物线性浓度范围见下表</w:t>
      </w:r>
      <w:r w:rsidRPr="002350B0">
        <w:rPr>
          <w:color w:val="000000"/>
          <w:sz w:val="24"/>
          <w:szCs w:val="24"/>
        </w:rPr>
        <w:t>3</w:t>
      </w:r>
    </w:p>
    <w:p w:rsidR="00172548" w:rsidRPr="002350B0" w:rsidRDefault="00172548" w:rsidP="00172548">
      <w:pPr>
        <w:snapToGrid w:val="0"/>
        <w:ind w:firstLineChars="400" w:firstLine="960"/>
        <w:jc w:val="center"/>
        <w:rPr>
          <w:sz w:val="24"/>
          <w:szCs w:val="24"/>
        </w:rPr>
      </w:pPr>
      <w:r w:rsidRPr="002350B0">
        <w:rPr>
          <w:sz w:val="24"/>
          <w:szCs w:val="24"/>
        </w:rPr>
        <w:t>表</w:t>
      </w:r>
      <w:r w:rsidRPr="002350B0">
        <w:rPr>
          <w:sz w:val="24"/>
          <w:szCs w:val="24"/>
        </w:rPr>
        <w:t xml:space="preserve">3 </w:t>
      </w:r>
      <w:r w:rsidRPr="002350B0">
        <w:rPr>
          <w:sz w:val="24"/>
          <w:szCs w:val="24"/>
        </w:rPr>
        <w:t>测定方法中所用标准物的线性浓度范围</w:t>
      </w:r>
    </w:p>
    <w:tbl>
      <w:tblPr>
        <w:tblW w:w="7479" w:type="dxa"/>
        <w:jc w:val="center"/>
        <w:tblBorders>
          <w:top w:val="single" w:sz="4" w:space="0" w:color="auto"/>
          <w:bottom w:val="single" w:sz="4" w:space="0" w:color="auto"/>
        </w:tblBorders>
        <w:tblLayout w:type="fixed"/>
        <w:tblLook w:val="0000"/>
      </w:tblPr>
      <w:tblGrid>
        <w:gridCol w:w="2324"/>
        <w:gridCol w:w="2324"/>
        <w:gridCol w:w="2831"/>
      </w:tblGrid>
      <w:tr w:rsidR="00172548" w:rsidRPr="002350B0" w:rsidTr="00173C38">
        <w:trPr>
          <w:jc w:val="center"/>
        </w:trPr>
        <w:tc>
          <w:tcPr>
            <w:tcW w:w="2324" w:type="dxa"/>
            <w:tcBorders>
              <w:top w:val="single" w:sz="4" w:space="0" w:color="auto"/>
              <w:bottom w:val="single" w:sz="4" w:space="0" w:color="auto"/>
            </w:tcBorders>
            <w:vAlign w:val="center"/>
          </w:tcPr>
          <w:p w:rsidR="00172548" w:rsidRPr="002350B0" w:rsidRDefault="00172548" w:rsidP="00173C38">
            <w:pPr>
              <w:snapToGrid w:val="0"/>
              <w:jc w:val="center"/>
              <w:rPr>
                <w:sz w:val="24"/>
                <w:szCs w:val="24"/>
              </w:rPr>
            </w:pPr>
            <w:r w:rsidRPr="002350B0">
              <w:rPr>
                <w:sz w:val="24"/>
                <w:szCs w:val="24"/>
              </w:rPr>
              <w:t>序号</w:t>
            </w:r>
          </w:p>
        </w:tc>
        <w:tc>
          <w:tcPr>
            <w:tcW w:w="2324" w:type="dxa"/>
            <w:tcBorders>
              <w:top w:val="single" w:sz="4" w:space="0" w:color="auto"/>
              <w:bottom w:val="single" w:sz="4" w:space="0" w:color="auto"/>
            </w:tcBorders>
            <w:vAlign w:val="center"/>
          </w:tcPr>
          <w:p w:rsidR="00172548" w:rsidRPr="002350B0" w:rsidRDefault="00172548" w:rsidP="00173C38">
            <w:pPr>
              <w:snapToGrid w:val="0"/>
              <w:jc w:val="center"/>
              <w:rPr>
                <w:sz w:val="24"/>
                <w:szCs w:val="24"/>
              </w:rPr>
            </w:pPr>
            <w:r w:rsidRPr="002350B0">
              <w:rPr>
                <w:sz w:val="24"/>
                <w:szCs w:val="24"/>
              </w:rPr>
              <w:t>激素</w:t>
            </w:r>
          </w:p>
        </w:tc>
        <w:tc>
          <w:tcPr>
            <w:tcW w:w="2831" w:type="dxa"/>
            <w:tcBorders>
              <w:top w:val="single" w:sz="4" w:space="0" w:color="auto"/>
              <w:bottom w:val="single" w:sz="4" w:space="0" w:color="auto"/>
              <w:right w:val="single" w:sz="4" w:space="0" w:color="FFFFFF" w:themeColor="background1"/>
            </w:tcBorders>
            <w:vAlign w:val="center"/>
          </w:tcPr>
          <w:p w:rsidR="00172548" w:rsidRPr="002350B0" w:rsidRDefault="00172548" w:rsidP="00173C38">
            <w:pPr>
              <w:snapToGrid w:val="0"/>
              <w:jc w:val="center"/>
              <w:rPr>
                <w:sz w:val="24"/>
                <w:szCs w:val="24"/>
              </w:rPr>
            </w:pPr>
            <w:r w:rsidRPr="002350B0">
              <w:rPr>
                <w:sz w:val="24"/>
                <w:szCs w:val="24"/>
              </w:rPr>
              <w:t>可检测范围</w:t>
            </w:r>
          </w:p>
        </w:tc>
      </w:tr>
      <w:tr w:rsidR="00172548" w:rsidRPr="002350B0" w:rsidTr="00173C38">
        <w:trPr>
          <w:jc w:val="center"/>
        </w:trPr>
        <w:tc>
          <w:tcPr>
            <w:tcW w:w="2324" w:type="dxa"/>
            <w:tcBorders>
              <w:top w:val="single" w:sz="4" w:space="0" w:color="auto"/>
            </w:tcBorders>
            <w:vAlign w:val="center"/>
          </w:tcPr>
          <w:p w:rsidR="00172548" w:rsidRPr="002350B0" w:rsidRDefault="00172548" w:rsidP="00173C38">
            <w:pPr>
              <w:snapToGrid w:val="0"/>
              <w:jc w:val="center"/>
              <w:rPr>
                <w:sz w:val="24"/>
                <w:szCs w:val="24"/>
              </w:rPr>
            </w:pPr>
            <w:r w:rsidRPr="002350B0">
              <w:rPr>
                <w:sz w:val="24"/>
                <w:szCs w:val="24"/>
              </w:rPr>
              <w:t>1</w:t>
            </w:r>
          </w:p>
        </w:tc>
        <w:tc>
          <w:tcPr>
            <w:tcW w:w="2324" w:type="dxa"/>
            <w:tcBorders>
              <w:top w:val="single" w:sz="4" w:space="0" w:color="auto"/>
            </w:tcBorders>
            <w:vAlign w:val="center"/>
          </w:tcPr>
          <w:p w:rsidR="00172548" w:rsidRPr="002350B0" w:rsidRDefault="00172548" w:rsidP="00173C38">
            <w:pPr>
              <w:snapToGrid w:val="0"/>
              <w:jc w:val="center"/>
              <w:rPr>
                <w:sz w:val="24"/>
                <w:szCs w:val="24"/>
              </w:rPr>
            </w:pPr>
            <w:r w:rsidRPr="002350B0">
              <w:rPr>
                <w:sz w:val="24"/>
                <w:szCs w:val="24"/>
              </w:rPr>
              <w:t>生长素</w:t>
            </w:r>
          </w:p>
        </w:tc>
        <w:tc>
          <w:tcPr>
            <w:tcW w:w="2831" w:type="dxa"/>
            <w:tcBorders>
              <w:top w:val="single" w:sz="4" w:space="0" w:color="auto"/>
              <w:right w:val="single" w:sz="4" w:space="0" w:color="FFFFFF" w:themeColor="background1"/>
            </w:tcBorders>
            <w:vAlign w:val="center"/>
          </w:tcPr>
          <w:p w:rsidR="00172548" w:rsidRPr="002350B0" w:rsidRDefault="00172548" w:rsidP="00173C38">
            <w:pPr>
              <w:snapToGrid w:val="0"/>
              <w:jc w:val="center"/>
              <w:rPr>
                <w:sz w:val="24"/>
                <w:szCs w:val="24"/>
              </w:rPr>
            </w:pPr>
            <w:r w:rsidRPr="002350B0">
              <w:rPr>
                <w:sz w:val="24"/>
                <w:szCs w:val="24"/>
              </w:rPr>
              <w:t>10</w:t>
            </w:r>
            <w:r w:rsidRPr="002350B0">
              <w:rPr>
                <w:sz w:val="24"/>
                <w:szCs w:val="24"/>
                <w:vertAlign w:val="superscript"/>
              </w:rPr>
              <w:t>-6</w:t>
            </w:r>
            <w:r w:rsidRPr="002350B0">
              <w:rPr>
                <w:sz w:val="24"/>
                <w:szCs w:val="24"/>
              </w:rPr>
              <w:t>~10</w:t>
            </w:r>
            <w:r w:rsidRPr="002350B0">
              <w:rPr>
                <w:sz w:val="24"/>
                <w:szCs w:val="24"/>
                <w:vertAlign w:val="superscript"/>
              </w:rPr>
              <w:t xml:space="preserve">-4 </w:t>
            </w:r>
            <w:r w:rsidRPr="002350B0">
              <w:rPr>
                <w:sz w:val="24"/>
                <w:szCs w:val="24"/>
              </w:rPr>
              <w:t>mg/</w:t>
            </w:r>
            <w:proofErr w:type="spellStart"/>
            <w:r w:rsidRPr="002350B0">
              <w:rPr>
                <w:sz w:val="24"/>
                <w:szCs w:val="24"/>
              </w:rPr>
              <w:t>mL</w:t>
            </w:r>
            <w:proofErr w:type="spellEnd"/>
          </w:p>
        </w:tc>
      </w:tr>
      <w:tr w:rsidR="00172548" w:rsidRPr="002350B0" w:rsidTr="00173C38">
        <w:trPr>
          <w:jc w:val="center"/>
        </w:trPr>
        <w:tc>
          <w:tcPr>
            <w:tcW w:w="2324" w:type="dxa"/>
            <w:vAlign w:val="center"/>
          </w:tcPr>
          <w:p w:rsidR="00172548" w:rsidRPr="002350B0" w:rsidRDefault="00172548" w:rsidP="00173C38">
            <w:pPr>
              <w:snapToGrid w:val="0"/>
              <w:jc w:val="center"/>
              <w:rPr>
                <w:sz w:val="24"/>
                <w:szCs w:val="24"/>
              </w:rPr>
            </w:pPr>
            <w:r w:rsidRPr="002350B0">
              <w:rPr>
                <w:sz w:val="24"/>
                <w:szCs w:val="24"/>
              </w:rPr>
              <w:t>2</w:t>
            </w:r>
          </w:p>
        </w:tc>
        <w:tc>
          <w:tcPr>
            <w:tcW w:w="2324" w:type="dxa"/>
            <w:vAlign w:val="center"/>
          </w:tcPr>
          <w:p w:rsidR="00172548" w:rsidRPr="002350B0" w:rsidRDefault="00172548" w:rsidP="00173C38">
            <w:pPr>
              <w:snapToGrid w:val="0"/>
              <w:jc w:val="center"/>
              <w:rPr>
                <w:sz w:val="24"/>
                <w:szCs w:val="24"/>
              </w:rPr>
            </w:pPr>
            <w:r w:rsidRPr="002350B0">
              <w:rPr>
                <w:sz w:val="24"/>
                <w:szCs w:val="24"/>
              </w:rPr>
              <w:t>细胞分裂素</w:t>
            </w:r>
          </w:p>
        </w:tc>
        <w:tc>
          <w:tcPr>
            <w:tcW w:w="2831" w:type="dxa"/>
            <w:tcBorders>
              <w:right w:val="single" w:sz="4" w:space="0" w:color="FFFFFF" w:themeColor="background1"/>
            </w:tcBorders>
            <w:vAlign w:val="center"/>
          </w:tcPr>
          <w:p w:rsidR="00172548" w:rsidRPr="002350B0" w:rsidRDefault="00172548" w:rsidP="00173C38">
            <w:pPr>
              <w:snapToGrid w:val="0"/>
              <w:jc w:val="center"/>
              <w:rPr>
                <w:sz w:val="24"/>
                <w:szCs w:val="24"/>
              </w:rPr>
            </w:pPr>
            <w:r w:rsidRPr="002350B0">
              <w:rPr>
                <w:sz w:val="24"/>
                <w:szCs w:val="24"/>
              </w:rPr>
              <w:t>10</w:t>
            </w:r>
            <w:r w:rsidRPr="002350B0">
              <w:rPr>
                <w:sz w:val="24"/>
                <w:szCs w:val="24"/>
                <w:vertAlign w:val="superscript"/>
              </w:rPr>
              <w:t>-5</w:t>
            </w:r>
            <w:r w:rsidRPr="002350B0">
              <w:rPr>
                <w:sz w:val="24"/>
                <w:szCs w:val="24"/>
              </w:rPr>
              <w:t>~10</w:t>
            </w:r>
            <w:r w:rsidRPr="002350B0">
              <w:rPr>
                <w:sz w:val="24"/>
                <w:szCs w:val="24"/>
                <w:vertAlign w:val="superscript"/>
              </w:rPr>
              <w:t xml:space="preserve">-3 </w:t>
            </w:r>
            <w:r w:rsidRPr="002350B0">
              <w:rPr>
                <w:sz w:val="24"/>
                <w:szCs w:val="24"/>
              </w:rPr>
              <w:t>mg/</w:t>
            </w:r>
            <w:proofErr w:type="spellStart"/>
            <w:r w:rsidRPr="002350B0">
              <w:rPr>
                <w:sz w:val="24"/>
                <w:szCs w:val="24"/>
              </w:rPr>
              <w:t>mL</w:t>
            </w:r>
            <w:proofErr w:type="spellEnd"/>
          </w:p>
        </w:tc>
      </w:tr>
      <w:tr w:rsidR="00172548" w:rsidRPr="002350B0" w:rsidTr="00173C38">
        <w:trPr>
          <w:jc w:val="center"/>
        </w:trPr>
        <w:tc>
          <w:tcPr>
            <w:tcW w:w="2324" w:type="dxa"/>
            <w:vAlign w:val="center"/>
          </w:tcPr>
          <w:p w:rsidR="00172548" w:rsidRPr="002350B0" w:rsidRDefault="00172548" w:rsidP="00173C38">
            <w:pPr>
              <w:snapToGrid w:val="0"/>
              <w:jc w:val="center"/>
              <w:rPr>
                <w:sz w:val="24"/>
                <w:szCs w:val="24"/>
              </w:rPr>
            </w:pPr>
            <w:r w:rsidRPr="002350B0">
              <w:rPr>
                <w:sz w:val="24"/>
                <w:szCs w:val="24"/>
              </w:rPr>
              <w:t>3</w:t>
            </w:r>
          </w:p>
        </w:tc>
        <w:tc>
          <w:tcPr>
            <w:tcW w:w="2324" w:type="dxa"/>
            <w:vAlign w:val="center"/>
          </w:tcPr>
          <w:p w:rsidR="00172548" w:rsidRPr="002350B0" w:rsidRDefault="00172548" w:rsidP="00173C38">
            <w:pPr>
              <w:snapToGrid w:val="0"/>
              <w:jc w:val="center"/>
              <w:rPr>
                <w:sz w:val="24"/>
                <w:szCs w:val="24"/>
              </w:rPr>
            </w:pPr>
            <w:r w:rsidRPr="002350B0">
              <w:rPr>
                <w:sz w:val="24"/>
                <w:szCs w:val="24"/>
              </w:rPr>
              <w:t>赤霉素</w:t>
            </w:r>
          </w:p>
        </w:tc>
        <w:tc>
          <w:tcPr>
            <w:tcW w:w="2831" w:type="dxa"/>
            <w:tcBorders>
              <w:right w:val="single" w:sz="4" w:space="0" w:color="FFFFFF" w:themeColor="background1"/>
            </w:tcBorders>
            <w:vAlign w:val="center"/>
          </w:tcPr>
          <w:p w:rsidR="00172548" w:rsidRPr="002350B0" w:rsidRDefault="00172548" w:rsidP="00D44590">
            <w:pPr>
              <w:snapToGrid w:val="0"/>
              <w:jc w:val="center"/>
              <w:rPr>
                <w:sz w:val="24"/>
                <w:szCs w:val="24"/>
              </w:rPr>
            </w:pPr>
            <w:r w:rsidRPr="002350B0">
              <w:rPr>
                <w:sz w:val="24"/>
                <w:szCs w:val="24"/>
              </w:rPr>
              <w:t>10</w:t>
            </w:r>
            <w:r w:rsidRPr="002350B0">
              <w:rPr>
                <w:sz w:val="24"/>
                <w:szCs w:val="24"/>
                <w:vertAlign w:val="superscript"/>
              </w:rPr>
              <w:t>-</w:t>
            </w:r>
            <w:r w:rsidR="00D44590">
              <w:rPr>
                <w:rFonts w:hint="eastAsia"/>
                <w:sz w:val="24"/>
                <w:szCs w:val="24"/>
                <w:vertAlign w:val="superscript"/>
              </w:rPr>
              <w:t>6</w:t>
            </w:r>
            <w:r w:rsidRPr="002350B0">
              <w:rPr>
                <w:sz w:val="24"/>
                <w:szCs w:val="24"/>
              </w:rPr>
              <w:t>~10</w:t>
            </w:r>
            <w:r w:rsidRPr="002350B0">
              <w:rPr>
                <w:sz w:val="24"/>
                <w:szCs w:val="24"/>
                <w:vertAlign w:val="superscript"/>
              </w:rPr>
              <w:t>-</w:t>
            </w:r>
            <w:r w:rsidR="00D44590">
              <w:rPr>
                <w:rFonts w:hint="eastAsia"/>
                <w:sz w:val="24"/>
                <w:szCs w:val="24"/>
                <w:vertAlign w:val="superscript"/>
              </w:rPr>
              <w:t>4</w:t>
            </w:r>
            <w:r w:rsidRPr="002350B0">
              <w:rPr>
                <w:sz w:val="24"/>
                <w:szCs w:val="24"/>
                <w:vertAlign w:val="superscript"/>
              </w:rPr>
              <w:t xml:space="preserve"> </w:t>
            </w:r>
            <w:r w:rsidRPr="002350B0">
              <w:rPr>
                <w:sz w:val="24"/>
                <w:szCs w:val="24"/>
              </w:rPr>
              <w:t>mg/</w:t>
            </w:r>
            <w:proofErr w:type="spellStart"/>
            <w:r w:rsidRPr="002350B0">
              <w:rPr>
                <w:sz w:val="24"/>
                <w:szCs w:val="24"/>
              </w:rPr>
              <w:t>mL</w:t>
            </w:r>
            <w:proofErr w:type="spellEnd"/>
          </w:p>
        </w:tc>
      </w:tr>
    </w:tbl>
    <w:p w:rsidR="00172548" w:rsidRPr="002350B0" w:rsidRDefault="00172548" w:rsidP="00172548">
      <w:pPr>
        <w:snapToGrid w:val="0"/>
        <w:ind w:firstLineChars="200" w:firstLine="480"/>
        <w:jc w:val="left"/>
        <w:rPr>
          <w:sz w:val="24"/>
          <w:szCs w:val="24"/>
        </w:rPr>
      </w:pPr>
      <w:r w:rsidRPr="002350B0">
        <w:rPr>
          <w:sz w:val="24"/>
          <w:szCs w:val="24"/>
        </w:rPr>
        <w:t>为了验证方法的重复性，每种激素选择了一种产品（生产厂家为四川润尔科技有限公司）</w:t>
      </w:r>
      <w:r w:rsidRPr="002350B0">
        <w:rPr>
          <w:sz w:val="24"/>
        </w:rPr>
        <w:t>分别委托杭州师范大学、浙江理工大学、浙江工商大学三家单位进行了验证，结果如下：</w:t>
      </w:r>
    </w:p>
    <w:p w:rsidR="00172548" w:rsidRPr="002350B0" w:rsidRDefault="00172548" w:rsidP="00172548">
      <w:pPr>
        <w:tabs>
          <w:tab w:val="left" w:pos="2445"/>
        </w:tabs>
        <w:ind w:firstLineChars="200" w:firstLine="480"/>
        <w:jc w:val="center"/>
        <w:rPr>
          <w:szCs w:val="21"/>
        </w:rPr>
      </w:pPr>
      <w:r w:rsidRPr="002350B0">
        <w:rPr>
          <w:sz w:val="24"/>
          <w:szCs w:val="24"/>
        </w:rPr>
        <w:t xml:space="preserve">   </w:t>
      </w:r>
      <w:r w:rsidRPr="002350B0">
        <w:rPr>
          <w:szCs w:val="21"/>
        </w:rPr>
        <w:t>表</w:t>
      </w:r>
      <w:r w:rsidRPr="002350B0">
        <w:rPr>
          <w:szCs w:val="21"/>
        </w:rPr>
        <w:t>4</w:t>
      </w:r>
      <w:r w:rsidRPr="002350B0">
        <w:rPr>
          <w:szCs w:val="21"/>
        </w:rPr>
        <w:t>对氯苯氧乙酸钠（可溶性粉剂）的生长素活性测定结果</w:t>
      </w:r>
    </w:p>
    <w:tbl>
      <w:tblPr>
        <w:tblStyle w:val="af"/>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2093"/>
        <w:gridCol w:w="1559"/>
        <w:gridCol w:w="1562"/>
        <w:gridCol w:w="1654"/>
        <w:gridCol w:w="1654"/>
      </w:tblGrid>
      <w:tr w:rsidR="00172548" w:rsidRPr="002350B0" w:rsidTr="00173C38">
        <w:tc>
          <w:tcPr>
            <w:tcW w:w="2093"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委托单位</w:t>
            </w:r>
          </w:p>
        </w:tc>
        <w:tc>
          <w:tcPr>
            <w:tcW w:w="1559"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杭州师范大学</w:t>
            </w:r>
          </w:p>
        </w:tc>
        <w:tc>
          <w:tcPr>
            <w:tcW w:w="1562"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浙江理工大学</w:t>
            </w:r>
          </w:p>
        </w:tc>
        <w:tc>
          <w:tcPr>
            <w:tcW w:w="1654"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浙江工商大学</w:t>
            </w:r>
          </w:p>
        </w:tc>
        <w:tc>
          <w:tcPr>
            <w:tcW w:w="1654"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标准研制单位</w:t>
            </w:r>
          </w:p>
        </w:tc>
      </w:tr>
      <w:tr w:rsidR="00172548" w:rsidRPr="002350B0" w:rsidTr="00173C38">
        <w:trPr>
          <w:trHeight w:val="1030"/>
        </w:trPr>
        <w:tc>
          <w:tcPr>
            <w:tcW w:w="2093" w:type="dxa"/>
            <w:vMerge w:val="restart"/>
            <w:tcBorders>
              <w:top w:val="single" w:sz="4" w:space="0" w:color="auto"/>
            </w:tcBorders>
            <w:vAlign w:val="center"/>
          </w:tcPr>
          <w:p w:rsidR="00172548" w:rsidRPr="002350B0" w:rsidRDefault="00172548" w:rsidP="00173C38">
            <w:pPr>
              <w:jc w:val="center"/>
              <w:rPr>
                <w:szCs w:val="21"/>
                <w:vertAlign w:val="subscript"/>
              </w:rPr>
            </w:pPr>
            <w:r w:rsidRPr="002350B0">
              <w:rPr>
                <w:szCs w:val="21"/>
              </w:rPr>
              <w:t>生长素活性</w:t>
            </w:r>
          </w:p>
          <w:p w:rsidR="00172548" w:rsidRPr="002350B0" w:rsidRDefault="00172548" w:rsidP="00173C38">
            <w:pPr>
              <w:jc w:val="center"/>
              <w:rPr>
                <w:szCs w:val="21"/>
              </w:rPr>
            </w:pPr>
            <w:r w:rsidRPr="002350B0">
              <w:rPr>
                <w:szCs w:val="21"/>
              </w:rPr>
              <w:t>（单位：</w:t>
            </w:r>
            <w:r w:rsidRPr="002350B0">
              <w:rPr>
                <w:szCs w:val="21"/>
              </w:rPr>
              <w:t>E</w:t>
            </w:r>
            <w:r w:rsidRPr="002350B0">
              <w:rPr>
                <w:szCs w:val="21"/>
              </w:rPr>
              <w:t>）</w:t>
            </w:r>
          </w:p>
        </w:tc>
        <w:tc>
          <w:tcPr>
            <w:tcW w:w="1559" w:type="dxa"/>
            <w:tcBorders>
              <w:top w:val="single" w:sz="4" w:space="0" w:color="auto"/>
            </w:tcBorders>
          </w:tcPr>
          <w:p w:rsidR="00172548" w:rsidRPr="002350B0" w:rsidRDefault="00172548" w:rsidP="00173C38">
            <w:pPr>
              <w:jc w:val="center"/>
              <w:rPr>
                <w:szCs w:val="21"/>
              </w:rPr>
            </w:pPr>
            <w:r w:rsidRPr="002350B0">
              <w:rPr>
                <w:szCs w:val="21"/>
              </w:rPr>
              <w:t>0.13</w:t>
            </w:r>
            <w:r w:rsidR="002603ED">
              <w:rPr>
                <w:rFonts w:hint="eastAsia"/>
                <w:szCs w:val="21"/>
              </w:rPr>
              <w:t>6</w:t>
            </w:r>
          </w:p>
          <w:p w:rsidR="00172548" w:rsidRPr="002350B0" w:rsidRDefault="00172548" w:rsidP="002603ED">
            <w:pPr>
              <w:jc w:val="center"/>
              <w:rPr>
                <w:szCs w:val="21"/>
              </w:rPr>
            </w:pPr>
            <w:r w:rsidRPr="002350B0">
              <w:rPr>
                <w:szCs w:val="21"/>
              </w:rPr>
              <w:t>0.1</w:t>
            </w:r>
            <w:r w:rsidR="002603ED">
              <w:rPr>
                <w:rFonts w:hint="eastAsia"/>
                <w:szCs w:val="21"/>
              </w:rPr>
              <w:t>32</w:t>
            </w:r>
          </w:p>
        </w:tc>
        <w:tc>
          <w:tcPr>
            <w:tcW w:w="1562" w:type="dxa"/>
            <w:tcBorders>
              <w:top w:val="single" w:sz="4" w:space="0" w:color="auto"/>
            </w:tcBorders>
          </w:tcPr>
          <w:p w:rsidR="00172548" w:rsidRPr="002350B0" w:rsidRDefault="00172548" w:rsidP="00173C38">
            <w:pPr>
              <w:jc w:val="center"/>
              <w:rPr>
                <w:szCs w:val="21"/>
              </w:rPr>
            </w:pPr>
            <w:r w:rsidRPr="002350B0">
              <w:rPr>
                <w:szCs w:val="21"/>
              </w:rPr>
              <w:t>0.1</w:t>
            </w:r>
            <w:r w:rsidR="002603ED">
              <w:rPr>
                <w:rFonts w:hint="eastAsia"/>
                <w:szCs w:val="21"/>
              </w:rPr>
              <w:t>40</w:t>
            </w:r>
          </w:p>
          <w:p w:rsidR="00172548" w:rsidRPr="002350B0" w:rsidRDefault="00172548" w:rsidP="002603ED">
            <w:pPr>
              <w:jc w:val="center"/>
              <w:rPr>
                <w:szCs w:val="21"/>
              </w:rPr>
            </w:pPr>
            <w:r w:rsidRPr="002350B0">
              <w:rPr>
                <w:szCs w:val="21"/>
              </w:rPr>
              <w:t>0.1</w:t>
            </w:r>
            <w:r w:rsidR="002603ED">
              <w:rPr>
                <w:rFonts w:hint="eastAsia"/>
                <w:szCs w:val="21"/>
              </w:rPr>
              <w:t>43</w:t>
            </w:r>
          </w:p>
        </w:tc>
        <w:tc>
          <w:tcPr>
            <w:tcW w:w="1654" w:type="dxa"/>
            <w:tcBorders>
              <w:top w:val="single" w:sz="4" w:space="0" w:color="auto"/>
            </w:tcBorders>
          </w:tcPr>
          <w:p w:rsidR="00172548" w:rsidRPr="002350B0" w:rsidRDefault="00172548" w:rsidP="00173C38">
            <w:pPr>
              <w:jc w:val="center"/>
              <w:rPr>
                <w:szCs w:val="21"/>
              </w:rPr>
            </w:pPr>
            <w:r w:rsidRPr="002350B0">
              <w:rPr>
                <w:szCs w:val="21"/>
              </w:rPr>
              <w:t>0.1</w:t>
            </w:r>
            <w:r w:rsidR="002603ED">
              <w:rPr>
                <w:rFonts w:hint="eastAsia"/>
                <w:szCs w:val="21"/>
              </w:rPr>
              <w:t>39</w:t>
            </w:r>
          </w:p>
          <w:p w:rsidR="00172548" w:rsidRPr="002350B0" w:rsidRDefault="00172548" w:rsidP="002603ED">
            <w:pPr>
              <w:jc w:val="center"/>
              <w:rPr>
                <w:szCs w:val="21"/>
              </w:rPr>
            </w:pPr>
            <w:r w:rsidRPr="002350B0">
              <w:rPr>
                <w:szCs w:val="21"/>
              </w:rPr>
              <w:t>0.1</w:t>
            </w:r>
            <w:r w:rsidR="002603ED">
              <w:rPr>
                <w:rFonts w:hint="eastAsia"/>
                <w:szCs w:val="21"/>
              </w:rPr>
              <w:t>36</w:t>
            </w:r>
          </w:p>
        </w:tc>
        <w:tc>
          <w:tcPr>
            <w:tcW w:w="1654" w:type="dxa"/>
            <w:tcBorders>
              <w:top w:val="single" w:sz="4" w:space="0" w:color="auto"/>
            </w:tcBorders>
          </w:tcPr>
          <w:p w:rsidR="00172548" w:rsidRPr="002350B0" w:rsidRDefault="00172548" w:rsidP="00173C38">
            <w:pPr>
              <w:jc w:val="center"/>
              <w:rPr>
                <w:szCs w:val="21"/>
              </w:rPr>
            </w:pPr>
            <w:r w:rsidRPr="002350B0">
              <w:rPr>
                <w:szCs w:val="21"/>
              </w:rPr>
              <w:t>0.14</w:t>
            </w:r>
            <w:r w:rsidR="002603ED">
              <w:rPr>
                <w:rFonts w:hint="eastAsia"/>
                <w:szCs w:val="21"/>
              </w:rPr>
              <w:t>1</w:t>
            </w:r>
          </w:p>
          <w:p w:rsidR="00172548" w:rsidRPr="002350B0" w:rsidRDefault="00172548" w:rsidP="002603ED">
            <w:pPr>
              <w:jc w:val="center"/>
              <w:rPr>
                <w:szCs w:val="21"/>
              </w:rPr>
            </w:pPr>
            <w:r w:rsidRPr="002350B0">
              <w:rPr>
                <w:szCs w:val="21"/>
              </w:rPr>
              <w:t>0.1</w:t>
            </w:r>
            <w:r w:rsidR="002603ED">
              <w:rPr>
                <w:rFonts w:hint="eastAsia"/>
                <w:szCs w:val="21"/>
              </w:rPr>
              <w:t>46</w:t>
            </w:r>
          </w:p>
        </w:tc>
      </w:tr>
      <w:tr w:rsidR="00172548" w:rsidRPr="002350B0" w:rsidTr="00173C38">
        <w:trPr>
          <w:trHeight w:val="420"/>
        </w:trPr>
        <w:tc>
          <w:tcPr>
            <w:tcW w:w="2093" w:type="dxa"/>
            <w:vMerge/>
          </w:tcPr>
          <w:p w:rsidR="00172548" w:rsidRPr="002350B0" w:rsidRDefault="00172548" w:rsidP="00173C38">
            <w:pPr>
              <w:rPr>
                <w:szCs w:val="21"/>
              </w:rPr>
            </w:pPr>
          </w:p>
        </w:tc>
        <w:tc>
          <w:tcPr>
            <w:tcW w:w="1559" w:type="dxa"/>
            <w:tcBorders>
              <w:top w:val="single" w:sz="4" w:space="0" w:color="FFFFFF" w:themeColor="background1"/>
              <w:bottom w:val="single" w:sz="4" w:space="0" w:color="FFFFFF" w:themeColor="background1"/>
            </w:tcBorders>
          </w:tcPr>
          <w:p w:rsidR="00172548" w:rsidRPr="002350B0" w:rsidRDefault="00172548" w:rsidP="002603ED">
            <w:pPr>
              <w:jc w:val="center"/>
              <w:rPr>
                <w:szCs w:val="21"/>
              </w:rPr>
            </w:pPr>
            <w:r w:rsidRPr="002350B0">
              <w:rPr>
                <w:szCs w:val="21"/>
              </w:rPr>
              <w:t>0.1</w:t>
            </w:r>
            <w:r w:rsidR="002603ED">
              <w:rPr>
                <w:rFonts w:hint="eastAsia"/>
                <w:szCs w:val="21"/>
              </w:rPr>
              <w:t>38</w:t>
            </w:r>
          </w:p>
        </w:tc>
        <w:tc>
          <w:tcPr>
            <w:tcW w:w="1562" w:type="dxa"/>
            <w:tcBorders>
              <w:top w:val="single" w:sz="4" w:space="0" w:color="FFFFFF" w:themeColor="background1"/>
              <w:bottom w:val="single" w:sz="4" w:space="0" w:color="FFFFFF" w:themeColor="background1"/>
            </w:tcBorders>
          </w:tcPr>
          <w:p w:rsidR="00172548" w:rsidRPr="002350B0" w:rsidRDefault="00172548" w:rsidP="002603ED">
            <w:pPr>
              <w:jc w:val="center"/>
              <w:rPr>
                <w:szCs w:val="21"/>
              </w:rPr>
            </w:pPr>
            <w:r w:rsidRPr="002350B0">
              <w:rPr>
                <w:szCs w:val="21"/>
              </w:rPr>
              <w:t>0.1</w:t>
            </w:r>
            <w:r w:rsidR="002603ED">
              <w:rPr>
                <w:rFonts w:hint="eastAsia"/>
                <w:szCs w:val="21"/>
              </w:rPr>
              <w:t>36</w:t>
            </w:r>
          </w:p>
        </w:tc>
        <w:tc>
          <w:tcPr>
            <w:tcW w:w="1654" w:type="dxa"/>
            <w:tcBorders>
              <w:top w:val="single" w:sz="4" w:space="0" w:color="FFFFFF" w:themeColor="background1"/>
              <w:bottom w:val="single" w:sz="4" w:space="0" w:color="FFFFFF" w:themeColor="background1"/>
            </w:tcBorders>
          </w:tcPr>
          <w:p w:rsidR="00172548" w:rsidRPr="002350B0" w:rsidRDefault="00172548" w:rsidP="002603ED">
            <w:pPr>
              <w:jc w:val="center"/>
              <w:rPr>
                <w:szCs w:val="21"/>
              </w:rPr>
            </w:pPr>
            <w:r w:rsidRPr="002350B0">
              <w:rPr>
                <w:szCs w:val="21"/>
              </w:rPr>
              <w:t>0.15</w:t>
            </w:r>
            <w:r w:rsidR="002603ED">
              <w:rPr>
                <w:rFonts w:hint="eastAsia"/>
                <w:szCs w:val="21"/>
              </w:rPr>
              <w:t>3</w:t>
            </w:r>
          </w:p>
        </w:tc>
        <w:tc>
          <w:tcPr>
            <w:tcW w:w="1654" w:type="dxa"/>
            <w:tcBorders>
              <w:top w:val="single" w:sz="4" w:space="0" w:color="FFFFFF" w:themeColor="background1"/>
              <w:bottom w:val="single" w:sz="4" w:space="0" w:color="FFFFFF" w:themeColor="background1"/>
            </w:tcBorders>
          </w:tcPr>
          <w:p w:rsidR="00172548" w:rsidRPr="002350B0" w:rsidRDefault="002603ED" w:rsidP="002603ED">
            <w:pPr>
              <w:jc w:val="center"/>
              <w:rPr>
                <w:szCs w:val="21"/>
              </w:rPr>
            </w:pPr>
            <w:r>
              <w:rPr>
                <w:szCs w:val="21"/>
              </w:rPr>
              <w:t>0.</w:t>
            </w:r>
            <w:r w:rsidR="00172548" w:rsidRPr="002350B0">
              <w:rPr>
                <w:szCs w:val="21"/>
              </w:rPr>
              <w:t>1</w:t>
            </w:r>
            <w:r>
              <w:rPr>
                <w:rFonts w:hint="eastAsia"/>
                <w:szCs w:val="21"/>
              </w:rPr>
              <w:t>39</w:t>
            </w:r>
          </w:p>
        </w:tc>
      </w:tr>
      <w:tr w:rsidR="00172548" w:rsidRPr="002350B0" w:rsidTr="00173C38">
        <w:trPr>
          <w:trHeight w:val="420"/>
        </w:trPr>
        <w:tc>
          <w:tcPr>
            <w:tcW w:w="2093" w:type="dxa"/>
            <w:tcBorders>
              <w:bottom w:val="single" w:sz="4" w:space="0" w:color="auto"/>
            </w:tcBorders>
            <w:vAlign w:val="center"/>
          </w:tcPr>
          <w:p w:rsidR="00172548" w:rsidRPr="002350B0" w:rsidRDefault="00172548" w:rsidP="00173C38">
            <w:pPr>
              <w:jc w:val="center"/>
              <w:rPr>
                <w:szCs w:val="21"/>
              </w:rPr>
            </w:pPr>
            <w:r w:rsidRPr="002350B0">
              <w:rPr>
                <w:szCs w:val="21"/>
              </w:rPr>
              <w:t>平均值</w:t>
            </w:r>
          </w:p>
        </w:tc>
        <w:tc>
          <w:tcPr>
            <w:tcW w:w="1559" w:type="dxa"/>
            <w:tcBorders>
              <w:top w:val="single" w:sz="4" w:space="0" w:color="FFFFFF" w:themeColor="background1"/>
              <w:bottom w:val="single" w:sz="4" w:space="0" w:color="auto"/>
            </w:tcBorders>
          </w:tcPr>
          <w:p w:rsidR="00172548" w:rsidRPr="002350B0" w:rsidRDefault="00172548" w:rsidP="002603ED">
            <w:pPr>
              <w:jc w:val="center"/>
              <w:rPr>
                <w:szCs w:val="21"/>
              </w:rPr>
            </w:pPr>
            <w:r w:rsidRPr="002350B0">
              <w:rPr>
                <w:szCs w:val="21"/>
              </w:rPr>
              <w:t>0.1</w:t>
            </w:r>
            <w:r w:rsidR="002603ED">
              <w:rPr>
                <w:rFonts w:hint="eastAsia"/>
                <w:szCs w:val="21"/>
              </w:rPr>
              <w:t>35</w:t>
            </w:r>
            <w:r w:rsidRPr="002350B0">
              <w:rPr>
                <w:szCs w:val="21"/>
              </w:rPr>
              <w:t>±0.0</w:t>
            </w:r>
            <w:r w:rsidR="002603ED">
              <w:rPr>
                <w:rFonts w:hint="eastAsia"/>
                <w:szCs w:val="21"/>
              </w:rPr>
              <w:t>03</w:t>
            </w:r>
          </w:p>
        </w:tc>
        <w:tc>
          <w:tcPr>
            <w:tcW w:w="1562" w:type="dxa"/>
            <w:tcBorders>
              <w:top w:val="single" w:sz="4" w:space="0" w:color="FFFFFF" w:themeColor="background1"/>
              <w:bottom w:val="single" w:sz="4" w:space="0" w:color="auto"/>
            </w:tcBorders>
          </w:tcPr>
          <w:p w:rsidR="00172548" w:rsidRPr="002350B0" w:rsidRDefault="00172548" w:rsidP="002603ED">
            <w:pPr>
              <w:jc w:val="center"/>
              <w:rPr>
                <w:szCs w:val="21"/>
              </w:rPr>
            </w:pPr>
            <w:r w:rsidRPr="002350B0">
              <w:rPr>
                <w:szCs w:val="21"/>
              </w:rPr>
              <w:t>0.14</w:t>
            </w:r>
            <w:r w:rsidR="002603ED">
              <w:rPr>
                <w:rFonts w:hint="eastAsia"/>
                <w:szCs w:val="21"/>
              </w:rPr>
              <w:t>0</w:t>
            </w:r>
            <w:r w:rsidRPr="002350B0">
              <w:rPr>
                <w:szCs w:val="21"/>
              </w:rPr>
              <w:t>±0.0</w:t>
            </w:r>
            <w:r w:rsidR="002603ED">
              <w:rPr>
                <w:rFonts w:hint="eastAsia"/>
                <w:szCs w:val="21"/>
              </w:rPr>
              <w:t>04</w:t>
            </w:r>
          </w:p>
        </w:tc>
        <w:tc>
          <w:tcPr>
            <w:tcW w:w="1654" w:type="dxa"/>
            <w:tcBorders>
              <w:top w:val="single" w:sz="4" w:space="0" w:color="FFFFFF" w:themeColor="background1"/>
              <w:bottom w:val="single" w:sz="4" w:space="0" w:color="auto"/>
            </w:tcBorders>
          </w:tcPr>
          <w:p w:rsidR="00172548" w:rsidRPr="002350B0" w:rsidRDefault="00172548" w:rsidP="002603ED">
            <w:pPr>
              <w:jc w:val="center"/>
              <w:rPr>
                <w:szCs w:val="21"/>
              </w:rPr>
            </w:pPr>
            <w:r w:rsidRPr="002350B0">
              <w:rPr>
                <w:szCs w:val="21"/>
              </w:rPr>
              <w:t>0.1</w:t>
            </w:r>
            <w:r w:rsidR="002603ED">
              <w:rPr>
                <w:rFonts w:hint="eastAsia"/>
                <w:szCs w:val="21"/>
              </w:rPr>
              <w:t>43</w:t>
            </w:r>
            <w:r w:rsidRPr="002350B0">
              <w:rPr>
                <w:szCs w:val="21"/>
              </w:rPr>
              <w:t>±0.00</w:t>
            </w:r>
            <w:r w:rsidR="002603ED">
              <w:rPr>
                <w:rFonts w:hint="eastAsia"/>
                <w:szCs w:val="21"/>
              </w:rPr>
              <w:t>9</w:t>
            </w:r>
          </w:p>
        </w:tc>
        <w:tc>
          <w:tcPr>
            <w:tcW w:w="1654" w:type="dxa"/>
            <w:tcBorders>
              <w:top w:val="single" w:sz="4" w:space="0" w:color="FFFFFF" w:themeColor="background1"/>
              <w:bottom w:val="single" w:sz="4" w:space="0" w:color="auto"/>
            </w:tcBorders>
          </w:tcPr>
          <w:p w:rsidR="00172548" w:rsidRPr="002350B0" w:rsidRDefault="00172548" w:rsidP="002603ED">
            <w:pPr>
              <w:jc w:val="center"/>
              <w:rPr>
                <w:szCs w:val="21"/>
              </w:rPr>
            </w:pPr>
            <w:r w:rsidRPr="002350B0">
              <w:rPr>
                <w:szCs w:val="21"/>
              </w:rPr>
              <w:t>0.1</w:t>
            </w:r>
            <w:r w:rsidR="002603ED">
              <w:rPr>
                <w:rFonts w:hint="eastAsia"/>
                <w:szCs w:val="21"/>
              </w:rPr>
              <w:t>42</w:t>
            </w:r>
            <w:r w:rsidRPr="002350B0">
              <w:rPr>
                <w:szCs w:val="21"/>
              </w:rPr>
              <w:t>±0.0</w:t>
            </w:r>
            <w:r w:rsidR="002603ED">
              <w:rPr>
                <w:rFonts w:hint="eastAsia"/>
                <w:szCs w:val="21"/>
              </w:rPr>
              <w:t>04</w:t>
            </w:r>
          </w:p>
        </w:tc>
      </w:tr>
    </w:tbl>
    <w:p w:rsidR="00172548" w:rsidRPr="002350B0" w:rsidRDefault="00172548" w:rsidP="00172548">
      <w:pPr>
        <w:tabs>
          <w:tab w:val="left" w:pos="2445"/>
        </w:tabs>
        <w:ind w:firstLineChars="200" w:firstLine="420"/>
        <w:rPr>
          <w:szCs w:val="21"/>
        </w:rPr>
      </w:pPr>
      <w:r w:rsidRPr="002350B0">
        <w:rPr>
          <w:szCs w:val="21"/>
        </w:rPr>
        <w:t>重复性低于</w:t>
      </w:r>
      <w:r w:rsidR="002603ED">
        <w:rPr>
          <w:rFonts w:hint="eastAsia"/>
          <w:szCs w:val="21"/>
        </w:rPr>
        <w:t>15</w:t>
      </w:r>
      <w:r w:rsidRPr="002350B0">
        <w:rPr>
          <w:szCs w:val="21"/>
        </w:rPr>
        <w:t>%</w:t>
      </w:r>
      <w:r w:rsidRPr="002350B0">
        <w:rPr>
          <w:szCs w:val="21"/>
        </w:rPr>
        <w:t>。</w:t>
      </w:r>
    </w:p>
    <w:p w:rsidR="00172548" w:rsidRPr="002350B0" w:rsidRDefault="00172548" w:rsidP="00172548">
      <w:pPr>
        <w:tabs>
          <w:tab w:val="left" w:pos="2445"/>
        </w:tabs>
        <w:ind w:firstLineChars="200" w:firstLine="420"/>
        <w:jc w:val="center"/>
        <w:rPr>
          <w:b/>
          <w:szCs w:val="21"/>
        </w:rPr>
      </w:pPr>
      <w:r w:rsidRPr="002350B0">
        <w:rPr>
          <w:szCs w:val="21"/>
        </w:rPr>
        <w:t>表</w:t>
      </w:r>
      <w:r w:rsidRPr="002350B0">
        <w:rPr>
          <w:szCs w:val="21"/>
        </w:rPr>
        <w:t>5</w:t>
      </w:r>
      <w:r w:rsidRPr="002350B0">
        <w:rPr>
          <w:szCs w:val="21"/>
        </w:rPr>
        <w:t>氯</w:t>
      </w:r>
      <w:proofErr w:type="gramStart"/>
      <w:r w:rsidRPr="002350B0">
        <w:rPr>
          <w:szCs w:val="21"/>
        </w:rPr>
        <w:t>吡脲</w:t>
      </w:r>
      <w:proofErr w:type="gramEnd"/>
      <w:r w:rsidRPr="002350B0">
        <w:rPr>
          <w:szCs w:val="21"/>
        </w:rPr>
        <w:t>（可溶性粉剂）的细胞分裂素活性测定结果</w:t>
      </w:r>
    </w:p>
    <w:tbl>
      <w:tblPr>
        <w:tblStyle w:val="af"/>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871"/>
        <w:gridCol w:w="1689"/>
        <w:gridCol w:w="1654"/>
        <w:gridCol w:w="1654"/>
        <w:gridCol w:w="1654"/>
      </w:tblGrid>
      <w:tr w:rsidR="00172548" w:rsidRPr="002350B0" w:rsidTr="00173C38">
        <w:tc>
          <w:tcPr>
            <w:tcW w:w="1871"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委托单位</w:t>
            </w:r>
          </w:p>
        </w:tc>
        <w:tc>
          <w:tcPr>
            <w:tcW w:w="1689"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杭州师范大学</w:t>
            </w:r>
          </w:p>
        </w:tc>
        <w:tc>
          <w:tcPr>
            <w:tcW w:w="1654"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浙江理工大学</w:t>
            </w:r>
          </w:p>
        </w:tc>
        <w:tc>
          <w:tcPr>
            <w:tcW w:w="1654"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浙江工商大学</w:t>
            </w:r>
          </w:p>
        </w:tc>
        <w:tc>
          <w:tcPr>
            <w:tcW w:w="1654"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标准研制单位</w:t>
            </w:r>
          </w:p>
        </w:tc>
      </w:tr>
      <w:tr w:rsidR="00172548" w:rsidRPr="002350B0" w:rsidTr="00173C38">
        <w:trPr>
          <w:trHeight w:val="1030"/>
        </w:trPr>
        <w:tc>
          <w:tcPr>
            <w:tcW w:w="1871" w:type="dxa"/>
            <w:vMerge w:val="restart"/>
            <w:tcBorders>
              <w:top w:val="single" w:sz="4" w:space="0" w:color="auto"/>
            </w:tcBorders>
            <w:vAlign w:val="center"/>
          </w:tcPr>
          <w:p w:rsidR="00172548" w:rsidRPr="002350B0" w:rsidRDefault="00172548" w:rsidP="00173C38">
            <w:pPr>
              <w:jc w:val="center"/>
              <w:rPr>
                <w:szCs w:val="21"/>
                <w:vertAlign w:val="subscript"/>
              </w:rPr>
            </w:pPr>
            <w:r w:rsidRPr="002350B0">
              <w:rPr>
                <w:szCs w:val="21"/>
              </w:rPr>
              <w:lastRenderedPageBreak/>
              <w:t>细胞分裂素活性</w:t>
            </w:r>
          </w:p>
          <w:p w:rsidR="00172548" w:rsidRPr="002350B0" w:rsidRDefault="00172548" w:rsidP="00173C38">
            <w:pPr>
              <w:jc w:val="center"/>
              <w:rPr>
                <w:szCs w:val="21"/>
              </w:rPr>
            </w:pPr>
            <w:r w:rsidRPr="002350B0">
              <w:rPr>
                <w:szCs w:val="21"/>
              </w:rPr>
              <w:t>（单位：</w:t>
            </w:r>
            <w:r w:rsidRPr="002350B0">
              <w:rPr>
                <w:szCs w:val="21"/>
              </w:rPr>
              <w:t>E</w:t>
            </w:r>
            <w:r w:rsidRPr="002350B0">
              <w:rPr>
                <w:szCs w:val="21"/>
              </w:rPr>
              <w:t>）</w:t>
            </w:r>
          </w:p>
        </w:tc>
        <w:tc>
          <w:tcPr>
            <w:tcW w:w="1689" w:type="dxa"/>
            <w:tcBorders>
              <w:top w:val="single" w:sz="4" w:space="0" w:color="auto"/>
            </w:tcBorders>
          </w:tcPr>
          <w:p w:rsidR="00172548" w:rsidRPr="002350B0" w:rsidRDefault="00172548" w:rsidP="00173C38">
            <w:pPr>
              <w:jc w:val="center"/>
              <w:rPr>
                <w:szCs w:val="21"/>
              </w:rPr>
            </w:pPr>
            <w:r w:rsidRPr="002350B0">
              <w:rPr>
                <w:szCs w:val="21"/>
              </w:rPr>
              <w:t>0.018</w:t>
            </w:r>
            <w:r w:rsidR="00AC005E">
              <w:rPr>
                <w:rFonts w:hint="eastAsia"/>
                <w:szCs w:val="21"/>
              </w:rPr>
              <w:t>9</w:t>
            </w:r>
          </w:p>
          <w:p w:rsidR="00172548" w:rsidRPr="002350B0" w:rsidRDefault="00172548" w:rsidP="00AC005E">
            <w:pPr>
              <w:jc w:val="center"/>
              <w:rPr>
                <w:szCs w:val="21"/>
              </w:rPr>
            </w:pPr>
            <w:r w:rsidRPr="002350B0">
              <w:rPr>
                <w:szCs w:val="21"/>
              </w:rPr>
              <w:t>0.01</w:t>
            </w:r>
            <w:r w:rsidR="00AC005E">
              <w:rPr>
                <w:rFonts w:hint="eastAsia"/>
                <w:szCs w:val="21"/>
              </w:rPr>
              <w:t>99</w:t>
            </w:r>
          </w:p>
        </w:tc>
        <w:tc>
          <w:tcPr>
            <w:tcW w:w="1654" w:type="dxa"/>
            <w:tcBorders>
              <w:top w:val="single" w:sz="4" w:space="0" w:color="auto"/>
            </w:tcBorders>
          </w:tcPr>
          <w:p w:rsidR="00172548" w:rsidRPr="002350B0" w:rsidRDefault="00172548" w:rsidP="00173C38">
            <w:pPr>
              <w:jc w:val="center"/>
              <w:rPr>
                <w:szCs w:val="21"/>
              </w:rPr>
            </w:pPr>
            <w:r w:rsidRPr="002350B0">
              <w:rPr>
                <w:szCs w:val="21"/>
              </w:rPr>
              <w:t>0.01</w:t>
            </w:r>
            <w:r w:rsidR="00AC005E">
              <w:rPr>
                <w:rFonts w:hint="eastAsia"/>
                <w:szCs w:val="21"/>
              </w:rPr>
              <w:t>91</w:t>
            </w:r>
          </w:p>
          <w:p w:rsidR="00172548" w:rsidRPr="002350B0" w:rsidRDefault="00172548" w:rsidP="00AC005E">
            <w:pPr>
              <w:jc w:val="center"/>
              <w:rPr>
                <w:szCs w:val="21"/>
              </w:rPr>
            </w:pPr>
            <w:r w:rsidRPr="002350B0">
              <w:rPr>
                <w:szCs w:val="21"/>
              </w:rPr>
              <w:t>0.0</w:t>
            </w:r>
            <w:r w:rsidR="00AC005E">
              <w:rPr>
                <w:rFonts w:hint="eastAsia"/>
                <w:szCs w:val="21"/>
              </w:rPr>
              <w:t>200</w:t>
            </w:r>
          </w:p>
        </w:tc>
        <w:tc>
          <w:tcPr>
            <w:tcW w:w="1654" w:type="dxa"/>
            <w:tcBorders>
              <w:top w:val="single" w:sz="4" w:space="0" w:color="auto"/>
            </w:tcBorders>
          </w:tcPr>
          <w:p w:rsidR="00172548" w:rsidRPr="002350B0" w:rsidRDefault="00172548" w:rsidP="00173C38">
            <w:pPr>
              <w:jc w:val="center"/>
              <w:rPr>
                <w:szCs w:val="21"/>
              </w:rPr>
            </w:pPr>
            <w:r w:rsidRPr="002350B0">
              <w:rPr>
                <w:szCs w:val="21"/>
              </w:rPr>
              <w:t>0.01</w:t>
            </w:r>
            <w:r w:rsidR="00AC005E">
              <w:rPr>
                <w:rFonts w:hint="eastAsia"/>
                <w:szCs w:val="21"/>
              </w:rPr>
              <w:t>90</w:t>
            </w:r>
          </w:p>
          <w:p w:rsidR="00172548" w:rsidRPr="002350B0" w:rsidRDefault="00172548" w:rsidP="00AC005E">
            <w:pPr>
              <w:jc w:val="center"/>
              <w:rPr>
                <w:szCs w:val="21"/>
              </w:rPr>
            </w:pPr>
            <w:r w:rsidRPr="002350B0">
              <w:rPr>
                <w:szCs w:val="21"/>
              </w:rPr>
              <w:t>0.0</w:t>
            </w:r>
            <w:r w:rsidR="00AC005E">
              <w:rPr>
                <w:rFonts w:hint="eastAsia"/>
                <w:szCs w:val="21"/>
              </w:rPr>
              <w:t>204</w:t>
            </w:r>
          </w:p>
        </w:tc>
        <w:tc>
          <w:tcPr>
            <w:tcW w:w="1654" w:type="dxa"/>
            <w:tcBorders>
              <w:top w:val="single" w:sz="4" w:space="0" w:color="auto"/>
            </w:tcBorders>
          </w:tcPr>
          <w:p w:rsidR="00172548" w:rsidRPr="002350B0" w:rsidRDefault="00172548" w:rsidP="00173C38">
            <w:pPr>
              <w:jc w:val="center"/>
              <w:rPr>
                <w:szCs w:val="21"/>
              </w:rPr>
            </w:pPr>
            <w:r w:rsidRPr="002350B0">
              <w:rPr>
                <w:szCs w:val="21"/>
              </w:rPr>
              <w:t>0.01</w:t>
            </w:r>
            <w:r w:rsidR="00AC005E">
              <w:rPr>
                <w:rFonts w:hint="eastAsia"/>
                <w:szCs w:val="21"/>
              </w:rPr>
              <w:t>93</w:t>
            </w:r>
          </w:p>
          <w:p w:rsidR="00172548" w:rsidRPr="002350B0" w:rsidRDefault="00172548" w:rsidP="00AC005E">
            <w:pPr>
              <w:jc w:val="center"/>
              <w:rPr>
                <w:szCs w:val="21"/>
              </w:rPr>
            </w:pPr>
            <w:r w:rsidRPr="002350B0">
              <w:rPr>
                <w:szCs w:val="21"/>
              </w:rPr>
              <w:t>0.0</w:t>
            </w:r>
            <w:r w:rsidR="00AC005E">
              <w:rPr>
                <w:rFonts w:hint="eastAsia"/>
                <w:szCs w:val="21"/>
              </w:rPr>
              <w:t>207</w:t>
            </w:r>
          </w:p>
        </w:tc>
      </w:tr>
      <w:tr w:rsidR="00172548" w:rsidRPr="002350B0" w:rsidTr="00173C38">
        <w:trPr>
          <w:trHeight w:val="420"/>
        </w:trPr>
        <w:tc>
          <w:tcPr>
            <w:tcW w:w="1871" w:type="dxa"/>
            <w:vMerge/>
          </w:tcPr>
          <w:p w:rsidR="00172548" w:rsidRPr="002350B0" w:rsidRDefault="00172548" w:rsidP="00173C38">
            <w:pPr>
              <w:rPr>
                <w:szCs w:val="21"/>
              </w:rPr>
            </w:pPr>
          </w:p>
        </w:tc>
        <w:tc>
          <w:tcPr>
            <w:tcW w:w="1689" w:type="dxa"/>
            <w:tcBorders>
              <w:top w:val="single" w:sz="4" w:space="0" w:color="FFFFFF" w:themeColor="background1"/>
              <w:bottom w:val="single" w:sz="4" w:space="0" w:color="FFFFFF" w:themeColor="background1"/>
            </w:tcBorders>
          </w:tcPr>
          <w:p w:rsidR="00172548" w:rsidRPr="002350B0" w:rsidRDefault="00172548" w:rsidP="00AC005E">
            <w:pPr>
              <w:jc w:val="center"/>
              <w:rPr>
                <w:szCs w:val="21"/>
              </w:rPr>
            </w:pPr>
            <w:r w:rsidRPr="002350B0">
              <w:rPr>
                <w:szCs w:val="21"/>
              </w:rPr>
              <w:t>0.01</w:t>
            </w:r>
            <w:r w:rsidR="00AC005E">
              <w:rPr>
                <w:rFonts w:hint="eastAsia"/>
                <w:szCs w:val="21"/>
              </w:rPr>
              <w:t>96</w:t>
            </w:r>
          </w:p>
        </w:tc>
        <w:tc>
          <w:tcPr>
            <w:tcW w:w="1654" w:type="dxa"/>
            <w:tcBorders>
              <w:top w:val="single" w:sz="4" w:space="0" w:color="FFFFFF" w:themeColor="background1"/>
              <w:bottom w:val="single" w:sz="4" w:space="0" w:color="FFFFFF" w:themeColor="background1"/>
            </w:tcBorders>
          </w:tcPr>
          <w:p w:rsidR="00172548" w:rsidRPr="002350B0" w:rsidRDefault="00172548" w:rsidP="00AC005E">
            <w:pPr>
              <w:jc w:val="center"/>
              <w:rPr>
                <w:szCs w:val="21"/>
              </w:rPr>
            </w:pPr>
            <w:r w:rsidRPr="002350B0">
              <w:rPr>
                <w:szCs w:val="21"/>
              </w:rPr>
              <w:t>0.018</w:t>
            </w:r>
            <w:r w:rsidR="00AC005E">
              <w:rPr>
                <w:rFonts w:hint="eastAsia"/>
                <w:szCs w:val="21"/>
              </w:rPr>
              <w:t>4</w:t>
            </w:r>
          </w:p>
        </w:tc>
        <w:tc>
          <w:tcPr>
            <w:tcW w:w="1654" w:type="dxa"/>
            <w:tcBorders>
              <w:top w:val="single" w:sz="4" w:space="0" w:color="FFFFFF" w:themeColor="background1"/>
              <w:bottom w:val="single" w:sz="4" w:space="0" w:color="FFFFFF" w:themeColor="background1"/>
            </w:tcBorders>
          </w:tcPr>
          <w:p w:rsidR="00172548" w:rsidRPr="002350B0" w:rsidRDefault="00172548" w:rsidP="00AC005E">
            <w:pPr>
              <w:jc w:val="center"/>
              <w:rPr>
                <w:szCs w:val="21"/>
              </w:rPr>
            </w:pPr>
            <w:r w:rsidRPr="002350B0">
              <w:rPr>
                <w:szCs w:val="21"/>
              </w:rPr>
              <w:t>0.0</w:t>
            </w:r>
            <w:r w:rsidR="00AC005E">
              <w:rPr>
                <w:rFonts w:hint="eastAsia"/>
                <w:szCs w:val="21"/>
              </w:rPr>
              <w:t>200</w:t>
            </w:r>
          </w:p>
        </w:tc>
        <w:tc>
          <w:tcPr>
            <w:tcW w:w="1654" w:type="dxa"/>
            <w:tcBorders>
              <w:top w:val="single" w:sz="4" w:space="0" w:color="FFFFFF" w:themeColor="background1"/>
              <w:bottom w:val="single" w:sz="4" w:space="0" w:color="FFFFFF" w:themeColor="background1"/>
            </w:tcBorders>
          </w:tcPr>
          <w:p w:rsidR="00172548" w:rsidRPr="002350B0" w:rsidRDefault="00172548" w:rsidP="00AC005E">
            <w:pPr>
              <w:jc w:val="center"/>
              <w:rPr>
                <w:szCs w:val="21"/>
              </w:rPr>
            </w:pPr>
            <w:r w:rsidRPr="002350B0">
              <w:rPr>
                <w:szCs w:val="21"/>
              </w:rPr>
              <w:t>0.01</w:t>
            </w:r>
            <w:r w:rsidR="00AC005E">
              <w:rPr>
                <w:rFonts w:hint="eastAsia"/>
                <w:szCs w:val="21"/>
              </w:rPr>
              <w:t>91</w:t>
            </w:r>
          </w:p>
        </w:tc>
      </w:tr>
      <w:tr w:rsidR="00172548" w:rsidRPr="002350B0" w:rsidTr="00173C38">
        <w:trPr>
          <w:trHeight w:val="420"/>
        </w:trPr>
        <w:tc>
          <w:tcPr>
            <w:tcW w:w="1871" w:type="dxa"/>
            <w:tcBorders>
              <w:bottom w:val="single" w:sz="4" w:space="0" w:color="auto"/>
            </w:tcBorders>
            <w:vAlign w:val="center"/>
          </w:tcPr>
          <w:p w:rsidR="00172548" w:rsidRPr="002350B0" w:rsidRDefault="00172548" w:rsidP="00173C38">
            <w:pPr>
              <w:jc w:val="center"/>
              <w:rPr>
                <w:szCs w:val="21"/>
              </w:rPr>
            </w:pPr>
            <w:r w:rsidRPr="002350B0">
              <w:rPr>
                <w:szCs w:val="21"/>
              </w:rPr>
              <w:t>平均值</w:t>
            </w:r>
          </w:p>
        </w:tc>
        <w:tc>
          <w:tcPr>
            <w:tcW w:w="1689" w:type="dxa"/>
            <w:tcBorders>
              <w:top w:val="single" w:sz="4" w:space="0" w:color="FFFFFF" w:themeColor="background1"/>
              <w:bottom w:val="single" w:sz="4" w:space="0" w:color="auto"/>
            </w:tcBorders>
          </w:tcPr>
          <w:p w:rsidR="00172548" w:rsidRPr="002350B0" w:rsidRDefault="00172548" w:rsidP="00AC005E">
            <w:pPr>
              <w:jc w:val="center"/>
              <w:rPr>
                <w:szCs w:val="21"/>
              </w:rPr>
            </w:pPr>
            <w:r w:rsidRPr="002350B0">
              <w:rPr>
                <w:szCs w:val="21"/>
              </w:rPr>
              <w:t>0.01</w:t>
            </w:r>
            <w:r w:rsidR="00AC005E">
              <w:rPr>
                <w:rFonts w:hint="eastAsia"/>
                <w:szCs w:val="21"/>
              </w:rPr>
              <w:t>95</w:t>
            </w:r>
            <w:r w:rsidRPr="002350B0">
              <w:rPr>
                <w:szCs w:val="21"/>
              </w:rPr>
              <w:t>±0.000</w:t>
            </w:r>
            <w:r w:rsidR="00AC005E">
              <w:rPr>
                <w:rFonts w:hint="eastAsia"/>
                <w:szCs w:val="21"/>
              </w:rPr>
              <w:t>5</w:t>
            </w:r>
          </w:p>
        </w:tc>
        <w:tc>
          <w:tcPr>
            <w:tcW w:w="1654" w:type="dxa"/>
            <w:tcBorders>
              <w:top w:val="single" w:sz="4" w:space="0" w:color="FFFFFF" w:themeColor="background1"/>
              <w:bottom w:val="single" w:sz="4" w:space="0" w:color="auto"/>
            </w:tcBorders>
          </w:tcPr>
          <w:p w:rsidR="00172548" w:rsidRPr="002350B0" w:rsidRDefault="00172548" w:rsidP="00AC005E">
            <w:pPr>
              <w:jc w:val="center"/>
              <w:rPr>
                <w:szCs w:val="21"/>
              </w:rPr>
            </w:pPr>
            <w:r w:rsidRPr="002350B0">
              <w:rPr>
                <w:szCs w:val="21"/>
              </w:rPr>
              <w:t>0.01</w:t>
            </w:r>
            <w:r w:rsidR="00AC005E">
              <w:rPr>
                <w:rFonts w:hint="eastAsia"/>
                <w:szCs w:val="21"/>
              </w:rPr>
              <w:t>92</w:t>
            </w:r>
            <w:r w:rsidRPr="002350B0">
              <w:rPr>
                <w:szCs w:val="21"/>
              </w:rPr>
              <w:t>±0.000</w:t>
            </w:r>
            <w:r w:rsidR="00AC005E">
              <w:rPr>
                <w:rFonts w:hint="eastAsia"/>
                <w:szCs w:val="21"/>
              </w:rPr>
              <w:t>8</w:t>
            </w:r>
          </w:p>
        </w:tc>
        <w:tc>
          <w:tcPr>
            <w:tcW w:w="1654" w:type="dxa"/>
            <w:tcBorders>
              <w:top w:val="single" w:sz="4" w:space="0" w:color="FFFFFF" w:themeColor="background1"/>
              <w:bottom w:val="single" w:sz="4" w:space="0" w:color="auto"/>
            </w:tcBorders>
          </w:tcPr>
          <w:p w:rsidR="00172548" w:rsidRPr="002350B0" w:rsidRDefault="00172548" w:rsidP="00AC005E">
            <w:pPr>
              <w:jc w:val="center"/>
              <w:rPr>
                <w:szCs w:val="21"/>
              </w:rPr>
            </w:pPr>
            <w:r w:rsidRPr="002350B0">
              <w:rPr>
                <w:szCs w:val="21"/>
              </w:rPr>
              <w:t>0.01</w:t>
            </w:r>
            <w:r w:rsidR="00AC005E">
              <w:rPr>
                <w:rFonts w:hint="eastAsia"/>
                <w:szCs w:val="21"/>
              </w:rPr>
              <w:t>98</w:t>
            </w:r>
            <w:r w:rsidRPr="002350B0">
              <w:rPr>
                <w:szCs w:val="21"/>
              </w:rPr>
              <w:t>±0.000</w:t>
            </w:r>
            <w:r w:rsidR="00AC005E">
              <w:rPr>
                <w:rFonts w:hint="eastAsia"/>
                <w:szCs w:val="21"/>
              </w:rPr>
              <w:t>7</w:t>
            </w:r>
          </w:p>
        </w:tc>
        <w:tc>
          <w:tcPr>
            <w:tcW w:w="1654" w:type="dxa"/>
            <w:tcBorders>
              <w:top w:val="single" w:sz="4" w:space="0" w:color="FFFFFF" w:themeColor="background1"/>
              <w:bottom w:val="single" w:sz="4" w:space="0" w:color="auto"/>
            </w:tcBorders>
          </w:tcPr>
          <w:p w:rsidR="00172548" w:rsidRPr="002350B0" w:rsidRDefault="00172548" w:rsidP="00AC005E">
            <w:pPr>
              <w:jc w:val="center"/>
              <w:rPr>
                <w:szCs w:val="21"/>
              </w:rPr>
            </w:pPr>
            <w:r w:rsidRPr="002350B0">
              <w:rPr>
                <w:szCs w:val="21"/>
              </w:rPr>
              <w:t>0.01</w:t>
            </w:r>
            <w:r w:rsidR="00AC005E">
              <w:rPr>
                <w:rFonts w:hint="eastAsia"/>
                <w:szCs w:val="21"/>
              </w:rPr>
              <w:t>97</w:t>
            </w:r>
            <w:r w:rsidRPr="002350B0">
              <w:rPr>
                <w:szCs w:val="21"/>
              </w:rPr>
              <w:t>±0.000</w:t>
            </w:r>
            <w:r w:rsidR="00AC005E">
              <w:rPr>
                <w:rFonts w:hint="eastAsia"/>
                <w:szCs w:val="21"/>
              </w:rPr>
              <w:t>9</w:t>
            </w:r>
          </w:p>
        </w:tc>
      </w:tr>
    </w:tbl>
    <w:p w:rsidR="00172548" w:rsidRPr="002350B0" w:rsidRDefault="00172548" w:rsidP="00172548">
      <w:pPr>
        <w:tabs>
          <w:tab w:val="left" w:pos="2445"/>
        </w:tabs>
        <w:ind w:firstLineChars="200" w:firstLine="420"/>
        <w:rPr>
          <w:szCs w:val="21"/>
        </w:rPr>
      </w:pPr>
      <w:r w:rsidRPr="002350B0">
        <w:rPr>
          <w:szCs w:val="21"/>
        </w:rPr>
        <w:t>重复性低于</w:t>
      </w:r>
      <w:r w:rsidR="00AC005E">
        <w:rPr>
          <w:rFonts w:hint="eastAsia"/>
          <w:szCs w:val="21"/>
        </w:rPr>
        <w:t>1</w:t>
      </w:r>
      <w:r w:rsidR="00C90670">
        <w:rPr>
          <w:rFonts w:hint="eastAsia"/>
          <w:szCs w:val="21"/>
        </w:rPr>
        <w:t>5</w:t>
      </w:r>
      <w:r w:rsidRPr="002350B0">
        <w:rPr>
          <w:szCs w:val="21"/>
        </w:rPr>
        <w:t>%</w:t>
      </w:r>
      <w:r w:rsidRPr="002350B0">
        <w:rPr>
          <w:szCs w:val="21"/>
        </w:rPr>
        <w:t>。</w:t>
      </w:r>
    </w:p>
    <w:p w:rsidR="00172548" w:rsidRPr="002350B0" w:rsidRDefault="00172548" w:rsidP="00172548">
      <w:pPr>
        <w:tabs>
          <w:tab w:val="left" w:pos="2445"/>
        </w:tabs>
        <w:ind w:firstLineChars="200" w:firstLine="480"/>
        <w:jc w:val="center"/>
        <w:rPr>
          <w:szCs w:val="21"/>
        </w:rPr>
      </w:pPr>
      <w:r w:rsidRPr="002350B0">
        <w:rPr>
          <w:sz w:val="24"/>
          <w:szCs w:val="24"/>
        </w:rPr>
        <w:t xml:space="preserve">  </w:t>
      </w:r>
      <w:r w:rsidRPr="002350B0">
        <w:rPr>
          <w:szCs w:val="21"/>
        </w:rPr>
        <w:t>表</w:t>
      </w:r>
      <w:r w:rsidRPr="002350B0">
        <w:rPr>
          <w:szCs w:val="21"/>
        </w:rPr>
        <w:t xml:space="preserve">6 </w:t>
      </w:r>
      <w:proofErr w:type="gramStart"/>
      <w:r w:rsidRPr="002350B0">
        <w:rPr>
          <w:szCs w:val="21"/>
        </w:rPr>
        <w:t>赤</w:t>
      </w:r>
      <w:proofErr w:type="gramEnd"/>
      <w:r w:rsidRPr="002350B0">
        <w:rPr>
          <w:szCs w:val="21"/>
        </w:rPr>
        <w:t>霉酸（可溶性粉剂）的赤霉素活性测定结果</w:t>
      </w:r>
    </w:p>
    <w:tbl>
      <w:tblPr>
        <w:tblStyle w:val="af"/>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871"/>
        <w:gridCol w:w="1689"/>
        <w:gridCol w:w="1654"/>
        <w:gridCol w:w="1654"/>
        <w:gridCol w:w="1654"/>
      </w:tblGrid>
      <w:tr w:rsidR="00172548" w:rsidRPr="002350B0" w:rsidTr="00173C38">
        <w:tc>
          <w:tcPr>
            <w:tcW w:w="1871"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委托单位</w:t>
            </w:r>
          </w:p>
        </w:tc>
        <w:tc>
          <w:tcPr>
            <w:tcW w:w="1689"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杭州师范大学</w:t>
            </w:r>
          </w:p>
        </w:tc>
        <w:tc>
          <w:tcPr>
            <w:tcW w:w="1654"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浙江理工大学</w:t>
            </w:r>
          </w:p>
        </w:tc>
        <w:tc>
          <w:tcPr>
            <w:tcW w:w="1654"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浙江工商大学</w:t>
            </w:r>
          </w:p>
        </w:tc>
        <w:tc>
          <w:tcPr>
            <w:tcW w:w="1654" w:type="dxa"/>
            <w:tcBorders>
              <w:top w:val="single" w:sz="4" w:space="0" w:color="auto"/>
              <w:bottom w:val="single" w:sz="4" w:space="0" w:color="auto"/>
            </w:tcBorders>
          </w:tcPr>
          <w:p w:rsidR="00172548" w:rsidRPr="002350B0" w:rsidRDefault="00172548" w:rsidP="00173C38">
            <w:pPr>
              <w:jc w:val="center"/>
              <w:rPr>
                <w:szCs w:val="21"/>
              </w:rPr>
            </w:pPr>
            <w:r w:rsidRPr="002350B0">
              <w:rPr>
                <w:szCs w:val="21"/>
              </w:rPr>
              <w:t>标准研制单位</w:t>
            </w:r>
          </w:p>
        </w:tc>
      </w:tr>
      <w:tr w:rsidR="00172548" w:rsidRPr="002350B0" w:rsidTr="00173C38">
        <w:trPr>
          <w:trHeight w:val="1030"/>
        </w:trPr>
        <w:tc>
          <w:tcPr>
            <w:tcW w:w="1871" w:type="dxa"/>
            <w:vMerge w:val="restart"/>
            <w:tcBorders>
              <w:top w:val="single" w:sz="4" w:space="0" w:color="auto"/>
            </w:tcBorders>
            <w:vAlign w:val="center"/>
          </w:tcPr>
          <w:p w:rsidR="00172548" w:rsidRPr="002350B0" w:rsidRDefault="00172548" w:rsidP="00173C38">
            <w:pPr>
              <w:jc w:val="center"/>
              <w:rPr>
                <w:szCs w:val="21"/>
                <w:vertAlign w:val="subscript"/>
              </w:rPr>
            </w:pPr>
            <w:r w:rsidRPr="002350B0">
              <w:rPr>
                <w:szCs w:val="21"/>
              </w:rPr>
              <w:t>赤霉素活性</w:t>
            </w:r>
          </w:p>
          <w:p w:rsidR="00172548" w:rsidRPr="002350B0" w:rsidRDefault="00172548" w:rsidP="00173C38">
            <w:pPr>
              <w:jc w:val="center"/>
              <w:rPr>
                <w:szCs w:val="21"/>
              </w:rPr>
            </w:pPr>
            <w:r w:rsidRPr="002350B0">
              <w:rPr>
                <w:szCs w:val="21"/>
              </w:rPr>
              <w:t>（单位：</w:t>
            </w:r>
            <w:r w:rsidRPr="002350B0">
              <w:rPr>
                <w:szCs w:val="21"/>
              </w:rPr>
              <w:t>E</w:t>
            </w:r>
            <w:r w:rsidRPr="002350B0">
              <w:rPr>
                <w:szCs w:val="21"/>
              </w:rPr>
              <w:t>）</w:t>
            </w:r>
          </w:p>
        </w:tc>
        <w:tc>
          <w:tcPr>
            <w:tcW w:w="1689" w:type="dxa"/>
            <w:tcBorders>
              <w:top w:val="single" w:sz="4" w:space="0" w:color="auto"/>
            </w:tcBorders>
          </w:tcPr>
          <w:p w:rsidR="00172548" w:rsidRPr="002350B0" w:rsidRDefault="00172548" w:rsidP="00173C38">
            <w:pPr>
              <w:jc w:val="center"/>
              <w:rPr>
                <w:szCs w:val="21"/>
              </w:rPr>
            </w:pPr>
            <w:r w:rsidRPr="002350B0">
              <w:rPr>
                <w:szCs w:val="21"/>
              </w:rPr>
              <w:t>0.</w:t>
            </w:r>
            <w:r w:rsidR="005268D4">
              <w:rPr>
                <w:rFonts w:hint="eastAsia"/>
                <w:szCs w:val="21"/>
              </w:rPr>
              <w:t>527</w:t>
            </w:r>
          </w:p>
          <w:p w:rsidR="00172548" w:rsidRPr="002350B0" w:rsidRDefault="00172548" w:rsidP="005268D4">
            <w:pPr>
              <w:jc w:val="center"/>
              <w:rPr>
                <w:szCs w:val="21"/>
              </w:rPr>
            </w:pPr>
            <w:r w:rsidRPr="002350B0">
              <w:rPr>
                <w:szCs w:val="21"/>
              </w:rPr>
              <w:t>0.</w:t>
            </w:r>
            <w:r w:rsidR="005268D4">
              <w:rPr>
                <w:rFonts w:hint="eastAsia"/>
                <w:szCs w:val="21"/>
              </w:rPr>
              <w:t>592</w:t>
            </w:r>
          </w:p>
        </w:tc>
        <w:tc>
          <w:tcPr>
            <w:tcW w:w="1654" w:type="dxa"/>
            <w:tcBorders>
              <w:top w:val="single" w:sz="4" w:space="0" w:color="auto"/>
            </w:tcBorders>
          </w:tcPr>
          <w:p w:rsidR="00172548" w:rsidRPr="002350B0" w:rsidRDefault="00172548" w:rsidP="00173C38">
            <w:pPr>
              <w:jc w:val="center"/>
              <w:rPr>
                <w:szCs w:val="21"/>
              </w:rPr>
            </w:pPr>
            <w:r w:rsidRPr="002350B0">
              <w:rPr>
                <w:szCs w:val="21"/>
              </w:rPr>
              <w:t>0.</w:t>
            </w:r>
            <w:r w:rsidR="005268D4">
              <w:rPr>
                <w:rFonts w:hint="eastAsia"/>
                <w:szCs w:val="21"/>
              </w:rPr>
              <w:t>592</w:t>
            </w:r>
          </w:p>
          <w:p w:rsidR="00172548" w:rsidRPr="002350B0" w:rsidRDefault="00172548" w:rsidP="005268D4">
            <w:pPr>
              <w:jc w:val="center"/>
              <w:rPr>
                <w:szCs w:val="21"/>
              </w:rPr>
            </w:pPr>
            <w:r w:rsidRPr="002350B0">
              <w:rPr>
                <w:szCs w:val="21"/>
              </w:rPr>
              <w:t>0.</w:t>
            </w:r>
            <w:r w:rsidR="005268D4">
              <w:rPr>
                <w:rFonts w:hint="eastAsia"/>
                <w:szCs w:val="21"/>
              </w:rPr>
              <w:t>587</w:t>
            </w:r>
          </w:p>
        </w:tc>
        <w:tc>
          <w:tcPr>
            <w:tcW w:w="1654" w:type="dxa"/>
            <w:tcBorders>
              <w:top w:val="single" w:sz="4" w:space="0" w:color="auto"/>
            </w:tcBorders>
          </w:tcPr>
          <w:p w:rsidR="00172548" w:rsidRPr="002350B0" w:rsidRDefault="00172548" w:rsidP="00173C38">
            <w:pPr>
              <w:jc w:val="center"/>
              <w:rPr>
                <w:szCs w:val="21"/>
              </w:rPr>
            </w:pPr>
            <w:r w:rsidRPr="002350B0">
              <w:rPr>
                <w:szCs w:val="21"/>
              </w:rPr>
              <w:t>0.</w:t>
            </w:r>
            <w:r w:rsidR="005268D4">
              <w:rPr>
                <w:rFonts w:hint="eastAsia"/>
                <w:szCs w:val="21"/>
              </w:rPr>
              <w:t>550</w:t>
            </w:r>
          </w:p>
          <w:p w:rsidR="00172548" w:rsidRPr="002350B0" w:rsidRDefault="00172548" w:rsidP="005268D4">
            <w:pPr>
              <w:jc w:val="center"/>
              <w:rPr>
                <w:szCs w:val="21"/>
              </w:rPr>
            </w:pPr>
            <w:r w:rsidRPr="002350B0">
              <w:rPr>
                <w:szCs w:val="21"/>
              </w:rPr>
              <w:t>0.</w:t>
            </w:r>
            <w:r w:rsidR="005268D4">
              <w:rPr>
                <w:rFonts w:hint="eastAsia"/>
                <w:szCs w:val="21"/>
              </w:rPr>
              <w:t>534</w:t>
            </w:r>
          </w:p>
        </w:tc>
        <w:tc>
          <w:tcPr>
            <w:tcW w:w="1654" w:type="dxa"/>
            <w:tcBorders>
              <w:top w:val="single" w:sz="4" w:space="0" w:color="auto"/>
            </w:tcBorders>
          </w:tcPr>
          <w:p w:rsidR="00172548" w:rsidRPr="002350B0" w:rsidRDefault="00172548" w:rsidP="00173C38">
            <w:pPr>
              <w:jc w:val="center"/>
              <w:rPr>
                <w:szCs w:val="21"/>
              </w:rPr>
            </w:pPr>
            <w:r w:rsidRPr="002350B0">
              <w:rPr>
                <w:szCs w:val="21"/>
              </w:rPr>
              <w:t>0.</w:t>
            </w:r>
            <w:r w:rsidR="005268D4">
              <w:rPr>
                <w:rFonts w:hint="eastAsia"/>
                <w:szCs w:val="21"/>
              </w:rPr>
              <w:t>580</w:t>
            </w:r>
          </w:p>
          <w:p w:rsidR="00172548" w:rsidRPr="002350B0" w:rsidRDefault="00172548" w:rsidP="005268D4">
            <w:pPr>
              <w:jc w:val="center"/>
              <w:rPr>
                <w:szCs w:val="21"/>
              </w:rPr>
            </w:pPr>
            <w:r w:rsidRPr="002350B0">
              <w:rPr>
                <w:szCs w:val="21"/>
              </w:rPr>
              <w:t>0.</w:t>
            </w:r>
            <w:r w:rsidR="005268D4">
              <w:rPr>
                <w:rFonts w:hint="eastAsia"/>
                <w:szCs w:val="21"/>
              </w:rPr>
              <w:t>589</w:t>
            </w:r>
          </w:p>
        </w:tc>
      </w:tr>
      <w:tr w:rsidR="00172548" w:rsidRPr="002350B0" w:rsidTr="00173C38">
        <w:trPr>
          <w:trHeight w:val="420"/>
        </w:trPr>
        <w:tc>
          <w:tcPr>
            <w:tcW w:w="1871" w:type="dxa"/>
            <w:vMerge/>
          </w:tcPr>
          <w:p w:rsidR="00172548" w:rsidRPr="002350B0" w:rsidRDefault="00172548" w:rsidP="00173C38">
            <w:pPr>
              <w:rPr>
                <w:szCs w:val="21"/>
              </w:rPr>
            </w:pPr>
          </w:p>
        </w:tc>
        <w:tc>
          <w:tcPr>
            <w:tcW w:w="1689" w:type="dxa"/>
            <w:tcBorders>
              <w:top w:val="single" w:sz="4" w:space="0" w:color="FFFFFF" w:themeColor="background1"/>
              <w:bottom w:val="single" w:sz="4" w:space="0" w:color="FFFFFF" w:themeColor="background1"/>
            </w:tcBorders>
          </w:tcPr>
          <w:p w:rsidR="00172548" w:rsidRPr="002350B0" w:rsidRDefault="00172548" w:rsidP="005268D4">
            <w:pPr>
              <w:jc w:val="center"/>
              <w:rPr>
                <w:szCs w:val="21"/>
              </w:rPr>
            </w:pPr>
            <w:r w:rsidRPr="002350B0">
              <w:rPr>
                <w:szCs w:val="21"/>
              </w:rPr>
              <w:t>0.</w:t>
            </w:r>
            <w:r w:rsidR="005268D4">
              <w:rPr>
                <w:rFonts w:hint="eastAsia"/>
                <w:szCs w:val="21"/>
              </w:rPr>
              <w:t>564</w:t>
            </w:r>
          </w:p>
        </w:tc>
        <w:tc>
          <w:tcPr>
            <w:tcW w:w="1654" w:type="dxa"/>
            <w:tcBorders>
              <w:top w:val="single" w:sz="4" w:space="0" w:color="FFFFFF" w:themeColor="background1"/>
              <w:bottom w:val="single" w:sz="4" w:space="0" w:color="FFFFFF" w:themeColor="background1"/>
            </w:tcBorders>
          </w:tcPr>
          <w:p w:rsidR="00172548" w:rsidRPr="002350B0" w:rsidRDefault="00172548" w:rsidP="005268D4">
            <w:pPr>
              <w:jc w:val="center"/>
              <w:rPr>
                <w:szCs w:val="21"/>
              </w:rPr>
            </w:pPr>
            <w:r w:rsidRPr="002350B0">
              <w:rPr>
                <w:szCs w:val="21"/>
              </w:rPr>
              <w:t>0.</w:t>
            </w:r>
            <w:r w:rsidR="005268D4">
              <w:rPr>
                <w:rFonts w:hint="eastAsia"/>
                <w:szCs w:val="21"/>
              </w:rPr>
              <w:t>569</w:t>
            </w:r>
          </w:p>
        </w:tc>
        <w:tc>
          <w:tcPr>
            <w:tcW w:w="1654" w:type="dxa"/>
            <w:tcBorders>
              <w:top w:val="single" w:sz="4" w:space="0" w:color="FFFFFF" w:themeColor="background1"/>
              <w:bottom w:val="single" w:sz="4" w:space="0" w:color="FFFFFF" w:themeColor="background1"/>
            </w:tcBorders>
          </w:tcPr>
          <w:p w:rsidR="00172548" w:rsidRPr="002350B0" w:rsidRDefault="00172548" w:rsidP="005268D4">
            <w:pPr>
              <w:jc w:val="center"/>
              <w:rPr>
                <w:szCs w:val="21"/>
              </w:rPr>
            </w:pPr>
            <w:r w:rsidRPr="002350B0">
              <w:rPr>
                <w:szCs w:val="21"/>
              </w:rPr>
              <w:t>0.</w:t>
            </w:r>
            <w:r w:rsidR="005268D4">
              <w:rPr>
                <w:rFonts w:hint="eastAsia"/>
                <w:szCs w:val="21"/>
              </w:rPr>
              <w:t>528</w:t>
            </w:r>
          </w:p>
        </w:tc>
        <w:tc>
          <w:tcPr>
            <w:tcW w:w="1654" w:type="dxa"/>
            <w:tcBorders>
              <w:top w:val="single" w:sz="4" w:space="0" w:color="FFFFFF" w:themeColor="background1"/>
              <w:bottom w:val="single" w:sz="4" w:space="0" w:color="FFFFFF" w:themeColor="background1"/>
            </w:tcBorders>
          </w:tcPr>
          <w:p w:rsidR="00172548" w:rsidRPr="002350B0" w:rsidRDefault="00172548" w:rsidP="005268D4">
            <w:pPr>
              <w:jc w:val="center"/>
              <w:rPr>
                <w:szCs w:val="21"/>
              </w:rPr>
            </w:pPr>
            <w:r w:rsidRPr="002350B0">
              <w:rPr>
                <w:szCs w:val="21"/>
              </w:rPr>
              <w:t>0.</w:t>
            </w:r>
            <w:r w:rsidR="005268D4">
              <w:rPr>
                <w:rFonts w:hint="eastAsia"/>
                <w:szCs w:val="21"/>
              </w:rPr>
              <w:t>534</w:t>
            </w:r>
          </w:p>
        </w:tc>
      </w:tr>
      <w:tr w:rsidR="00172548" w:rsidRPr="002350B0" w:rsidTr="00173C38">
        <w:trPr>
          <w:trHeight w:val="420"/>
        </w:trPr>
        <w:tc>
          <w:tcPr>
            <w:tcW w:w="1871" w:type="dxa"/>
            <w:tcBorders>
              <w:bottom w:val="single" w:sz="4" w:space="0" w:color="auto"/>
            </w:tcBorders>
            <w:vAlign w:val="center"/>
          </w:tcPr>
          <w:p w:rsidR="00172548" w:rsidRPr="002350B0" w:rsidRDefault="00172548" w:rsidP="00173C38">
            <w:pPr>
              <w:jc w:val="center"/>
              <w:rPr>
                <w:szCs w:val="21"/>
              </w:rPr>
            </w:pPr>
            <w:r w:rsidRPr="002350B0">
              <w:rPr>
                <w:szCs w:val="21"/>
              </w:rPr>
              <w:t>平均值</w:t>
            </w:r>
          </w:p>
        </w:tc>
        <w:tc>
          <w:tcPr>
            <w:tcW w:w="1689" w:type="dxa"/>
            <w:tcBorders>
              <w:top w:val="single" w:sz="4" w:space="0" w:color="FFFFFF" w:themeColor="background1"/>
              <w:bottom w:val="single" w:sz="4" w:space="0" w:color="auto"/>
            </w:tcBorders>
          </w:tcPr>
          <w:p w:rsidR="00172548" w:rsidRPr="002350B0" w:rsidRDefault="00172548" w:rsidP="005268D4">
            <w:pPr>
              <w:jc w:val="center"/>
              <w:rPr>
                <w:szCs w:val="21"/>
              </w:rPr>
            </w:pPr>
            <w:r w:rsidRPr="002350B0">
              <w:rPr>
                <w:szCs w:val="21"/>
              </w:rPr>
              <w:t>0.</w:t>
            </w:r>
            <w:r w:rsidR="005268D4">
              <w:rPr>
                <w:rFonts w:hint="eastAsia"/>
                <w:szCs w:val="21"/>
              </w:rPr>
              <w:t>561</w:t>
            </w:r>
            <w:r w:rsidRPr="002350B0">
              <w:rPr>
                <w:szCs w:val="21"/>
              </w:rPr>
              <w:t>±0.03</w:t>
            </w:r>
            <w:r w:rsidR="005268D4">
              <w:rPr>
                <w:rFonts w:hint="eastAsia"/>
                <w:szCs w:val="21"/>
              </w:rPr>
              <w:t>3</w:t>
            </w:r>
          </w:p>
        </w:tc>
        <w:tc>
          <w:tcPr>
            <w:tcW w:w="1654" w:type="dxa"/>
            <w:tcBorders>
              <w:top w:val="single" w:sz="4" w:space="0" w:color="FFFFFF" w:themeColor="background1"/>
              <w:bottom w:val="single" w:sz="4" w:space="0" w:color="auto"/>
            </w:tcBorders>
          </w:tcPr>
          <w:p w:rsidR="00172548" w:rsidRPr="002350B0" w:rsidRDefault="00172548" w:rsidP="005268D4">
            <w:pPr>
              <w:jc w:val="center"/>
              <w:rPr>
                <w:szCs w:val="21"/>
              </w:rPr>
            </w:pPr>
            <w:r w:rsidRPr="002350B0">
              <w:rPr>
                <w:szCs w:val="21"/>
              </w:rPr>
              <w:t>0.</w:t>
            </w:r>
            <w:r w:rsidR="005268D4">
              <w:rPr>
                <w:rFonts w:hint="eastAsia"/>
                <w:szCs w:val="21"/>
              </w:rPr>
              <w:t>583</w:t>
            </w:r>
            <w:r w:rsidRPr="002350B0">
              <w:rPr>
                <w:szCs w:val="21"/>
              </w:rPr>
              <w:t>±0.01</w:t>
            </w:r>
            <w:r w:rsidR="005268D4">
              <w:rPr>
                <w:rFonts w:hint="eastAsia"/>
                <w:szCs w:val="21"/>
              </w:rPr>
              <w:t>2</w:t>
            </w:r>
          </w:p>
        </w:tc>
        <w:tc>
          <w:tcPr>
            <w:tcW w:w="1654" w:type="dxa"/>
            <w:tcBorders>
              <w:top w:val="single" w:sz="4" w:space="0" w:color="FFFFFF" w:themeColor="background1"/>
              <w:bottom w:val="single" w:sz="4" w:space="0" w:color="auto"/>
            </w:tcBorders>
          </w:tcPr>
          <w:p w:rsidR="00172548" w:rsidRPr="002350B0" w:rsidRDefault="00172548" w:rsidP="005268D4">
            <w:pPr>
              <w:jc w:val="center"/>
              <w:rPr>
                <w:szCs w:val="21"/>
              </w:rPr>
            </w:pPr>
            <w:r w:rsidRPr="002350B0">
              <w:rPr>
                <w:szCs w:val="21"/>
              </w:rPr>
              <w:t>0.</w:t>
            </w:r>
            <w:r w:rsidR="005268D4">
              <w:rPr>
                <w:rFonts w:hint="eastAsia"/>
                <w:szCs w:val="21"/>
              </w:rPr>
              <w:t>537</w:t>
            </w:r>
            <w:r w:rsidRPr="002350B0">
              <w:rPr>
                <w:szCs w:val="21"/>
              </w:rPr>
              <w:t>±0.0</w:t>
            </w:r>
            <w:r w:rsidR="005268D4">
              <w:rPr>
                <w:rFonts w:hint="eastAsia"/>
                <w:szCs w:val="21"/>
              </w:rPr>
              <w:t>11</w:t>
            </w:r>
          </w:p>
        </w:tc>
        <w:tc>
          <w:tcPr>
            <w:tcW w:w="1654" w:type="dxa"/>
            <w:tcBorders>
              <w:top w:val="single" w:sz="4" w:space="0" w:color="FFFFFF" w:themeColor="background1"/>
              <w:bottom w:val="single" w:sz="4" w:space="0" w:color="auto"/>
            </w:tcBorders>
          </w:tcPr>
          <w:p w:rsidR="00172548" w:rsidRPr="002350B0" w:rsidRDefault="00172548" w:rsidP="005268D4">
            <w:pPr>
              <w:jc w:val="center"/>
              <w:rPr>
                <w:szCs w:val="21"/>
              </w:rPr>
            </w:pPr>
            <w:r w:rsidRPr="002350B0">
              <w:rPr>
                <w:szCs w:val="21"/>
              </w:rPr>
              <w:t>0.</w:t>
            </w:r>
            <w:r w:rsidR="005268D4">
              <w:rPr>
                <w:rFonts w:hint="eastAsia"/>
                <w:szCs w:val="21"/>
              </w:rPr>
              <w:t>568</w:t>
            </w:r>
            <w:r w:rsidRPr="002350B0">
              <w:rPr>
                <w:szCs w:val="21"/>
              </w:rPr>
              <w:t>±0.0</w:t>
            </w:r>
            <w:r w:rsidR="005268D4">
              <w:rPr>
                <w:rFonts w:hint="eastAsia"/>
                <w:szCs w:val="21"/>
              </w:rPr>
              <w:t>30</w:t>
            </w:r>
          </w:p>
        </w:tc>
      </w:tr>
    </w:tbl>
    <w:p w:rsidR="00172548" w:rsidRPr="002350B0" w:rsidRDefault="00172548" w:rsidP="00172548">
      <w:pPr>
        <w:tabs>
          <w:tab w:val="left" w:pos="2445"/>
        </w:tabs>
        <w:ind w:firstLineChars="200" w:firstLine="420"/>
        <w:rPr>
          <w:szCs w:val="21"/>
        </w:rPr>
      </w:pPr>
      <w:r w:rsidRPr="002350B0">
        <w:rPr>
          <w:szCs w:val="21"/>
        </w:rPr>
        <w:t>重复性低于</w:t>
      </w:r>
      <w:r w:rsidR="005268D4">
        <w:rPr>
          <w:rFonts w:hint="eastAsia"/>
          <w:szCs w:val="21"/>
        </w:rPr>
        <w:t>1</w:t>
      </w:r>
      <w:r w:rsidRPr="002350B0">
        <w:rPr>
          <w:szCs w:val="21"/>
        </w:rPr>
        <w:t>5%</w:t>
      </w:r>
      <w:r w:rsidRPr="002350B0">
        <w:rPr>
          <w:szCs w:val="21"/>
        </w:rPr>
        <w:t>。</w:t>
      </w:r>
    </w:p>
    <w:p w:rsidR="00172548" w:rsidRPr="002350B0" w:rsidRDefault="00172548" w:rsidP="006D7106">
      <w:pPr>
        <w:spacing w:beforeLines="50"/>
        <w:rPr>
          <w:rFonts w:eastAsia="黑体"/>
          <w:b/>
          <w:sz w:val="24"/>
        </w:rPr>
      </w:pPr>
      <w:r w:rsidRPr="002350B0">
        <w:rPr>
          <w:rFonts w:eastAsia="黑体"/>
          <w:b/>
          <w:sz w:val="24"/>
        </w:rPr>
        <w:t>七、与有关的现行法律、法规和强制性国家标准的关系</w:t>
      </w:r>
    </w:p>
    <w:p w:rsidR="00172548" w:rsidRPr="002350B0" w:rsidRDefault="00172548" w:rsidP="00172548">
      <w:pPr>
        <w:ind w:firstLineChars="200" w:firstLine="480"/>
        <w:rPr>
          <w:sz w:val="24"/>
        </w:rPr>
      </w:pPr>
      <w:r w:rsidRPr="002350B0">
        <w:rPr>
          <w:sz w:val="24"/>
        </w:rPr>
        <w:t>本标准符合国家现行法律、法规、规章和强制性国家标准的要求。本标准的实施不涉及对现行标准的废止情况。</w:t>
      </w:r>
    </w:p>
    <w:p w:rsidR="00172548" w:rsidRPr="002350B0" w:rsidRDefault="00172548" w:rsidP="006D7106">
      <w:pPr>
        <w:spacing w:beforeLines="50"/>
        <w:rPr>
          <w:rFonts w:eastAsia="黑体"/>
          <w:b/>
          <w:sz w:val="24"/>
        </w:rPr>
      </w:pPr>
      <w:r w:rsidRPr="002350B0">
        <w:rPr>
          <w:rFonts w:eastAsia="黑体"/>
          <w:b/>
          <w:sz w:val="24"/>
        </w:rPr>
        <w:t>八、标准属性的建议</w:t>
      </w:r>
    </w:p>
    <w:p w:rsidR="00172548" w:rsidRPr="002350B0" w:rsidRDefault="00172548" w:rsidP="00172548">
      <w:pPr>
        <w:pStyle w:val="af1"/>
        <w:widowControl w:val="0"/>
        <w:spacing w:before="0" w:beforeAutospacing="0" w:after="0" w:afterAutospacing="0" w:line="520" w:lineRule="exact"/>
        <w:ind w:firstLineChars="200" w:firstLine="480"/>
        <w:rPr>
          <w:rFonts w:ascii="Times New Roman" w:hAnsi="Times New Roman" w:cs="Times New Roman"/>
          <w:sz w:val="24"/>
          <w:szCs w:val="24"/>
        </w:rPr>
      </w:pPr>
      <w:r w:rsidRPr="002350B0">
        <w:rPr>
          <w:rFonts w:ascii="Times New Roman" w:hAnsi="Times New Roman" w:cs="Times New Roman"/>
          <w:sz w:val="24"/>
          <w:szCs w:val="24"/>
        </w:rPr>
        <w:t>本标准为推荐性国家标准。</w:t>
      </w:r>
    </w:p>
    <w:p w:rsidR="00172548" w:rsidRPr="002350B0" w:rsidRDefault="00172548" w:rsidP="006D7106">
      <w:pPr>
        <w:spacing w:beforeLines="50"/>
        <w:rPr>
          <w:rFonts w:eastAsia="黑体"/>
          <w:b/>
          <w:sz w:val="24"/>
        </w:rPr>
      </w:pPr>
      <w:r w:rsidRPr="002350B0">
        <w:rPr>
          <w:rFonts w:eastAsia="黑体"/>
          <w:b/>
          <w:sz w:val="24"/>
        </w:rPr>
        <w:t>九、贯彻国家标准的要求和措施建议</w:t>
      </w:r>
    </w:p>
    <w:p w:rsidR="00172548" w:rsidRPr="002350B0" w:rsidRDefault="00172548" w:rsidP="00EF5D7D">
      <w:pPr>
        <w:ind w:firstLineChars="200" w:firstLine="480"/>
        <w:rPr>
          <w:kern w:val="0"/>
          <w:sz w:val="24"/>
          <w:szCs w:val="24"/>
        </w:rPr>
      </w:pPr>
      <w:r w:rsidRPr="002350B0">
        <w:rPr>
          <w:kern w:val="0"/>
          <w:sz w:val="24"/>
          <w:szCs w:val="24"/>
        </w:rPr>
        <w:t>标准发布实施后，建议由标准编制单位组织有关生产、检验、设计等单位进行宣传贯彻</w:t>
      </w:r>
      <w:r w:rsidRPr="002350B0">
        <w:rPr>
          <w:szCs w:val="21"/>
        </w:rPr>
        <w:t>。</w:t>
      </w:r>
    </w:p>
    <w:p w:rsidR="00172548" w:rsidRPr="002350B0" w:rsidRDefault="00172548" w:rsidP="006D7106">
      <w:pPr>
        <w:spacing w:beforeLines="50"/>
        <w:rPr>
          <w:rFonts w:eastAsia="黑体"/>
          <w:b/>
          <w:sz w:val="24"/>
        </w:rPr>
      </w:pPr>
      <w:r w:rsidRPr="002350B0">
        <w:rPr>
          <w:rFonts w:eastAsia="黑体"/>
          <w:b/>
          <w:sz w:val="24"/>
        </w:rPr>
        <w:t>十、其他应予说明的事项</w:t>
      </w:r>
    </w:p>
    <w:p w:rsidR="00172548" w:rsidRPr="002350B0" w:rsidRDefault="00172548" w:rsidP="00172548">
      <w:pPr>
        <w:ind w:firstLineChars="200" w:firstLine="480"/>
        <w:rPr>
          <w:kern w:val="0"/>
          <w:sz w:val="24"/>
          <w:szCs w:val="24"/>
        </w:rPr>
      </w:pPr>
      <w:r w:rsidRPr="002350B0">
        <w:rPr>
          <w:kern w:val="0"/>
          <w:sz w:val="24"/>
          <w:szCs w:val="24"/>
        </w:rPr>
        <w:t>无其他事项说明。</w:t>
      </w:r>
    </w:p>
    <w:p w:rsidR="003C17B5" w:rsidRPr="002350B0" w:rsidRDefault="003C17B5" w:rsidP="00B05ECD">
      <w:pPr>
        <w:snapToGrid w:val="0"/>
        <w:spacing w:line="240" w:lineRule="auto"/>
        <w:rPr>
          <w:szCs w:val="21"/>
        </w:rPr>
      </w:pPr>
    </w:p>
    <w:p w:rsidR="001A052A" w:rsidRPr="002350B0" w:rsidRDefault="001A052A" w:rsidP="00B05ECD">
      <w:pPr>
        <w:tabs>
          <w:tab w:val="left" w:pos="0"/>
        </w:tabs>
        <w:autoSpaceDE w:val="0"/>
        <w:autoSpaceDN w:val="0"/>
        <w:snapToGrid w:val="0"/>
        <w:rPr>
          <w:kern w:val="0"/>
          <w:sz w:val="24"/>
          <w:szCs w:val="24"/>
        </w:rPr>
      </w:pPr>
    </w:p>
    <w:p w:rsidR="00A64171" w:rsidRPr="002350B0" w:rsidRDefault="00A64171" w:rsidP="00B05ECD">
      <w:pPr>
        <w:snapToGrid w:val="0"/>
      </w:pPr>
    </w:p>
    <w:sectPr w:rsidR="00A64171" w:rsidRPr="002350B0" w:rsidSect="001034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0A4" w:rsidRDefault="00DD70A4" w:rsidP="002407D1">
      <w:pPr>
        <w:spacing w:line="240" w:lineRule="auto"/>
      </w:pPr>
      <w:r>
        <w:separator/>
      </w:r>
    </w:p>
  </w:endnote>
  <w:endnote w:type="continuationSeparator" w:id="0">
    <w:p w:rsidR="00DD70A4" w:rsidRDefault="00DD70A4" w:rsidP="002407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0A4" w:rsidRDefault="00DD70A4" w:rsidP="002407D1">
      <w:pPr>
        <w:spacing w:line="240" w:lineRule="auto"/>
      </w:pPr>
      <w:r>
        <w:separator/>
      </w:r>
    </w:p>
  </w:footnote>
  <w:footnote w:type="continuationSeparator" w:id="0">
    <w:p w:rsidR="00DD70A4" w:rsidRDefault="00DD70A4" w:rsidP="002407D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602AF"/>
    <w:multiLevelType w:val="hybridMultilevel"/>
    <w:tmpl w:val="C42675D0"/>
    <w:lvl w:ilvl="0" w:tplc="85E4145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56111EB7"/>
    <w:multiLevelType w:val="singleLevel"/>
    <w:tmpl w:val="56111EB7"/>
    <w:lvl w:ilvl="0">
      <w:start w:val="3"/>
      <w:numFmt w:val="chineseCounting"/>
      <w:suff w:val="nothing"/>
      <w:lvlText w:val="%1、"/>
      <w:lvlJc w:val="left"/>
    </w:lvl>
  </w:abstractNum>
  <w:abstractNum w:abstractNumId="3">
    <w:nsid w:val="6F0D1F1A"/>
    <w:multiLevelType w:val="hybridMultilevel"/>
    <w:tmpl w:val="42809850"/>
    <w:lvl w:ilvl="0" w:tplc="4DE811A4">
      <w:start w:val="4"/>
      <w:numFmt w:val="decimal"/>
      <w:lvlText w:val="（%1）"/>
      <w:lvlJc w:val="left"/>
      <w:pPr>
        <w:ind w:left="862"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65A4"/>
    <w:rsid w:val="00005C3B"/>
    <w:rsid w:val="000066AD"/>
    <w:rsid w:val="00012B0B"/>
    <w:rsid w:val="0001768A"/>
    <w:rsid w:val="00045DBB"/>
    <w:rsid w:val="00054A5E"/>
    <w:rsid w:val="000B100F"/>
    <w:rsid w:val="000B6706"/>
    <w:rsid w:val="000C43CF"/>
    <w:rsid w:val="000D5D53"/>
    <w:rsid w:val="000F6C60"/>
    <w:rsid w:val="000F77EF"/>
    <w:rsid w:val="00101831"/>
    <w:rsid w:val="00102372"/>
    <w:rsid w:val="001034D4"/>
    <w:rsid w:val="001038C0"/>
    <w:rsid w:val="00105426"/>
    <w:rsid w:val="001061CF"/>
    <w:rsid w:val="00114958"/>
    <w:rsid w:val="00116220"/>
    <w:rsid w:val="00116378"/>
    <w:rsid w:val="00122162"/>
    <w:rsid w:val="00135259"/>
    <w:rsid w:val="00150E67"/>
    <w:rsid w:val="001513DF"/>
    <w:rsid w:val="00172548"/>
    <w:rsid w:val="001729AE"/>
    <w:rsid w:val="00177745"/>
    <w:rsid w:val="0019410B"/>
    <w:rsid w:val="001975AA"/>
    <w:rsid w:val="001A052A"/>
    <w:rsid w:val="001C6952"/>
    <w:rsid w:val="001D78DB"/>
    <w:rsid w:val="001E1FD9"/>
    <w:rsid w:val="001E27BD"/>
    <w:rsid w:val="001E71D6"/>
    <w:rsid w:val="001F1C3B"/>
    <w:rsid w:val="001F434C"/>
    <w:rsid w:val="001F4D0A"/>
    <w:rsid w:val="001F6D60"/>
    <w:rsid w:val="00225E93"/>
    <w:rsid w:val="002350B0"/>
    <w:rsid w:val="002407D1"/>
    <w:rsid w:val="00241FA1"/>
    <w:rsid w:val="002603ED"/>
    <w:rsid w:val="00274BAD"/>
    <w:rsid w:val="002806C2"/>
    <w:rsid w:val="002848EF"/>
    <w:rsid w:val="00286E81"/>
    <w:rsid w:val="00287793"/>
    <w:rsid w:val="00293113"/>
    <w:rsid w:val="002C26E5"/>
    <w:rsid w:val="002D1004"/>
    <w:rsid w:val="002F015E"/>
    <w:rsid w:val="002F46AC"/>
    <w:rsid w:val="00330C0C"/>
    <w:rsid w:val="00335FBB"/>
    <w:rsid w:val="003607F2"/>
    <w:rsid w:val="003865A4"/>
    <w:rsid w:val="003C17B5"/>
    <w:rsid w:val="003C3050"/>
    <w:rsid w:val="003E3829"/>
    <w:rsid w:val="003F24D6"/>
    <w:rsid w:val="003F5A43"/>
    <w:rsid w:val="004118D8"/>
    <w:rsid w:val="00411EA4"/>
    <w:rsid w:val="00411F8D"/>
    <w:rsid w:val="00421B66"/>
    <w:rsid w:val="00425C72"/>
    <w:rsid w:val="004320DA"/>
    <w:rsid w:val="00437D77"/>
    <w:rsid w:val="00444CF6"/>
    <w:rsid w:val="0045537B"/>
    <w:rsid w:val="00475257"/>
    <w:rsid w:val="004A3D8A"/>
    <w:rsid w:val="004B0A11"/>
    <w:rsid w:val="004C2C9E"/>
    <w:rsid w:val="004C58F7"/>
    <w:rsid w:val="004C7F5D"/>
    <w:rsid w:val="00511BB3"/>
    <w:rsid w:val="00514008"/>
    <w:rsid w:val="00520E4C"/>
    <w:rsid w:val="005268D4"/>
    <w:rsid w:val="00537273"/>
    <w:rsid w:val="00553561"/>
    <w:rsid w:val="00562ABE"/>
    <w:rsid w:val="005630B6"/>
    <w:rsid w:val="0058337A"/>
    <w:rsid w:val="005948F9"/>
    <w:rsid w:val="005A63AE"/>
    <w:rsid w:val="005B78EB"/>
    <w:rsid w:val="005C616F"/>
    <w:rsid w:val="005E0A0F"/>
    <w:rsid w:val="005E112F"/>
    <w:rsid w:val="005F11D8"/>
    <w:rsid w:val="00605EE9"/>
    <w:rsid w:val="0062053E"/>
    <w:rsid w:val="006214ED"/>
    <w:rsid w:val="0064074C"/>
    <w:rsid w:val="00664E46"/>
    <w:rsid w:val="00667C72"/>
    <w:rsid w:val="00691BFB"/>
    <w:rsid w:val="006926CA"/>
    <w:rsid w:val="006A243F"/>
    <w:rsid w:val="006D3274"/>
    <w:rsid w:val="006D7106"/>
    <w:rsid w:val="00707E13"/>
    <w:rsid w:val="00714127"/>
    <w:rsid w:val="0075682B"/>
    <w:rsid w:val="00790BFB"/>
    <w:rsid w:val="00796F43"/>
    <w:rsid w:val="007A0FBB"/>
    <w:rsid w:val="007A4788"/>
    <w:rsid w:val="007A6467"/>
    <w:rsid w:val="007D0919"/>
    <w:rsid w:val="007F3186"/>
    <w:rsid w:val="007F32C8"/>
    <w:rsid w:val="007F451E"/>
    <w:rsid w:val="007F4D3B"/>
    <w:rsid w:val="007F6A8D"/>
    <w:rsid w:val="007F7ABE"/>
    <w:rsid w:val="00817309"/>
    <w:rsid w:val="0082560B"/>
    <w:rsid w:val="00831E98"/>
    <w:rsid w:val="00843355"/>
    <w:rsid w:val="00847828"/>
    <w:rsid w:val="00852492"/>
    <w:rsid w:val="008566D1"/>
    <w:rsid w:val="00856BF0"/>
    <w:rsid w:val="00873F52"/>
    <w:rsid w:val="0088575E"/>
    <w:rsid w:val="008869DE"/>
    <w:rsid w:val="008A2B98"/>
    <w:rsid w:val="008A33DA"/>
    <w:rsid w:val="008B3F2B"/>
    <w:rsid w:val="008D119A"/>
    <w:rsid w:val="008F0C1C"/>
    <w:rsid w:val="008F0E1E"/>
    <w:rsid w:val="00915936"/>
    <w:rsid w:val="009204B5"/>
    <w:rsid w:val="00943D2B"/>
    <w:rsid w:val="009470A8"/>
    <w:rsid w:val="00950BB7"/>
    <w:rsid w:val="00954BD9"/>
    <w:rsid w:val="00956F77"/>
    <w:rsid w:val="00967925"/>
    <w:rsid w:val="00974CB3"/>
    <w:rsid w:val="00993EAD"/>
    <w:rsid w:val="009B0AD0"/>
    <w:rsid w:val="009C3388"/>
    <w:rsid w:val="009D0628"/>
    <w:rsid w:val="009D397C"/>
    <w:rsid w:val="009F3E93"/>
    <w:rsid w:val="009F44E3"/>
    <w:rsid w:val="00A018F3"/>
    <w:rsid w:val="00A1212D"/>
    <w:rsid w:val="00A154AC"/>
    <w:rsid w:val="00A15E20"/>
    <w:rsid w:val="00A228AC"/>
    <w:rsid w:val="00A61514"/>
    <w:rsid w:val="00A64171"/>
    <w:rsid w:val="00A706A0"/>
    <w:rsid w:val="00A922A4"/>
    <w:rsid w:val="00A9456E"/>
    <w:rsid w:val="00AA73F4"/>
    <w:rsid w:val="00AB50B3"/>
    <w:rsid w:val="00AC005E"/>
    <w:rsid w:val="00AF470B"/>
    <w:rsid w:val="00B05ECD"/>
    <w:rsid w:val="00B11401"/>
    <w:rsid w:val="00B1202B"/>
    <w:rsid w:val="00B155A7"/>
    <w:rsid w:val="00B211F1"/>
    <w:rsid w:val="00B448BE"/>
    <w:rsid w:val="00B750D7"/>
    <w:rsid w:val="00B822C8"/>
    <w:rsid w:val="00B95C1E"/>
    <w:rsid w:val="00BA3BAC"/>
    <w:rsid w:val="00BB6A40"/>
    <w:rsid w:val="00BB7998"/>
    <w:rsid w:val="00BC1409"/>
    <w:rsid w:val="00BC5DCD"/>
    <w:rsid w:val="00BC6CCB"/>
    <w:rsid w:val="00BE5E72"/>
    <w:rsid w:val="00C005A4"/>
    <w:rsid w:val="00C00C72"/>
    <w:rsid w:val="00C10DFA"/>
    <w:rsid w:val="00C64BB3"/>
    <w:rsid w:val="00C66920"/>
    <w:rsid w:val="00C673C6"/>
    <w:rsid w:val="00C80AB1"/>
    <w:rsid w:val="00C869AE"/>
    <w:rsid w:val="00C87B35"/>
    <w:rsid w:val="00C90670"/>
    <w:rsid w:val="00CA688B"/>
    <w:rsid w:val="00CC3355"/>
    <w:rsid w:val="00CD769C"/>
    <w:rsid w:val="00D44590"/>
    <w:rsid w:val="00D579BC"/>
    <w:rsid w:val="00D6696C"/>
    <w:rsid w:val="00D829B8"/>
    <w:rsid w:val="00DA18B3"/>
    <w:rsid w:val="00DA6FF7"/>
    <w:rsid w:val="00DB006E"/>
    <w:rsid w:val="00DD70A4"/>
    <w:rsid w:val="00DF6DE2"/>
    <w:rsid w:val="00E05C6D"/>
    <w:rsid w:val="00E3017E"/>
    <w:rsid w:val="00E30FC1"/>
    <w:rsid w:val="00E3514A"/>
    <w:rsid w:val="00E452F8"/>
    <w:rsid w:val="00E50821"/>
    <w:rsid w:val="00E50E0F"/>
    <w:rsid w:val="00E70155"/>
    <w:rsid w:val="00E860C5"/>
    <w:rsid w:val="00E918AF"/>
    <w:rsid w:val="00EA4EAC"/>
    <w:rsid w:val="00EF5D7D"/>
    <w:rsid w:val="00F00457"/>
    <w:rsid w:val="00F24093"/>
    <w:rsid w:val="00F726C8"/>
    <w:rsid w:val="00F73402"/>
    <w:rsid w:val="00F903E6"/>
    <w:rsid w:val="00F96364"/>
    <w:rsid w:val="00FB5BB9"/>
    <w:rsid w:val="00FC1BD6"/>
    <w:rsid w:val="00FD3B50"/>
    <w:rsid w:val="00FE46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A4"/>
    <w:pPr>
      <w:widowControl w:val="0"/>
      <w:adjustRightInd w:val="0"/>
      <w:spacing w:line="360" w:lineRule="auto"/>
      <w:jc w:val="both"/>
      <w:textAlignment w:val="baseline"/>
    </w:pPr>
    <w:rPr>
      <w:rFonts w:ascii="Times New Roman" w:hAnsi="Times New Roman"/>
      <w:kern w:val="2"/>
      <w:sz w:val="21"/>
    </w:rPr>
  </w:style>
  <w:style w:type="paragraph" w:styleId="1">
    <w:name w:val="heading 1"/>
    <w:basedOn w:val="a"/>
    <w:next w:val="a"/>
    <w:link w:val="1Char"/>
    <w:uiPriority w:val="9"/>
    <w:qFormat/>
    <w:rsid w:val="003865A4"/>
    <w:pPr>
      <w:keepNext/>
      <w:keepLines/>
      <w:adjustRightInd/>
      <w:spacing w:before="340" w:after="330" w:line="578" w:lineRule="auto"/>
      <w:textAlignment w:val="auto"/>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865A4"/>
    <w:rPr>
      <w:b/>
      <w:bCs/>
      <w:kern w:val="44"/>
      <w:sz w:val="44"/>
      <w:szCs w:val="44"/>
    </w:rPr>
  </w:style>
  <w:style w:type="paragraph" w:styleId="a3">
    <w:name w:val="List Paragraph"/>
    <w:basedOn w:val="a"/>
    <w:uiPriority w:val="34"/>
    <w:qFormat/>
    <w:rsid w:val="003865A4"/>
    <w:pPr>
      <w:ind w:firstLineChars="200" w:firstLine="420"/>
    </w:pPr>
  </w:style>
  <w:style w:type="paragraph" w:styleId="a4">
    <w:name w:val="header"/>
    <w:basedOn w:val="a"/>
    <w:link w:val="Char"/>
    <w:uiPriority w:val="99"/>
    <w:unhideWhenUsed/>
    <w:rsid w:val="002407D1"/>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2407D1"/>
    <w:rPr>
      <w:rFonts w:ascii="Times New Roman" w:eastAsia="宋体" w:hAnsi="Times New Roman" w:cs="Times New Roman"/>
      <w:sz w:val="18"/>
      <w:szCs w:val="18"/>
    </w:rPr>
  </w:style>
  <w:style w:type="paragraph" w:styleId="a5">
    <w:name w:val="footer"/>
    <w:basedOn w:val="a"/>
    <w:link w:val="Char0"/>
    <w:uiPriority w:val="99"/>
    <w:unhideWhenUsed/>
    <w:rsid w:val="002407D1"/>
    <w:pPr>
      <w:tabs>
        <w:tab w:val="center" w:pos="4153"/>
        <w:tab w:val="right" w:pos="8306"/>
      </w:tabs>
      <w:snapToGrid w:val="0"/>
      <w:spacing w:line="240" w:lineRule="auto"/>
      <w:jc w:val="left"/>
    </w:pPr>
    <w:rPr>
      <w:sz w:val="18"/>
      <w:szCs w:val="18"/>
    </w:rPr>
  </w:style>
  <w:style w:type="character" w:customStyle="1" w:styleId="Char0">
    <w:name w:val="页脚 Char"/>
    <w:basedOn w:val="a0"/>
    <w:link w:val="a5"/>
    <w:uiPriority w:val="99"/>
    <w:rsid w:val="002407D1"/>
    <w:rPr>
      <w:rFonts w:ascii="Times New Roman" w:eastAsia="宋体" w:hAnsi="Times New Roman" w:cs="Times New Roman"/>
      <w:sz w:val="18"/>
      <w:szCs w:val="18"/>
    </w:rPr>
  </w:style>
  <w:style w:type="paragraph" w:customStyle="1" w:styleId="a6">
    <w:name w:val="字母编号列项（一级）"/>
    <w:qFormat/>
    <w:rsid w:val="004C2C9E"/>
    <w:pPr>
      <w:ind w:leftChars="200" w:left="840" w:hangingChars="200" w:hanging="420"/>
      <w:jc w:val="both"/>
    </w:pPr>
    <w:rPr>
      <w:rFonts w:ascii="宋体" w:hAnsi="Times New Roman"/>
      <w:sz w:val="21"/>
    </w:rPr>
  </w:style>
  <w:style w:type="paragraph" w:customStyle="1" w:styleId="a7">
    <w:name w:val="正文表标题"/>
    <w:next w:val="a"/>
    <w:rsid w:val="004C2C9E"/>
    <w:pPr>
      <w:jc w:val="center"/>
    </w:pPr>
    <w:rPr>
      <w:rFonts w:ascii="黑体" w:eastAsia="黑体" w:hAnsi="Times New Roman"/>
      <w:sz w:val="21"/>
    </w:rPr>
  </w:style>
  <w:style w:type="paragraph" w:customStyle="1" w:styleId="a8">
    <w:name w:val="二级无"/>
    <w:basedOn w:val="a"/>
    <w:qFormat/>
    <w:rsid w:val="004C2C9E"/>
    <w:pPr>
      <w:widowControl/>
      <w:adjustRightInd/>
      <w:spacing w:line="240" w:lineRule="auto"/>
      <w:textAlignment w:val="auto"/>
      <w:outlineLvl w:val="3"/>
    </w:pPr>
    <w:rPr>
      <w:rFonts w:ascii="宋体"/>
      <w:kern w:val="0"/>
      <w:szCs w:val="21"/>
    </w:rPr>
  </w:style>
  <w:style w:type="paragraph" w:customStyle="1" w:styleId="a9">
    <w:name w:val="一级条标题"/>
    <w:next w:val="a"/>
    <w:rsid w:val="004C2C9E"/>
    <w:pPr>
      <w:spacing w:beforeLines="50" w:afterLines="50"/>
      <w:ind w:left="630"/>
      <w:outlineLvl w:val="2"/>
    </w:pPr>
    <w:rPr>
      <w:rFonts w:ascii="黑体" w:eastAsia="黑体" w:hAnsi="Times New Roman"/>
      <w:sz w:val="21"/>
      <w:szCs w:val="21"/>
    </w:rPr>
  </w:style>
  <w:style w:type="paragraph" w:customStyle="1" w:styleId="aa">
    <w:name w:val="章标题"/>
    <w:next w:val="a"/>
    <w:qFormat/>
    <w:rsid w:val="004C2C9E"/>
    <w:pPr>
      <w:spacing w:beforeLines="100" w:afterLines="100"/>
      <w:jc w:val="both"/>
      <w:outlineLvl w:val="1"/>
    </w:pPr>
    <w:rPr>
      <w:rFonts w:ascii="黑体" w:eastAsia="黑体" w:hAnsi="Times New Roman"/>
      <w:sz w:val="21"/>
    </w:rPr>
  </w:style>
  <w:style w:type="paragraph" w:customStyle="1" w:styleId="ab">
    <w:name w:val="二级条标题"/>
    <w:basedOn w:val="a9"/>
    <w:next w:val="a"/>
    <w:qFormat/>
    <w:rsid w:val="004C2C9E"/>
    <w:pPr>
      <w:spacing w:before="50" w:after="50"/>
      <w:ind w:left="0"/>
      <w:outlineLvl w:val="3"/>
    </w:pPr>
  </w:style>
  <w:style w:type="paragraph" w:customStyle="1" w:styleId="ac">
    <w:name w:val="四级条标题"/>
    <w:basedOn w:val="a"/>
    <w:next w:val="a"/>
    <w:qFormat/>
    <w:rsid w:val="004C2C9E"/>
    <w:pPr>
      <w:widowControl/>
      <w:adjustRightInd/>
      <w:spacing w:beforeLines="50" w:afterLines="50" w:line="240" w:lineRule="auto"/>
      <w:jc w:val="left"/>
      <w:textAlignment w:val="auto"/>
      <w:outlineLvl w:val="5"/>
    </w:pPr>
    <w:rPr>
      <w:rFonts w:ascii="黑体" w:eastAsia="黑体"/>
      <w:kern w:val="0"/>
      <w:szCs w:val="21"/>
    </w:rPr>
  </w:style>
  <w:style w:type="paragraph" w:customStyle="1" w:styleId="ad">
    <w:name w:val="五级条标题"/>
    <w:basedOn w:val="ac"/>
    <w:next w:val="a"/>
    <w:qFormat/>
    <w:rsid w:val="004C2C9E"/>
    <w:pPr>
      <w:outlineLvl w:val="6"/>
    </w:pPr>
  </w:style>
  <w:style w:type="paragraph" w:styleId="ae">
    <w:name w:val="Balloon Text"/>
    <w:basedOn w:val="a"/>
    <w:link w:val="Char1"/>
    <w:uiPriority w:val="99"/>
    <w:semiHidden/>
    <w:unhideWhenUsed/>
    <w:rsid w:val="00012B0B"/>
    <w:pPr>
      <w:spacing w:line="240" w:lineRule="auto"/>
    </w:pPr>
    <w:rPr>
      <w:sz w:val="18"/>
      <w:szCs w:val="18"/>
    </w:rPr>
  </w:style>
  <w:style w:type="character" w:customStyle="1" w:styleId="Char1">
    <w:name w:val="批注框文本 Char"/>
    <w:basedOn w:val="a0"/>
    <w:link w:val="ae"/>
    <w:uiPriority w:val="99"/>
    <w:semiHidden/>
    <w:rsid w:val="00012B0B"/>
    <w:rPr>
      <w:rFonts w:ascii="Times New Roman" w:hAnsi="Times New Roman"/>
      <w:kern w:val="2"/>
      <w:sz w:val="18"/>
      <w:szCs w:val="18"/>
    </w:rPr>
  </w:style>
  <w:style w:type="table" w:styleId="af">
    <w:name w:val="Table Grid"/>
    <w:basedOn w:val="a1"/>
    <w:uiPriority w:val="59"/>
    <w:rsid w:val="00287793"/>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0">
    <w:name w:val="段 Char1"/>
    <w:link w:val="af0"/>
    <w:qFormat/>
    <w:rsid w:val="0001768A"/>
    <w:rPr>
      <w:rFonts w:ascii="宋体"/>
      <w:sz w:val="21"/>
    </w:rPr>
  </w:style>
  <w:style w:type="paragraph" w:customStyle="1" w:styleId="af0">
    <w:name w:val="段"/>
    <w:link w:val="Char10"/>
    <w:qFormat/>
    <w:rsid w:val="0001768A"/>
    <w:pPr>
      <w:autoSpaceDE w:val="0"/>
      <w:autoSpaceDN w:val="0"/>
      <w:ind w:firstLineChars="200" w:firstLine="200"/>
      <w:jc w:val="both"/>
    </w:pPr>
    <w:rPr>
      <w:rFonts w:ascii="宋体"/>
      <w:sz w:val="21"/>
    </w:rPr>
  </w:style>
  <w:style w:type="paragraph" w:styleId="af1">
    <w:name w:val="Normal (Web)"/>
    <w:basedOn w:val="a"/>
    <w:rsid w:val="001E27BD"/>
    <w:pPr>
      <w:widowControl/>
      <w:adjustRightInd/>
      <w:spacing w:before="100" w:beforeAutospacing="1" w:after="100" w:afterAutospacing="1" w:line="240" w:lineRule="auto"/>
      <w:jc w:val="left"/>
      <w:textAlignment w:val="auto"/>
    </w:pPr>
    <w:rPr>
      <w:rFonts w:ascii="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divs>
    <w:div w:id="103044150">
      <w:bodyDiv w:val="1"/>
      <w:marLeft w:val="0"/>
      <w:marRight w:val="0"/>
      <w:marTop w:val="0"/>
      <w:marBottom w:val="0"/>
      <w:divBdr>
        <w:top w:val="none" w:sz="0" w:space="0" w:color="auto"/>
        <w:left w:val="none" w:sz="0" w:space="0" w:color="auto"/>
        <w:bottom w:val="none" w:sz="0" w:space="0" w:color="auto"/>
        <w:right w:val="none" w:sz="0" w:space="0" w:color="auto"/>
      </w:divBdr>
      <w:divsChild>
        <w:div w:id="564032654">
          <w:marLeft w:val="0"/>
          <w:marRight w:val="0"/>
          <w:marTop w:val="0"/>
          <w:marBottom w:val="225"/>
          <w:divBdr>
            <w:top w:val="none" w:sz="0" w:space="0" w:color="auto"/>
            <w:left w:val="none" w:sz="0" w:space="0" w:color="auto"/>
            <w:bottom w:val="none" w:sz="0" w:space="0" w:color="auto"/>
            <w:right w:val="none" w:sz="0" w:space="0" w:color="auto"/>
          </w:divBdr>
        </w:div>
        <w:div w:id="192571988">
          <w:marLeft w:val="0"/>
          <w:marRight w:val="0"/>
          <w:marTop w:val="300"/>
          <w:marBottom w:val="180"/>
          <w:divBdr>
            <w:top w:val="none" w:sz="0" w:space="0" w:color="auto"/>
            <w:left w:val="none" w:sz="0" w:space="0" w:color="auto"/>
            <w:bottom w:val="none" w:sz="0" w:space="0" w:color="auto"/>
            <w:right w:val="none" w:sz="0" w:space="0" w:color="auto"/>
          </w:divBdr>
        </w:div>
        <w:div w:id="1184903014">
          <w:marLeft w:val="0"/>
          <w:marRight w:val="0"/>
          <w:marTop w:val="0"/>
          <w:marBottom w:val="225"/>
          <w:divBdr>
            <w:top w:val="none" w:sz="0" w:space="0" w:color="auto"/>
            <w:left w:val="none" w:sz="0" w:space="0" w:color="auto"/>
            <w:bottom w:val="none" w:sz="0" w:space="0" w:color="auto"/>
            <w:right w:val="none" w:sz="0" w:space="0" w:color="auto"/>
          </w:divBdr>
        </w:div>
        <w:div w:id="86973687">
          <w:marLeft w:val="0"/>
          <w:marRight w:val="0"/>
          <w:marTop w:val="0"/>
          <w:marBottom w:val="225"/>
          <w:divBdr>
            <w:top w:val="none" w:sz="0" w:space="0" w:color="auto"/>
            <w:left w:val="none" w:sz="0" w:space="0" w:color="auto"/>
            <w:bottom w:val="none" w:sz="0" w:space="0" w:color="auto"/>
            <w:right w:val="none" w:sz="0" w:space="0" w:color="auto"/>
          </w:divBdr>
        </w:div>
        <w:div w:id="1285624703">
          <w:marLeft w:val="0"/>
          <w:marRight w:val="0"/>
          <w:marTop w:val="0"/>
          <w:marBottom w:val="225"/>
          <w:divBdr>
            <w:top w:val="none" w:sz="0" w:space="0" w:color="auto"/>
            <w:left w:val="none" w:sz="0" w:space="0" w:color="auto"/>
            <w:bottom w:val="none" w:sz="0" w:space="0" w:color="auto"/>
            <w:right w:val="none" w:sz="0" w:space="0" w:color="auto"/>
          </w:divBdr>
        </w:div>
      </w:divsChild>
    </w:div>
    <w:div w:id="260382647">
      <w:bodyDiv w:val="1"/>
      <w:marLeft w:val="0"/>
      <w:marRight w:val="0"/>
      <w:marTop w:val="0"/>
      <w:marBottom w:val="0"/>
      <w:divBdr>
        <w:top w:val="none" w:sz="0" w:space="0" w:color="auto"/>
        <w:left w:val="none" w:sz="0" w:space="0" w:color="auto"/>
        <w:bottom w:val="none" w:sz="0" w:space="0" w:color="auto"/>
        <w:right w:val="none" w:sz="0" w:space="0" w:color="auto"/>
      </w:divBdr>
      <w:divsChild>
        <w:div w:id="736394579">
          <w:marLeft w:val="0"/>
          <w:marRight w:val="0"/>
          <w:marTop w:val="0"/>
          <w:marBottom w:val="173"/>
          <w:divBdr>
            <w:top w:val="none" w:sz="0" w:space="0" w:color="auto"/>
            <w:left w:val="none" w:sz="0" w:space="0" w:color="auto"/>
            <w:bottom w:val="none" w:sz="0" w:space="0" w:color="auto"/>
            <w:right w:val="none" w:sz="0" w:space="0" w:color="auto"/>
          </w:divBdr>
        </w:div>
        <w:div w:id="349994225">
          <w:marLeft w:val="0"/>
          <w:marRight w:val="0"/>
          <w:marTop w:val="0"/>
          <w:marBottom w:val="173"/>
          <w:divBdr>
            <w:top w:val="none" w:sz="0" w:space="0" w:color="auto"/>
            <w:left w:val="none" w:sz="0" w:space="0" w:color="auto"/>
            <w:bottom w:val="none" w:sz="0" w:space="0" w:color="auto"/>
            <w:right w:val="none" w:sz="0" w:space="0" w:color="auto"/>
          </w:divBdr>
        </w:div>
        <w:div w:id="1687633875">
          <w:marLeft w:val="0"/>
          <w:marRight w:val="0"/>
          <w:marTop w:val="0"/>
          <w:marBottom w:val="173"/>
          <w:divBdr>
            <w:top w:val="none" w:sz="0" w:space="0" w:color="auto"/>
            <w:left w:val="none" w:sz="0" w:space="0" w:color="auto"/>
            <w:bottom w:val="none" w:sz="0" w:space="0" w:color="auto"/>
            <w:right w:val="none" w:sz="0" w:space="0" w:color="auto"/>
          </w:divBdr>
        </w:div>
      </w:divsChild>
    </w:div>
    <w:div w:id="263534077">
      <w:bodyDiv w:val="1"/>
      <w:marLeft w:val="0"/>
      <w:marRight w:val="0"/>
      <w:marTop w:val="0"/>
      <w:marBottom w:val="0"/>
      <w:divBdr>
        <w:top w:val="none" w:sz="0" w:space="0" w:color="auto"/>
        <w:left w:val="none" w:sz="0" w:space="0" w:color="auto"/>
        <w:bottom w:val="none" w:sz="0" w:space="0" w:color="auto"/>
        <w:right w:val="none" w:sz="0" w:space="0" w:color="auto"/>
      </w:divBdr>
    </w:div>
    <w:div w:id="289407550">
      <w:bodyDiv w:val="1"/>
      <w:marLeft w:val="0"/>
      <w:marRight w:val="0"/>
      <w:marTop w:val="0"/>
      <w:marBottom w:val="0"/>
      <w:divBdr>
        <w:top w:val="none" w:sz="0" w:space="0" w:color="auto"/>
        <w:left w:val="none" w:sz="0" w:space="0" w:color="auto"/>
        <w:bottom w:val="none" w:sz="0" w:space="0" w:color="auto"/>
        <w:right w:val="none" w:sz="0" w:space="0" w:color="auto"/>
      </w:divBdr>
    </w:div>
    <w:div w:id="668211576">
      <w:bodyDiv w:val="1"/>
      <w:marLeft w:val="0"/>
      <w:marRight w:val="0"/>
      <w:marTop w:val="0"/>
      <w:marBottom w:val="0"/>
      <w:divBdr>
        <w:top w:val="none" w:sz="0" w:space="0" w:color="auto"/>
        <w:left w:val="none" w:sz="0" w:space="0" w:color="auto"/>
        <w:bottom w:val="none" w:sz="0" w:space="0" w:color="auto"/>
        <w:right w:val="none" w:sz="0" w:space="0" w:color="auto"/>
      </w:divBdr>
    </w:div>
    <w:div w:id="757798286">
      <w:bodyDiv w:val="1"/>
      <w:marLeft w:val="0"/>
      <w:marRight w:val="0"/>
      <w:marTop w:val="0"/>
      <w:marBottom w:val="0"/>
      <w:divBdr>
        <w:top w:val="none" w:sz="0" w:space="0" w:color="auto"/>
        <w:left w:val="none" w:sz="0" w:space="0" w:color="auto"/>
        <w:bottom w:val="none" w:sz="0" w:space="0" w:color="auto"/>
        <w:right w:val="none" w:sz="0" w:space="0" w:color="auto"/>
      </w:divBdr>
    </w:div>
    <w:div w:id="858618049">
      <w:bodyDiv w:val="1"/>
      <w:marLeft w:val="0"/>
      <w:marRight w:val="0"/>
      <w:marTop w:val="0"/>
      <w:marBottom w:val="0"/>
      <w:divBdr>
        <w:top w:val="none" w:sz="0" w:space="0" w:color="auto"/>
        <w:left w:val="none" w:sz="0" w:space="0" w:color="auto"/>
        <w:bottom w:val="none" w:sz="0" w:space="0" w:color="auto"/>
        <w:right w:val="none" w:sz="0" w:space="0" w:color="auto"/>
      </w:divBdr>
    </w:div>
    <w:div w:id="1022166643">
      <w:bodyDiv w:val="1"/>
      <w:marLeft w:val="0"/>
      <w:marRight w:val="0"/>
      <w:marTop w:val="0"/>
      <w:marBottom w:val="0"/>
      <w:divBdr>
        <w:top w:val="none" w:sz="0" w:space="0" w:color="auto"/>
        <w:left w:val="none" w:sz="0" w:space="0" w:color="auto"/>
        <w:bottom w:val="none" w:sz="0" w:space="0" w:color="auto"/>
        <w:right w:val="none" w:sz="0" w:space="0" w:color="auto"/>
      </w:divBdr>
    </w:div>
    <w:div w:id="1171338176">
      <w:bodyDiv w:val="1"/>
      <w:marLeft w:val="0"/>
      <w:marRight w:val="0"/>
      <w:marTop w:val="0"/>
      <w:marBottom w:val="0"/>
      <w:divBdr>
        <w:top w:val="none" w:sz="0" w:space="0" w:color="auto"/>
        <w:left w:val="none" w:sz="0" w:space="0" w:color="auto"/>
        <w:bottom w:val="none" w:sz="0" w:space="0" w:color="auto"/>
        <w:right w:val="none" w:sz="0" w:space="0" w:color="auto"/>
      </w:divBdr>
    </w:div>
    <w:div w:id="1186402191">
      <w:bodyDiv w:val="1"/>
      <w:marLeft w:val="0"/>
      <w:marRight w:val="0"/>
      <w:marTop w:val="0"/>
      <w:marBottom w:val="0"/>
      <w:divBdr>
        <w:top w:val="none" w:sz="0" w:space="0" w:color="auto"/>
        <w:left w:val="none" w:sz="0" w:space="0" w:color="auto"/>
        <w:bottom w:val="none" w:sz="0" w:space="0" w:color="auto"/>
        <w:right w:val="none" w:sz="0" w:space="0" w:color="auto"/>
      </w:divBdr>
    </w:div>
    <w:div w:id="1216967194">
      <w:bodyDiv w:val="1"/>
      <w:marLeft w:val="0"/>
      <w:marRight w:val="0"/>
      <w:marTop w:val="0"/>
      <w:marBottom w:val="0"/>
      <w:divBdr>
        <w:top w:val="none" w:sz="0" w:space="0" w:color="auto"/>
        <w:left w:val="none" w:sz="0" w:space="0" w:color="auto"/>
        <w:bottom w:val="none" w:sz="0" w:space="0" w:color="auto"/>
        <w:right w:val="none" w:sz="0" w:space="0" w:color="auto"/>
      </w:divBdr>
    </w:div>
    <w:div w:id="1611010136">
      <w:bodyDiv w:val="1"/>
      <w:marLeft w:val="0"/>
      <w:marRight w:val="0"/>
      <w:marTop w:val="0"/>
      <w:marBottom w:val="0"/>
      <w:divBdr>
        <w:top w:val="none" w:sz="0" w:space="0" w:color="auto"/>
        <w:left w:val="none" w:sz="0" w:space="0" w:color="auto"/>
        <w:bottom w:val="none" w:sz="0" w:space="0" w:color="auto"/>
        <w:right w:val="none" w:sz="0" w:space="0" w:color="auto"/>
      </w:divBdr>
    </w:div>
    <w:div w:id="1918325328">
      <w:bodyDiv w:val="1"/>
      <w:marLeft w:val="0"/>
      <w:marRight w:val="0"/>
      <w:marTop w:val="0"/>
      <w:marBottom w:val="0"/>
      <w:divBdr>
        <w:top w:val="none" w:sz="0" w:space="0" w:color="auto"/>
        <w:left w:val="none" w:sz="0" w:space="0" w:color="auto"/>
        <w:bottom w:val="none" w:sz="0" w:space="0" w:color="auto"/>
        <w:right w:val="none" w:sz="0" w:space="0" w:color="auto"/>
      </w:divBdr>
      <w:divsChild>
        <w:div w:id="1171291065">
          <w:marLeft w:val="0"/>
          <w:marRight w:val="0"/>
          <w:marTop w:val="0"/>
          <w:marBottom w:val="225"/>
          <w:divBdr>
            <w:top w:val="none" w:sz="0" w:space="0" w:color="auto"/>
            <w:left w:val="none" w:sz="0" w:space="0" w:color="auto"/>
            <w:bottom w:val="none" w:sz="0" w:space="0" w:color="auto"/>
            <w:right w:val="none" w:sz="0" w:space="0" w:color="auto"/>
          </w:divBdr>
        </w:div>
        <w:div w:id="585849584">
          <w:marLeft w:val="0"/>
          <w:marRight w:val="0"/>
          <w:marTop w:val="0"/>
          <w:marBottom w:val="225"/>
          <w:divBdr>
            <w:top w:val="none" w:sz="0" w:space="0" w:color="auto"/>
            <w:left w:val="none" w:sz="0" w:space="0" w:color="auto"/>
            <w:bottom w:val="none" w:sz="0" w:space="0" w:color="auto"/>
            <w:right w:val="none" w:sz="0" w:space="0" w:color="auto"/>
          </w:divBdr>
        </w:div>
        <w:div w:id="1516962929">
          <w:marLeft w:val="0"/>
          <w:marRight w:val="0"/>
          <w:marTop w:val="0"/>
          <w:marBottom w:val="225"/>
          <w:divBdr>
            <w:top w:val="none" w:sz="0" w:space="0" w:color="auto"/>
            <w:left w:val="none" w:sz="0" w:space="0" w:color="auto"/>
            <w:bottom w:val="none" w:sz="0" w:space="0" w:color="auto"/>
            <w:right w:val="none" w:sz="0" w:space="0" w:color="auto"/>
          </w:divBdr>
        </w:div>
      </w:divsChild>
    </w:div>
    <w:div w:id="196523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BE7A7-D351-4FD9-AF61-70F00EB3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11</Pages>
  <Words>962</Words>
  <Characters>5489</Characters>
  <Application>Microsoft Office Word</Application>
  <DocSecurity>0</DocSecurity>
  <Lines>45</Lines>
  <Paragraphs>12</Paragraphs>
  <ScaleCrop>false</ScaleCrop>
  <Company>微软中国</Company>
  <LinksUpToDate>false</LinksUpToDate>
  <CharactersWithSpaces>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马爱进</cp:lastModifiedBy>
  <cp:revision>17</cp:revision>
  <dcterms:created xsi:type="dcterms:W3CDTF">2019-04-12T02:48:00Z</dcterms:created>
  <dcterms:modified xsi:type="dcterms:W3CDTF">2019-04-19T09:23:00Z</dcterms:modified>
</cp:coreProperties>
</file>