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4F3B" w:rsidRDefault="00074F3B">
      <w:pPr>
        <w:spacing w:line="360" w:lineRule="auto"/>
        <w:jc w:val="center"/>
        <w:rPr>
          <w:b/>
          <w:sz w:val="24"/>
        </w:rPr>
      </w:pPr>
    </w:p>
    <w:p w:rsidR="00074F3B" w:rsidRDefault="00074F3B">
      <w:pPr>
        <w:spacing w:line="360" w:lineRule="auto"/>
        <w:jc w:val="center"/>
        <w:rPr>
          <w:b/>
          <w:sz w:val="36"/>
          <w:szCs w:val="36"/>
        </w:rPr>
      </w:pPr>
    </w:p>
    <w:p w:rsidR="00074F3B" w:rsidRDefault="00074F3B">
      <w:pPr>
        <w:spacing w:line="360" w:lineRule="auto"/>
        <w:jc w:val="center"/>
        <w:rPr>
          <w:b/>
          <w:sz w:val="36"/>
          <w:szCs w:val="36"/>
        </w:rPr>
      </w:pPr>
    </w:p>
    <w:p w:rsidR="0039366F" w:rsidRDefault="00074F3B">
      <w:pPr>
        <w:spacing w:line="360" w:lineRule="auto"/>
        <w:jc w:val="center"/>
        <w:rPr>
          <w:rFonts w:hint="eastAsia"/>
          <w:b/>
          <w:sz w:val="36"/>
          <w:szCs w:val="36"/>
        </w:rPr>
      </w:pPr>
      <w:r>
        <w:rPr>
          <w:rFonts w:hint="eastAsia"/>
          <w:b/>
          <w:sz w:val="36"/>
          <w:szCs w:val="36"/>
        </w:rPr>
        <w:t>《就地城镇化评价指标体系》</w:t>
      </w:r>
      <w:r w:rsidR="0039366F">
        <w:rPr>
          <w:rFonts w:hint="eastAsia"/>
          <w:b/>
          <w:sz w:val="36"/>
          <w:szCs w:val="36"/>
        </w:rPr>
        <w:t>国家标准</w:t>
      </w:r>
    </w:p>
    <w:p w:rsidR="0039366F" w:rsidRDefault="0039366F">
      <w:pPr>
        <w:spacing w:line="360" w:lineRule="auto"/>
        <w:jc w:val="center"/>
        <w:rPr>
          <w:rFonts w:hint="eastAsia"/>
          <w:b/>
          <w:sz w:val="36"/>
          <w:szCs w:val="36"/>
        </w:rPr>
      </w:pPr>
    </w:p>
    <w:p w:rsidR="00074F3B" w:rsidRPr="0039366F" w:rsidRDefault="00074F3B">
      <w:pPr>
        <w:spacing w:line="360" w:lineRule="auto"/>
        <w:jc w:val="center"/>
        <w:rPr>
          <w:b/>
          <w:sz w:val="44"/>
          <w:szCs w:val="44"/>
        </w:rPr>
      </w:pPr>
      <w:r w:rsidRPr="0039366F">
        <w:rPr>
          <w:rFonts w:hint="eastAsia"/>
          <w:b/>
          <w:sz w:val="44"/>
          <w:szCs w:val="44"/>
        </w:rPr>
        <w:t>编</w:t>
      </w:r>
      <w:r w:rsidR="0039366F" w:rsidRPr="0039366F">
        <w:rPr>
          <w:rFonts w:hint="eastAsia"/>
          <w:b/>
          <w:sz w:val="44"/>
          <w:szCs w:val="44"/>
        </w:rPr>
        <w:t xml:space="preserve"> </w:t>
      </w:r>
      <w:r w:rsidRPr="0039366F">
        <w:rPr>
          <w:rFonts w:hint="eastAsia"/>
          <w:b/>
          <w:sz w:val="44"/>
          <w:szCs w:val="44"/>
        </w:rPr>
        <w:t>制</w:t>
      </w:r>
      <w:r w:rsidR="0039366F" w:rsidRPr="0039366F">
        <w:rPr>
          <w:rFonts w:hint="eastAsia"/>
          <w:b/>
          <w:sz w:val="44"/>
          <w:szCs w:val="44"/>
        </w:rPr>
        <w:t xml:space="preserve"> </w:t>
      </w:r>
      <w:r w:rsidRPr="0039366F">
        <w:rPr>
          <w:rFonts w:hint="eastAsia"/>
          <w:b/>
          <w:sz w:val="44"/>
          <w:szCs w:val="44"/>
        </w:rPr>
        <w:t>说</w:t>
      </w:r>
      <w:r w:rsidR="0039366F" w:rsidRPr="0039366F">
        <w:rPr>
          <w:rFonts w:hint="eastAsia"/>
          <w:b/>
          <w:sz w:val="44"/>
          <w:szCs w:val="44"/>
        </w:rPr>
        <w:t xml:space="preserve"> </w:t>
      </w:r>
      <w:r w:rsidRPr="0039366F">
        <w:rPr>
          <w:rFonts w:hint="eastAsia"/>
          <w:b/>
          <w:sz w:val="44"/>
          <w:szCs w:val="44"/>
        </w:rPr>
        <w:t>明</w:t>
      </w: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074F3B" w:rsidRDefault="00074F3B">
      <w:pPr>
        <w:spacing w:line="360" w:lineRule="auto"/>
        <w:jc w:val="center"/>
        <w:rPr>
          <w:b/>
          <w:sz w:val="30"/>
          <w:szCs w:val="30"/>
        </w:rPr>
      </w:pPr>
    </w:p>
    <w:p w:rsidR="0039366F" w:rsidRPr="0039366F" w:rsidRDefault="0039366F">
      <w:pPr>
        <w:spacing w:line="360" w:lineRule="auto"/>
        <w:jc w:val="center"/>
        <w:rPr>
          <w:rFonts w:hint="eastAsia"/>
          <w:b/>
          <w:sz w:val="36"/>
          <w:szCs w:val="36"/>
        </w:rPr>
      </w:pPr>
      <w:r w:rsidRPr="0039366F">
        <w:rPr>
          <w:rFonts w:hint="eastAsia"/>
          <w:b/>
          <w:sz w:val="36"/>
          <w:szCs w:val="36"/>
        </w:rPr>
        <w:t>《就地城镇化评价指标体系》国家标准起草组</w:t>
      </w:r>
    </w:p>
    <w:p w:rsidR="0039366F" w:rsidRPr="0039366F" w:rsidRDefault="0039366F">
      <w:pPr>
        <w:spacing w:line="360" w:lineRule="auto"/>
        <w:jc w:val="center"/>
        <w:rPr>
          <w:rFonts w:hint="eastAsia"/>
          <w:b/>
          <w:sz w:val="36"/>
          <w:szCs w:val="36"/>
        </w:rPr>
      </w:pPr>
    </w:p>
    <w:p w:rsidR="0039366F" w:rsidRPr="0039366F" w:rsidRDefault="0039366F">
      <w:pPr>
        <w:spacing w:line="360" w:lineRule="auto"/>
        <w:jc w:val="center"/>
        <w:rPr>
          <w:rFonts w:hint="eastAsia"/>
          <w:b/>
          <w:sz w:val="36"/>
          <w:szCs w:val="36"/>
        </w:rPr>
      </w:pPr>
      <w:r w:rsidRPr="0039366F">
        <w:rPr>
          <w:rFonts w:hint="eastAsia"/>
          <w:b/>
          <w:sz w:val="36"/>
          <w:szCs w:val="36"/>
        </w:rPr>
        <w:t>2017-4-5</w:t>
      </w:r>
    </w:p>
    <w:p w:rsidR="0039366F" w:rsidRDefault="0039366F">
      <w:pPr>
        <w:spacing w:line="360" w:lineRule="auto"/>
        <w:jc w:val="center"/>
        <w:rPr>
          <w:b/>
          <w:sz w:val="30"/>
          <w:szCs w:val="30"/>
        </w:rPr>
      </w:pPr>
    </w:p>
    <w:p w:rsidR="00074F3B" w:rsidRDefault="00074F3B">
      <w:pPr>
        <w:numPr>
          <w:ilvl w:val="0"/>
          <w:numId w:val="2"/>
        </w:numPr>
        <w:spacing w:line="360" w:lineRule="auto"/>
        <w:jc w:val="left"/>
        <w:rPr>
          <w:b/>
          <w:sz w:val="30"/>
          <w:szCs w:val="30"/>
        </w:rPr>
      </w:pPr>
      <w:r>
        <w:rPr>
          <w:rFonts w:hint="eastAsia"/>
          <w:b/>
          <w:sz w:val="30"/>
          <w:szCs w:val="30"/>
        </w:rPr>
        <w:lastRenderedPageBreak/>
        <w:t>项目背景</w:t>
      </w:r>
    </w:p>
    <w:p w:rsidR="00074F3B" w:rsidRDefault="00074F3B">
      <w:pPr>
        <w:spacing w:line="360" w:lineRule="auto"/>
        <w:ind w:leftChars="76" w:left="160" w:firstLineChars="250" w:firstLine="600"/>
        <w:rPr>
          <w:rFonts w:ascii="宋体"/>
          <w:color w:val="000000"/>
          <w:sz w:val="24"/>
          <w:szCs w:val="24"/>
        </w:rPr>
      </w:pPr>
      <w:r>
        <w:rPr>
          <w:rFonts w:ascii="宋体" w:hAnsi="宋体" w:hint="eastAsia"/>
          <w:color w:val="000000"/>
          <w:sz w:val="24"/>
          <w:szCs w:val="24"/>
        </w:rPr>
        <w:t>新型城镇化是以</w:t>
      </w:r>
      <w:hyperlink r:id="rId7" w:tgtFrame="_blank" w:history="1">
        <w:r>
          <w:rPr>
            <w:rFonts w:ascii="宋体" w:hAnsi="宋体" w:hint="eastAsia"/>
            <w:color w:val="000000"/>
            <w:sz w:val="24"/>
            <w:szCs w:val="24"/>
          </w:rPr>
          <w:t>城乡统筹</w:t>
        </w:r>
      </w:hyperlink>
      <w:r>
        <w:rPr>
          <w:rFonts w:ascii="宋体" w:hAnsi="宋体" w:hint="eastAsia"/>
          <w:color w:val="000000"/>
          <w:sz w:val="24"/>
          <w:szCs w:val="24"/>
        </w:rPr>
        <w:t>、城乡一体、</w:t>
      </w:r>
      <w:proofErr w:type="gramStart"/>
      <w:r>
        <w:rPr>
          <w:rFonts w:ascii="宋体" w:hAnsi="宋体" w:hint="eastAsia"/>
          <w:color w:val="000000"/>
          <w:sz w:val="24"/>
          <w:szCs w:val="24"/>
        </w:rPr>
        <w:t>产城互动</w:t>
      </w:r>
      <w:proofErr w:type="gramEnd"/>
      <w:r>
        <w:rPr>
          <w:rFonts w:ascii="宋体" w:hAnsi="宋体" w:hint="eastAsia"/>
          <w:color w:val="000000"/>
          <w:sz w:val="24"/>
          <w:szCs w:val="24"/>
        </w:rPr>
        <w:t>、节约集约、生态宜居、和谐发展为基本特征的</w:t>
      </w:r>
      <w:hyperlink r:id="rId8" w:tgtFrame="_blank" w:history="1">
        <w:r>
          <w:rPr>
            <w:rFonts w:ascii="宋体" w:hAnsi="宋体" w:hint="eastAsia"/>
            <w:color w:val="000000"/>
            <w:sz w:val="24"/>
            <w:szCs w:val="24"/>
          </w:rPr>
          <w:t>城镇化</w:t>
        </w:r>
      </w:hyperlink>
      <w:r>
        <w:rPr>
          <w:rFonts w:ascii="宋体" w:hAnsi="宋体" w:hint="eastAsia"/>
          <w:color w:val="000000"/>
          <w:sz w:val="24"/>
          <w:szCs w:val="24"/>
        </w:rPr>
        <w:t>，是大中小城市、小城镇、新型农村社区协调发展、互促共进的城镇化。</w:t>
      </w:r>
      <w:r>
        <w:rPr>
          <w:rFonts w:ascii="宋体" w:hAnsi="宋体"/>
          <w:color w:val="000000"/>
          <w:sz w:val="24"/>
          <w:szCs w:val="24"/>
        </w:rPr>
        <w:t>1992</w:t>
      </w:r>
      <w:r>
        <w:rPr>
          <w:rFonts w:ascii="宋体" w:hAnsi="宋体" w:hint="eastAsia"/>
          <w:color w:val="000000"/>
          <w:sz w:val="24"/>
          <w:szCs w:val="24"/>
        </w:rPr>
        <w:t>年中国改革开放后正式实行城镇化体制改革</w:t>
      </w:r>
      <w:r>
        <w:rPr>
          <w:rFonts w:ascii="宋体"/>
          <w:color w:val="000000"/>
          <w:sz w:val="24"/>
          <w:szCs w:val="24"/>
        </w:rPr>
        <w:t>,</w:t>
      </w:r>
      <w:r>
        <w:rPr>
          <w:rFonts w:ascii="宋体" w:hAnsi="宋体" w:hint="eastAsia"/>
          <w:color w:val="000000"/>
          <w:sz w:val="24"/>
          <w:szCs w:val="24"/>
        </w:rPr>
        <w:t>上海浦东，苏州等应运而生。新型城镇化的核心在于不以牺牲农业和粮食、生态和环境为代价，着眼农民，涵盖农村，实现城乡基础设施一体化和</w:t>
      </w:r>
      <w:r w:rsidR="0075006A">
        <w:fldChar w:fldCharType="begin"/>
      </w:r>
      <w:r w:rsidR="0075006A">
        <w:instrText>HYPERLINK "http://baike.haosou.com/doc/33277-34708.html" \t "_blank"</w:instrText>
      </w:r>
      <w:r w:rsidR="0075006A">
        <w:fldChar w:fldCharType="separate"/>
      </w:r>
      <w:r>
        <w:rPr>
          <w:rFonts w:ascii="宋体" w:hAnsi="宋体" w:hint="eastAsia"/>
          <w:color w:val="000000"/>
          <w:sz w:val="24"/>
          <w:szCs w:val="24"/>
        </w:rPr>
        <w:t>公共服务</w:t>
      </w:r>
      <w:r w:rsidR="0075006A">
        <w:fldChar w:fldCharType="end"/>
      </w:r>
      <w:r>
        <w:rPr>
          <w:rFonts w:ascii="宋体" w:hAnsi="宋体" w:hint="eastAsia"/>
          <w:color w:val="000000"/>
          <w:sz w:val="24"/>
          <w:szCs w:val="24"/>
        </w:rPr>
        <w:t>均等化，促进经济社会发展，实现共同富裕。新型城镇化已然成为五位一体发展的战略方面。</w:t>
      </w:r>
      <w:r>
        <w:rPr>
          <w:rFonts w:ascii="宋体" w:hAnsi="宋体"/>
          <w:color w:val="000000"/>
          <w:sz w:val="24"/>
          <w:szCs w:val="24"/>
        </w:rPr>
        <w:t>2014</w:t>
      </w:r>
      <w:r>
        <w:rPr>
          <w:rFonts w:ascii="宋体" w:hAnsi="宋体" w:hint="eastAsia"/>
          <w:color w:val="000000"/>
          <w:sz w:val="24"/>
          <w:szCs w:val="24"/>
        </w:rPr>
        <w:t>年国务院发布了《国家新型城镇化规划</w:t>
      </w:r>
      <w:r>
        <w:rPr>
          <w:rFonts w:ascii="宋体" w:hAnsi="宋体"/>
          <w:color w:val="000000"/>
          <w:sz w:val="24"/>
          <w:szCs w:val="24"/>
        </w:rPr>
        <w:t>(2014-2020</w:t>
      </w:r>
      <w:r>
        <w:rPr>
          <w:rFonts w:ascii="宋体" w:hAnsi="宋体" w:hint="eastAsia"/>
          <w:color w:val="000000"/>
          <w:sz w:val="24"/>
          <w:szCs w:val="24"/>
        </w:rPr>
        <w:t>年</w:t>
      </w:r>
      <w:r>
        <w:rPr>
          <w:rFonts w:ascii="宋体" w:hAnsi="宋体"/>
          <w:color w:val="000000"/>
          <w:sz w:val="24"/>
          <w:szCs w:val="24"/>
        </w:rPr>
        <w:t>)</w:t>
      </w:r>
      <w:r>
        <w:rPr>
          <w:rFonts w:ascii="宋体" w:hAnsi="宋体" w:hint="eastAsia"/>
          <w:color w:val="000000"/>
          <w:sz w:val="24"/>
          <w:szCs w:val="24"/>
        </w:rPr>
        <w:t>》，全面推进“以人为核心”的新型城镇化建设。</w:t>
      </w:r>
    </w:p>
    <w:p w:rsidR="00074F3B" w:rsidRDefault="00074F3B">
      <w:pPr>
        <w:spacing w:line="360" w:lineRule="auto"/>
        <w:ind w:leftChars="76" w:left="160" w:firstLineChars="200" w:firstLine="480"/>
        <w:rPr>
          <w:rFonts w:ascii="宋体"/>
          <w:color w:val="000000"/>
          <w:sz w:val="24"/>
          <w:szCs w:val="24"/>
        </w:rPr>
      </w:pPr>
      <w:r>
        <w:rPr>
          <w:rFonts w:ascii="宋体" w:hAnsi="宋体" w:hint="eastAsia"/>
          <w:color w:val="000000"/>
          <w:sz w:val="24"/>
          <w:szCs w:val="24"/>
        </w:rPr>
        <w:t>人本城镇化是指以资源高效利用为基础，以人口的自主空间转移为路径，以城乡基本公共服务均等化为体制改革着力点，以可持续发展为底线，全面改善人民生活品质，提升人的基本权利的保障水平，实现由传统乡村生活向现代城镇化社会的转型。“人的城镇化”是新型城镇化的核心和关键。经过</w:t>
      </w:r>
      <w:r>
        <w:rPr>
          <w:rFonts w:ascii="宋体" w:hAnsi="宋体"/>
          <w:color w:val="000000"/>
          <w:sz w:val="24"/>
          <w:szCs w:val="24"/>
        </w:rPr>
        <w:t>20</w:t>
      </w:r>
      <w:r>
        <w:rPr>
          <w:rFonts w:ascii="宋体" w:hAnsi="宋体" w:hint="eastAsia"/>
          <w:color w:val="000000"/>
          <w:sz w:val="24"/>
          <w:szCs w:val="24"/>
        </w:rPr>
        <w:t>多年的发展，我国城镇化率已经超过</w:t>
      </w:r>
      <w:r>
        <w:rPr>
          <w:rFonts w:ascii="宋体" w:hAnsi="宋体"/>
          <w:color w:val="000000"/>
          <w:sz w:val="24"/>
          <w:szCs w:val="24"/>
        </w:rPr>
        <w:t>50%</w:t>
      </w:r>
      <w:r>
        <w:rPr>
          <w:rFonts w:ascii="宋体" w:hAnsi="宋体" w:hint="eastAsia"/>
          <w:color w:val="000000"/>
          <w:sz w:val="24"/>
          <w:szCs w:val="24"/>
        </w:rPr>
        <w:t>，但仍有约</w:t>
      </w:r>
      <w:r>
        <w:rPr>
          <w:rFonts w:ascii="宋体" w:hAnsi="宋体"/>
          <w:color w:val="000000"/>
          <w:sz w:val="24"/>
          <w:szCs w:val="24"/>
        </w:rPr>
        <w:t>2.7</w:t>
      </w:r>
      <w:r>
        <w:rPr>
          <w:rFonts w:ascii="宋体" w:hAnsi="宋体" w:hint="eastAsia"/>
          <w:color w:val="000000"/>
          <w:sz w:val="24"/>
          <w:szCs w:val="24"/>
        </w:rPr>
        <w:t>亿农业转移人口进城务工却没有安家，同时已在城镇安家的部分转移人员存在生存困难、生活不适应、认同感</w:t>
      </w:r>
      <w:proofErr w:type="gramStart"/>
      <w:r>
        <w:rPr>
          <w:rFonts w:ascii="宋体" w:hAnsi="宋体" w:hint="eastAsia"/>
          <w:color w:val="000000"/>
          <w:sz w:val="24"/>
          <w:szCs w:val="24"/>
        </w:rPr>
        <w:t>不</w:t>
      </w:r>
      <w:proofErr w:type="gramEnd"/>
      <w:r>
        <w:rPr>
          <w:rFonts w:ascii="宋体" w:hAnsi="宋体" w:hint="eastAsia"/>
          <w:color w:val="000000"/>
          <w:sz w:val="24"/>
          <w:szCs w:val="24"/>
        </w:rPr>
        <w:t>高等各种问题，这种“人的城镇化”远远低于城镇化率的现状，带来许多社会矛盾和隐患。而在推进城镇化也必然受到资源环境约束，把所有农民集中到大中城市，这是不可能也是不现实的。当前大中城市凸现的“城市病”导致的效率低下也证明了这一点。过度的规模扩大和农村大拆大建，弊端不断显现，比如被征地农民拿到征地款的同时也失去了土地，坐吃山空，很快返贫；比如原来乡村的青山绿水被高楼大厦、工地厂房所代替，生态环境遭到破坏，乡愁无处安放。那么推进城镇化就需要另辟蹊径，如何在不破坏农村的生态环境，不让农民因失地而返贫情况下，推进农村地区的城镇化进程，提高农村居民的生活和福利水平成为多地开展探索的主要方向。</w:t>
      </w:r>
    </w:p>
    <w:p w:rsidR="00074F3B" w:rsidRDefault="00074F3B">
      <w:pPr>
        <w:spacing w:line="360" w:lineRule="auto"/>
        <w:ind w:leftChars="76" w:left="160" w:firstLineChars="200" w:firstLine="480"/>
        <w:rPr>
          <w:rFonts w:ascii="宋体"/>
          <w:color w:val="000000"/>
          <w:sz w:val="24"/>
          <w:szCs w:val="24"/>
        </w:rPr>
      </w:pPr>
      <w:r>
        <w:rPr>
          <w:rFonts w:ascii="宋体" w:hAnsi="宋体" w:hint="eastAsia"/>
          <w:color w:val="000000"/>
          <w:sz w:val="24"/>
          <w:szCs w:val="24"/>
        </w:rPr>
        <w:t>经进几年的摸索和实践，一些地方走出了一条</w:t>
      </w:r>
      <w:proofErr w:type="gramStart"/>
      <w:r>
        <w:rPr>
          <w:rFonts w:ascii="宋体" w:hAnsi="宋体" w:hint="eastAsia"/>
          <w:color w:val="000000"/>
          <w:sz w:val="24"/>
          <w:szCs w:val="24"/>
        </w:rPr>
        <w:t>产城融合</w:t>
      </w:r>
      <w:proofErr w:type="gramEnd"/>
      <w:r>
        <w:rPr>
          <w:rFonts w:ascii="宋体" w:hAnsi="宋体" w:hint="eastAsia"/>
          <w:color w:val="000000"/>
          <w:sz w:val="24"/>
          <w:szCs w:val="24"/>
        </w:rPr>
        <w:t>的“就地城镇化”道路。</w:t>
      </w:r>
      <w:r>
        <w:rPr>
          <w:rFonts w:ascii="宋体" w:hAnsi="宋体"/>
          <w:color w:val="000000"/>
          <w:sz w:val="24"/>
          <w:szCs w:val="24"/>
        </w:rPr>
        <w:t>2012</w:t>
      </w:r>
      <w:r>
        <w:rPr>
          <w:rFonts w:ascii="宋体" w:hAnsi="宋体" w:hint="eastAsia"/>
          <w:color w:val="000000"/>
          <w:sz w:val="24"/>
          <w:szCs w:val="24"/>
        </w:rPr>
        <w:t>年，海盐县自被列为全国农村综合改革示范试点县以来，在国家全面推进新型城镇化的大背景下，始终围绕“人”的城镇化，以深化农村产权制度改革为切入点，通过“确权”、“赋能”、“同待遇”，逐步形成了“就地城镇化”的发展模式。</w:t>
      </w:r>
      <w:r>
        <w:rPr>
          <w:rFonts w:ascii="宋体" w:hAnsi="宋体"/>
          <w:color w:val="000000"/>
          <w:sz w:val="24"/>
          <w:szCs w:val="24"/>
        </w:rPr>
        <w:t>2013</w:t>
      </w:r>
      <w:r>
        <w:rPr>
          <w:rFonts w:ascii="宋体" w:hAnsi="宋体" w:hint="eastAsia"/>
          <w:color w:val="000000"/>
          <w:sz w:val="24"/>
          <w:szCs w:val="24"/>
        </w:rPr>
        <w:t>年</w:t>
      </w:r>
      <w:r>
        <w:rPr>
          <w:rFonts w:ascii="宋体" w:hAnsi="宋体"/>
          <w:color w:val="000000"/>
          <w:sz w:val="24"/>
          <w:szCs w:val="24"/>
        </w:rPr>
        <w:t>11</w:t>
      </w:r>
      <w:r>
        <w:rPr>
          <w:rFonts w:ascii="宋体" w:hAnsi="宋体" w:hint="eastAsia"/>
          <w:color w:val="000000"/>
          <w:sz w:val="24"/>
          <w:szCs w:val="24"/>
        </w:rPr>
        <w:t>月，由国务院农村综合改革工作小组办公室和中</w:t>
      </w:r>
      <w:r>
        <w:rPr>
          <w:rFonts w:ascii="宋体" w:hAnsi="宋体" w:hint="eastAsia"/>
          <w:color w:val="000000"/>
          <w:sz w:val="24"/>
          <w:szCs w:val="24"/>
        </w:rPr>
        <w:lastRenderedPageBreak/>
        <w:t>国金融信息中心共同联合主办“解读就地城镇化的海盐样本”专题研讨会后，受到新华社、农民日报等国内主流媒体广泛的报导和引发了政府机构普遍关注。同时涌现出了海南省琼海市、江苏苏南地区、福建省晋江市等样本，已经实现了城乡边界模糊、多种产业融合、农民身份多元、生活品质提升的目标和成效。就地城镇化是新型城镇化发展下呈现的“以人为本”的新的发展模式</w:t>
      </w:r>
    </w:p>
    <w:p w:rsidR="00074F3B" w:rsidRDefault="00074F3B">
      <w:pPr>
        <w:spacing w:line="360" w:lineRule="auto"/>
        <w:ind w:leftChars="76" w:left="160" w:firstLineChars="200" w:firstLine="480"/>
        <w:rPr>
          <w:rFonts w:ascii="宋体"/>
          <w:color w:val="000000"/>
          <w:sz w:val="24"/>
          <w:szCs w:val="24"/>
        </w:rPr>
      </w:pPr>
      <w:r>
        <w:rPr>
          <w:rFonts w:ascii="宋体" w:hAnsi="宋体" w:hint="eastAsia"/>
          <w:color w:val="000000"/>
          <w:sz w:val="24"/>
          <w:szCs w:val="24"/>
        </w:rPr>
        <w:t>就地城镇化是指人口和聚落未通过大规模的空间迁移而实现向城镇或准城镇转变，农民在原居住地一定空间半径内，依托小城镇和新型农村社区，实现生产、生活方式市民化，就是基本公共服务均等化的城镇化模式。实践证明，就地城镇化是新型城镇化的一条光明道路。</w:t>
      </w:r>
    </w:p>
    <w:p w:rsidR="00074F3B" w:rsidRDefault="00074F3B">
      <w:pPr>
        <w:spacing w:line="360" w:lineRule="auto"/>
        <w:ind w:leftChars="76" w:left="160" w:firstLineChars="200" w:firstLine="480"/>
        <w:rPr>
          <w:rFonts w:ascii="宋体"/>
          <w:color w:val="000000"/>
          <w:sz w:val="24"/>
          <w:szCs w:val="24"/>
        </w:rPr>
      </w:pPr>
      <w:r>
        <w:rPr>
          <w:rFonts w:ascii="宋体" w:hAnsi="宋体" w:hint="eastAsia"/>
          <w:color w:val="000000"/>
          <w:sz w:val="24"/>
          <w:szCs w:val="24"/>
        </w:rPr>
        <w:t>但当前对于就地城镇化的特征、表现尚不清晰，仍停留在定性层面，对怎么才算是就地城镇化、如何开展就地城镇化的发展水平评估，尚没有统一的评价指标体系，不利于就地城镇化模式的推广。标准化是固化现有经验，将成功经验变成可复制、可推广的重要手段。</w:t>
      </w:r>
    </w:p>
    <w:p w:rsidR="00074F3B" w:rsidRDefault="00074F3B">
      <w:pPr>
        <w:spacing w:line="360" w:lineRule="auto"/>
        <w:ind w:leftChars="76" w:left="160" w:firstLineChars="200" w:firstLine="480"/>
        <w:rPr>
          <w:rFonts w:ascii="宋体"/>
          <w:color w:val="000000"/>
          <w:sz w:val="24"/>
          <w:szCs w:val="24"/>
        </w:rPr>
      </w:pPr>
      <w:r>
        <w:rPr>
          <w:rFonts w:ascii="宋体" w:hAnsi="宋体" w:hint="eastAsia"/>
          <w:color w:val="000000"/>
          <w:sz w:val="24"/>
          <w:szCs w:val="24"/>
        </w:rPr>
        <w:t>为了充分发挥标准化对新型城镇化的支撑作用，</w:t>
      </w:r>
      <w:r>
        <w:rPr>
          <w:rFonts w:ascii="宋体" w:hAnsi="宋体"/>
          <w:color w:val="000000"/>
          <w:sz w:val="24"/>
          <w:szCs w:val="24"/>
        </w:rPr>
        <w:t>2014</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w:t>
      </w:r>
      <w:r>
        <w:rPr>
          <w:rFonts w:ascii="宋体" w:hAnsi="宋体"/>
          <w:color w:val="000000"/>
          <w:sz w:val="24"/>
          <w:szCs w:val="24"/>
        </w:rPr>
        <w:t>29</w:t>
      </w:r>
      <w:r>
        <w:rPr>
          <w:rFonts w:ascii="宋体" w:hAnsi="宋体" w:hint="eastAsia"/>
          <w:color w:val="000000"/>
          <w:sz w:val="24"/>
          <w:szCs w:val="24"/>
        </w:rPr>
        <w:t>日，</w:t>
      </w:r>
      <w:proofErr w:type="gramStart"/>
      <w:r>
        <w:rPr>
          <w:rFonts w:ascii="宋体" w:hAnsi="宋体" w:hint="eastAsia"/>
          <w:color w:val="000000"/>
          <w:sz w:val="24"/>
          <w:szCs w:val="24"/>
        </w:rPr>
        <w:t>国家发改委</w:t>
      </w:r>
      <w:proofErr w:type="gramEnd"/>
      <w:r>
        <w:rPr>
          <w:rFonts w:ascii="宋体" w:hAnsi="宋体" w:hint="eastAsia"/>
          <w:color w:val="000000"/>
          <w:sz w:val="24"/>
          <w:szCs w:val="24"/>
        </w:rPr>
        <w:t>联合国家</w:t>
      </w:r>
      <w:proofErr w:type="gramStart"/>
      <w:r>
        <w:rPr>
          <w:rFonts w:ascii="宋体" w:hAnsi="宋体" w:hint="eastAsia"/>
          <w:color w:val="000000"/>
          <w:sz w:val="24"/>
          <w:szCs w:val="24"/>
        </w:rPr>
        <w:t>标准委</w:t>
      </w:r>
      <w:proofErr w:type="gramEnd"/>
      <w:r>
        <w:rPr>
          <w:rFonts w:ascii="宋体" w:hAnsi="宋体" w:hint="eastAsia"/>
          <w:color w:val="000000"/>
          <w:sz w:val="24"/>
          <w:szCs w:val="24"/>
        </w:rPr>
        <w:t>等</w:t>
      </w:r>
      <w:r>
        <w:rPr>
          <w:rFonts w:ascii="宋体" w:hAnsi="宋体"/>
          <w:color w:val="000000"/>
          <w:sz w:val="24"/>
          <w:szCs w:val="24"/>
        </w:rPr>
        <w:t>11</w:t>
      </w:r>
      <w:r>
        <w:rPr>
          <w:rFonts w:ascii="宋体" w:hAnsi="宋体" w:hint="eastAsia"/>
          <w:color w:val="000000"/>
          <w:sz w:val="24"/>
          <w:szCs w:val="24"/>
        </w:rPr>
        <w:t>个部门印发了《国家新型城镇化综合试点方案》（以下简称《试点方案》），正式启动国家新型城镇</w:t>
      </w:r>
      <w:proofErr w:type="gramStart"/>
      <w:r>
        <w:rPr>
          <w:rFonts w:ascii="宋体" w:hAnsi="宋体" w:hint="eastAsia"/>
          <w:color w:val="000000"/>
          <w:sz w:val="24"/>
          <w:szCs w:val="24"/>
        </w:rPr>
        <w:t>化综合</w:t>
      </w:r>
      <w:proofErr w:type="gramEnd"/>
      <w:r>
        <w:rPr>
          <w:rFonts w:ascii="宋体" w:hAnsi="宋体" w:hint="eastAsia"/>
          <w:color w:val="000000"/>
          <w:sz w:val="24"/>
          <w:szCs w:val="24"/>
        </w:rPr>
        <w:t>试点工作，并确定在</w:t>
      </w:r>
      <w:r>
        <w:rPr>
          <w:rFonts w:ascii="宋体" w:hAnsi="宋体"/>
          <w:color w:val="000000"/>
          <w:sz w:val="24"/>
          <w:szCs w:val="24"/>
        </w:rPr>
        <w:t>10</w:t>
      </w:r>
      <w:r>
        <w:rPr>
          <w:rFonts w:ascii="宋体" w:hAnsi="宋体" w:hint="eastAsia"/>
          <w:color w:val="000000"/>
          <w:sz w:val="24"/>
          <w:szCs w:val="24"/>
        </w:rPr>
        <w:t>个地区同步开展标准化试点。在这样的大背景下，都需要制定《就地城镇化评价指标体系》，从国家层面对就地城镇化的定义、量化表征及</w:t>
      </w:r>
      <w:proofErr w:type="gramStart"/>
      <w:r>
        <w:rPr>
          <w:rFonts w:ascii="宋体" w:hAnsi="宋体" w:hint="eastAsia"/>
          <w:color w:val="000000"/>
          <w:sz w:val="24"/>
          <w:szCs w:val="24"/>
        </w:rPr>
        <w:t>评价做</w:t>
      </w:r>
      <w:proofErr w:type="gramEnd"/>
      <w:r>
        <w:rPr>
          <w:rFonts w:ascii="宋体" w:hAnsi="宋体" w:hint="eastAsia"/>
          <w:color w:val="000000"/>
          <w:sz w:val="24"/>
          <w:szCs w:val="24"/>
        </w:rPr>
        <w:t>统一的规范。</w:t>
      </w:r>
    </w:p>
    <w:p w:rsidR="00074F3B" w:rsidRDefault="00074F3B">
      <w:pPr>
        <w:spacing w:line="360" w:lineRule="auto"/>
        <w:ind w:leftChars="76" w:left="160" w:firstLineChars="200" w:firstLine="480"/>
        <w:rPr>
          <w:rFonts w:ascii="宋体"/>
          <w:color w:val="000000"/>
          <w:sz w:val="24"/>
          <w:szCs w:val="24"/>
        </w:rPr>
      </w:pPr>
    </w:p>
    <w:p w:rsidR="00074F3B" w:rsidRDefault="00074F3B">
      <w:pPr>
        <w:numPr>
          <w:ilvl w:val="0"/>
          <w:numId w:val="2"/>
        </w:numPr>
        <w:spacing w:line="360" w:lineRule="auto"/>
        <w:jc w:val="left"/>
        <w:rPr>
          <w:b/>
          <w:sz w:val="30"/>
          <w:szCs w:val="30"/>
        </w:rPr>
      </w:pPr>
      <w:r>
        <w:rPr>
          <w:rFonts w:hint="eastAsia"/>
          <w:b/>
          <w:sz w:val="30"/>
          <w:szCs w:val="30"/>
        </w:rPr>
        <w:t>工作概况</w:t>
      </w:r>
    </w:p>
    <w:p w:rsidR="00074F3B" w:rsidRDefault="00074F3B">
      <w:pPr>
        <w:spacing w:line="360" w:lineRule="auto"/>
        <w:jc w:val="left"/>
        <w:rPr>
          <w:b/>
          <w:sz w:val="30"/>
          <w:szCs w:val="30"/>
        </w:rPr>
      </w:pPr>
      <w:r>
        <w:rPr>
          <w:rFonts w:hint="eastAsia"/>
          <w:b/>
          <w:sz w:val="30"/>
          <w:szCs w:val="30"/>
        </w:rPr>
        <w:t>（一）任务来源</w:t>
      </w:r>
      <w:r>
        <w:rPr>
          <w:b/>
          <w:sz w:val="30"/>
          <w:szCs w:val="30"/>
        </w:rPr>
        <w:t xml:space="preserve"> </w:t>
      </w:r>
    </w:p>
    <w:p w:rsidR="00074F3B" w:rsidRDefault="00074F3B">
      <w:pPr>
        <w:spacing w:line="360" w:lineRule="auto"/>
        <w:ind w:leftChars="76" w:left="160" w:firstLineChars="150" w:firstLine="360"/>
        <w:rPr>
          <w:rFonts w:ascii="宋体"/>
          <w:color w:val="000000"/>
          <w:sz w:val="24"/>
          <w:szCs w:val="24"/>
        </w:rPr>
      </w:pPr>
      <w:smartTag w:uri="urn:schemas-microsoft-com:office:smarttags" w:element="chsdate">
        <w:smartTagPr>
          <w:attr w:name="Year" w:val="2015"/>
          <w:attr w:name="Month" w:val="12"/>
          <w:attr w:name="Day" w:val="15"/>
          <w:attr w:name="IsLunarDate" w:val="False"/>
          <w:attr w:name="IsROCDate" w:val="False"/>
        </w:smartTagPr>
        <w:r>
          <w:rPr>
            <w:rFonts w:ascii="宋体" w:hAnsi="宋体"/>
            <w:color w:val="000000"/>
            <w:sz w:val="24"/>
            <w:szCs w:val="24"/>
          </w:rPr>
          <w:t>2015</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w:t>
        </w:r>
        <w:r>
          <w:rPr>
            <w:rFonts w:ascii="宋体" w:hAnsi="宋体"/>
            <w:color w:val="000000"/>
            <w:sz w:val="24"/>
            <w:szCs w:val="24"/>
          </w:rPr>
          <w:t>15</w:t>
        </w:r>
        <w:r>
          <w:rPr>
            <w:rFonts w:ascii="宋体" w:hAnsi="宋体" w:hint="eastAsia"/>
            <w:color w:val="000000"/>
            <w:sz w:val="24"/>
            <w:szCs w:val="24"/>
          </w:rPr>
          <w:t>日</w:t>
        </w:r>
      </w:smartTag>
      <w:r>
        <w:rPr>
          <w:rFonts w:ascii="宋体" w:hAnsi="宋体" w:hint="eastAsia"/>
          <w:color w:val="000000"/>
          <w:sz w:val="24"/>
          <w:szCs w:val="24"/>
        </w:rPr>
        <w:t>由国家标准委下达立项计划（国家标准委关于下达《就地城镇化评价指标体系》等</w:t>
      </w:r>
      <w:r>
        <w:rPr>
          <w:rFonts w:ascii="宋体" w:hAnsi="宋体"/>
          <w:color w:val="000000"/>
          <w:sz w:val="24"/>
          <w:szCs w:val="24"/>
        </w:rPr>
        <w:t>15</w:t>
      </w:r>
      <w:r>
        <w:rPr>
          <w:rFonts w:ascii="宋体" w:hAnsi="宋体" w:hint="eastAsia"/>
          <w:color w:val="000000"/>
          <w:sz w:val="24"/>
          <w:szCs w:val="24"/>
        </w:rPr>
        <w:t>项国家标准制定计划的通知</w:t>
      </w:r>
      <w:r>
        <w:rPr>
          <w:rFonts w:ascii="宋体" w:hAnsi="宋体"/>
          <w:color w:val="000000"/>
          <w:sz w:val="24"/>
          <w:szCs w:val="24"/>
        </w:rPr>
        <w:t>(</w:t>
      </w:r>
      <w:proofErr w:type="gramStart"/>
      <w:r>
        <w:rPr>
          <w:rFonts w:ascii="宋体" w:hAnsi="宋体" w:hint="eastAsia"/>
          <w:color w:val="000000"/>
          <w:sz w:val="24"/>
          <w:szCs w:val="24"/>
        </w:rPr>
        <w:t>国标委综合</w:t>
      </w:r>
      <w:proofErr w:type="gramEnd"/>
      <w:r>
        <w:rPr>
          <w:rFonts w:ascii="宋体" w:hAnsi="宋体" w:hint="eastAsia"/>
          <w:color w:val="000000"/>
          <w:sz w:val="24"/>
          <w:szCs w:val="24"/>
        </w:rPr>
        <w:t>〔</w:t>
      </w:r>
      <w:r>
        <w:rPr>
          <w:rFonts w:ascii="宋体" w:hAnsi="宋体"/>
          <w:color w:val="000000"/>
          <w:sz w:val="24"/>
          <w:szCs w:val="24"/>
        </w:rPr>
        <w:t>2015</w:t>
      </w:r>
      <w:r>
        <w:rPr>
          <w:rFonts w:ascii="宋体" w:hAnsi="宋体" w:hint="eastAsia"/>
          <w:color w:val="000000"/>
          <w:sz w:val="24"/>
          <w:szCs w:val="24"/>
        </w:rPr>
        <w:t>〕</w:t>
      </w:r>
      <w:r>
        <w:rPr>
          <w:rFonts w:ascii="宋体" w:hAnsi="宋体"/>
          <w:color w:val="000000"/>
          <w:sz w:val="24"/>
          <w:szCs w:val="24"/>
        </w:rPr>
        <w:t>79</w:t>
      </w:r>
      <w:r>
        <w:rPr>
          <w:rFonts w:ascii="宋体" w:hAnsi="宋体" w:hint="eastAsia"/>
          <w:color w:val="000000"/>
          <w:sz w:val="24"/>
          <w:szCs w:val="24"/>
        </w:rPr>
        <w:t>号），项目编号为</w:t>
      </w:r>
      <w:r>
        <w:rPr>
          <w:rFonts w:ascii="宋体" w:hAnsi="宋体"/>
          <w:color w:val="000000"/>
          <w:sz w:val="24"/>
          <w:szCs w:val="24"/>
        </w:rPr>
        <w:t>20154145-T-424</w:t>
      </w:r>
      <w:r>
        <w:rPr>
          <w:rFonts w:ascii="宋体" w:hAnsi="宋体" w:hint="eastAsia"/>
          <w:color w:val="000000"/>
          <w:sz w:val="24"/>
          <w:szCs w:val="24"/>
        </w:rPr>
        <w:t>。</w:t>
      </w:r>
    </w:p>
    <w:p w:rsidR="00074F3B" w:rsidRDefault="00074F3B">
      <w:pPr>
        <w:spacing w:line="360" w:lineRule="auto"/>
        <w:jc w:val="left"/>
        <w:rPr>
          <w:b/>
          <w:sz w:val="30"/>
          <w:szCs w:val="30"/>
        </w:rPr>
      </w:pPr>
      <w:r>
        <w:rPr>
          <w:rFonts w:hint="eastAsia"/>
          <w:b/>
          <w:sz w:val="30"/>
          <w:szCs w:val="30"/>
        </w:rPr>
        <w:t>（二）起草单位</w:t>
      </w:r>
    </w:p>
    <w:p w:rsidR="00074F3B" w:rsidRDefault="00074F3B">
      <w:pPr>
        <w:spacing w:line="360" w:lineRule="auto"/>
        <w:ind w:leftChars="76" w:left="160" w:firstLineChars="150" w:firstLine="360"/>
        <w:rPr>
          <w:rFonts w:ascii="宋体"/>
          <w:color w:val="000000"/>
          <w:sz w:val="24"/>
          <w:szCs w:val="24"/>
        </w:rPr>
      </w:pPr>
      <w:r>
        <w:rPr>
          <w:rFonts w:ascii="宋体" w:hAnsi="宋体" w:hint="eastAsia"/>
          <w:color w:val="000000"/>
          <w:sz w:val="24"/>
          <w:szCs w:val="24"/>
        </w:rPr>
        <w:t>本标准起草单位为浙江省海盐县人民政府、中国标准化研究院、浙江省标准化研究院、浙江省质量技术监督局、嘉兴市质量技术监督局、天津市东丽区</w:t>
      </w:r>
      <w:r>
        <w:rPr>
          <w:rFonts w:ascii="宋体" w:hAnsi="宋体" w:hint="eastAsia"/>
          <w:color w:val="000000"/>
          <w:sz w:val="24"/>
          <w:szCs w:val="24"/>
        </w:rPr>
        <w:lastRenderedPageBreak/>
        <w:t>人民政府、山东省荣成市人民政府、福建省晋江市人民政府、海南省琼海市质量技术监督局等。</w:t>
      </w:r>
    </w:p>
    <w:p w:rsidR="00074F3B" w:rsidRDefault="00074F3B">
      <w:pPr>
        <w:spacing w:line="360" w:lineRule="auto"/>
        <w:jc w:val="left"/>
        <w:rPr>
          <w:b/>
          <w:sz w:val="30"/>
          <w:szCs w:val="30"/>
        </w:rPr>
      </w:pPr>
      <w:r>
        <w:rPr>
          <w:rFonts w:hint="eastAsia"/>
          <w:b/>
          <w:sz w:val="30"/>
          <w:szCs w:val="30"/>
        </w:rPr>
        <w:t>（三）主要工作过程</w:t>
      </w:r>
    </w:p>
    <w:p w:rsidR="00074F3B" w:rsidRDefault="00074F3B">
      <w:pPr>
        <w:spacing w:line="360"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、第一阶段：征求意见稿</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）召开第一次工作组会议暨启动会</w:t>
      </w:r>
    </w:p>
    <w:p w:rsidR="00074F3B" w:rsidRDefault="00074F3B">
      <w:pPr>
        <w:spacing w:line="360" w:lineRule="auto"/>
        <w:ind w:firstLineChars="200" w:firstLine="480"/>
        <w:rPr>
          <w:rFonts w:ascii="宋体"/>
          <w:color w:val="000000"/>
          <w:sz w:val="24"/>
          <w:szCs w:val="24"/>
        </w:rPr>
      </w:pPr>
      <w:smartTag w:uri="urn:schemas-microsoft-com:office:smarttags" w:element="chsdate">
        <w:smartTagPr>
          <w:attr w:name="Year" w:val="2016"/>
          <w:attr w:name="Month" w:val="4"/>
          <w:attr w:name="Day" w:val="8"/>
          <w:attr w:name="IsLunarDate" w:val="False"/>
          <w:attr w:name="IsROCDate" w:val="False"/>
        </w:smartTagPr>
        <w:r>
          <w:rPr>
            <w:rFonts w:ascii="宋体" w:hAnsi="宋体"/>
            <w:color w:val="000000"/>
            <w:sz w:val="24"/>
            <w:szCs w:val="24"/>
          </w:rPr>
          <w:t>2016</w:t>
        </w:r>
        <w:r>
          <w:rPr>
            <w:rFonts w:ascii="宋体" w:hAnsi="宋体" w:hint="eastAsia"/>
            <w:color w:val="000000"/>
            <w:sz w:val="24"/>
            <w:szCs w:val="24"/>
          </w:rPr>
          <w:t>年</w:t>
        </w:r>
        <w:r>
          <w:rPr>
            <w:rFonts w:ascii="宋体" w:hAnsi="宋体"/>
            <w:color w:val="000000"/>
            <w:sz w:val="24"/>
            <w:szCs w:val="24"/>
          </w:rPr>
          <w:t>4</w:t>
        </w:r>
        <w:r>
          <w:rPr>
            <w:rFonts w:ascii="宋体" w:hAnsi="宋体" w:hint="eastAsia"/>
            <w:color w:val="000000"/>
            <w:sz w:val="24"/>
            <w:szCs w:val="24"/>
          </w:rPr>
          <w:t>月</w:t>
        </w:r>
        <w:r>
          <w:rPr>
            <w:rFonts w:ascii="宋体" w:hAnsi="宋体"/>
            <w:color w:val="000000"/>
            <w:sz w:val="24"/>
            <w:szCs w:val="24"/>
          </w:rPr>
          <w:t>8</w:t>
        </w:r>
        <w:r>
          <w:rPr>
            <w:rFonts w:ascii="宋体" w:hAnsi="宋体" w:hint="eastAsia"/>
            <w:color w:val="000000"/>
            <w:sz w:val="24"/>
            <w:szCs w:val="24"/>
          </w:rPr>
          <w:t>日</w:t>
        </w:r>
      </w:smartTag>
      <w:r>
        <w:rPr>
          <w:rFonts w:ascii="宋体" w:hAnsi="宋体" w:hint="eastAsia"/>
          <w:color w:val="000000"/>
          <w:sz w:val="24"/>
          <w:szCs w:val="24"/>
        </w:rPr>
        <w:t>，由海盐县人民政府组织会同中国标准化研究院、其它起草单位在北京召开了第一次会议，明确了标准起草小组，确定了标准框架，明确了标准起草的具体时间进度安排，标准编制的总体要求和基本原则，以及调研的主要地区。</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）形成征求意见第一稿</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根据工作组第一次会议的总体部署和要求，结合全国各地就地城镇化发展的实践和实际水平，形成工作组讨论稿。</w:t>
      </w:r>
    </w:p>
    <w:p w:rsidR="00074F3B" w:rsidRDefault="00074F3B">
      <w:pPr>
        <w:spacing w:line="360" w:lineRule="auto"/>
        <w:ind w:firstLineChars="250" w:firstLine="60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组织全国调研</w:t>
      </w:r>
    </w:p>
    <w:p w:rsidR="00074F3B" w:rsidRDefault="00074F3B">
      <w:pPr>
        <w:spacing w:line="360" w:lineRule="auto"/>
        <w:ind w:firstLineChars="200" w:firstLine="480"/>
        <w:rPr>
          <w:rFonts w:ascii="宋体"/>
          <w:color w:val="000000"/>
          <w:sz w:val="24"/>
          <w:szCs w:val="24"/>
        </w:rPr>
      </w:pPr>
      <w:r>
        <w:rPr>
          <w:rFonts w:ascii="宋体" w:hAnsi="宋体"/>
          <w:color w:val="000000"/>
          <w:sz w:val="24"/>
          <w:szCs w:val="24"/>
        </w:rPr>
        <w:t>2016</w:t>
      </w:r>
      <w:r>
        <w:rPr>
          <w:rFonts w:ascii="宋体" w:hAnsi="宋体" w:hint="eastAsia"/>
          <w:color w:val="000000"/>
          <w:sz w:val="24"/>
          <w:szCs w:val="24"/>
        </w:rPr>
        <w:t>年</w:t>
      </w:r>
      <w:r>
        <w:rPr>
          <w:rFonts w:ascii="宋体" w:hAnsi="宋体"/>
          <w:color w:val="000000"/>
          <w:sz w:val="24"/>
          <w:szCs w:val="24"/>
        </w:rPr>
        <w:t>9-10</w:t>
      </w:r>
      <w:r>
        <w:rPr>
          <w:rFonts w:ascii="宋体" w:hAnsi="宋体" w:hint="eastAsia"/>
          <w:color w:val="000000"/>
          <w:sz w:val="24"/>
          <w:szCs w:val="24"/>
        </w:rPr>
        <w:t>月</w:t>
      </w:r>
      <w:r>
        <w:rPr>
          <w:rFonts w:ascii="宋体"/>
          <w:color w:val="000000"/>
          <w:sz w:val="24"/>
          <w:szCs w:val="24"/>
        </w:rPr>
        <w:t>,</w:t>
      </w:r>
      <w:r>
        <w:rPr>
          <w:rFonts w:ascii="宋体" w:hAnsi="宋体" w:hint="eastAsia"/>
          <w:color w:val="000000"/>
          <w:sz w:val="24"/>
          <w:szCs w:val="24"/>
        </w:rPr>
        <w:t>起草小组赴海南省琼海市、福建省晋江市、天津市东丽区、山东省荣成市等农村综合改革和新型城镇化先进地区开展调研，学习吸纳先进经验，讨论标准文本内容，形成了征求意见第一稿。</w:t>
      </w:r>
    </w:p>
    <w:p w:rsidR="00074F3B" w:rsidRDefault="00074F3B">
      <w:pPr>
        <w:numPr>
          <w:ilvl w:val="0"/>
          <w:numId w:val="2"/>
        </w:numPr>
        <w:spacing w:line="360" w:lineRule="auto"/>
        <w:jc w:val="left"/>
        <w:rPr>
          <w:b/>
          <w:sz w:val="30"/>
          <w:szCs w:val="30"/>
        </w:rPr>
      </w:pPr>
      <w:r>
        <w:rPr>
          <w:rFonts w:hint="eastAsia"/>
          <w:b/>
          <w:sz w:val="30"/>
          <w:szCs w:val="30"/>
        </w:rPr>
        <w:t>标准编制原则</w:t>
      </w:r>
    </w:p>
    <w:p w:rsidR="00074F3B" w:rsidRDefault="00074F3B">
      <w:pPr>
        <w:spacing w:line="360" w:lineRule="auto"/>
        <w:ind w:firstLineChars="200" w:firstLine="480"/>
        <w:rPr>
          <w:rFonts w:ascii="宋体"/>
          <w:color w:val="000000"/>
          <w:sz w:val="24"/>
          <w:szCs w:val="24"/>
        </w:rPr>
      </w:pPr>
      <w:bookmarkStart w:id="0" w:name="_Toc90112094"/>
      <w:r>
        <w:rPr>
          <w:rFonts w:ascii="宋体" w:hAnsi="宋体" w:hint="eastAsia"/>
          <w:color w:val="000000"/>
          <w:sz w:val="24"/>
          <w:szCs w:val="24"/>
        </w:rPr>
        <w:t>标准的制定应以</w:t>
      </w:r>
      <w:r>
        <w:rPr>
          <w:rFonts w:ascii="宋体" w:hAnsi="宋体"/>
          <w:color w:val="000000"/>
          <w:sz w:val="24"/>
          <w:szCs w:val="24"/>
        </w:rPr>
        <w:t xml:space="preserve"> </w:t>
      </w:r>
      <w:r>
        <w:rPr>
          <w:rFonts w:ascii="宋体" w:hAnsi="宋体" w:hint="eastAsia"/>
          <w:color w:val="000000"/>
          <w:sz w:val="24"/>
          <w:szCs w:val="24"/>
        </w:rPr>
        <w:t>“十八大”精神、“五位一体”思想和国家新型城镇化规划（</w:t>
      </w:r>
      <w:r>
        <w:rPr>
          <w:rFonts w:ascii="宋体" w:hAnsi="宋体"/>
          <w:color w:val="000000"/>
          <w:sz w:val="24"/>
          <w:szCs w:val="24"/>
        </w:rPr>
        <w:t>2014-2020</w:t>
      </w:r>
      <w:r>
        <w:rPr>
          <w:rFonts w:ascii="宋体" w:hAnsi="宋体" w:hint="eastAsia"/>
          <w:color w:val="000000"/>
          <w:sz w:val="24"/>
          <w:szCs w:val="24"/>
        </w:rPr>
        <w:t>）为导向，紧扣就地城镇化的内涵、主体特征和目标，强调“人的城镇化”，体现科学发展观的要求。</w:t>
      </w:r>
    </w:p>
    <w:p w:rsidR="00074F3B" w:rsidRDefault="00074F3B">
      <w:pPr>
        <w:spacing w:line="360"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、依据国家政策，紧贴就地城镇化内涵</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依据十八大、十八届三中全会、中央一号文件、新型城镇化发展规划（</w:t>
      </w:r>
      <w:r>
        <w:rPr>
          <w:rFonts w:ascii="宋体" w:hAnsi="宋体"/>
          <w:color w:val="000000"/>
          <w:sz w:val="24"/>
          <w:szCs w:val="24"/>
        </w:rPr>
        <w:t>2014</w:t>
      </w:r>
      <w:r>
        <w:rPr>
          <w:rFonts w:ascii="宋体" w:hAnsi="宋体" w:hint="eastAsia"/>
          <w:color w:val="000000"/>
          <w:sz w:val="24"/>
          <w:szCs w:val="24"/>
        </w:rPr>
        <w:t>－</w:t>
      </w:r>
      <w:r>
        <w:rPr>
          <w:rFonts w:ascii="宋体" w:hAnsi="宋体"/>
          <w:color w:val="000000"/>
          <w:sz w:val="24"/>
          <w:szCs w:val="24"/>
        </w:rPr>
        <w:t>2020</w:t>
      </w:r>
      <w:r>
        <w:rPr>
          <w:rFonts w:ascii="宋体" w:hAnsi="宋体" w:hint="eastAsia"/>
          <w:color w:val="000000"/>
          <w:sz w:val="24"/>
          <w:szCs w:val="24"/>
        </w:rPr>
        <w:t>）等国家政策文件、规划等要求，同时要紧贴就地城镇化内涵。</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就地城镇化的核心是，在公共财政分配中，加大向农村倾斜力度，除重大基础设施和公共服务产品根据规划需要拆迁农村之外，原则上不再异地搬迁老百姓，而是根据各个镇的人文特点、产业特色和资源禀赋进行个性化的规划设计，对农村的基础设施进行改造升级、完善提升，把城市的公共服务引入农村，使农村的基础设施配套水平和社会服务水平达到城市标准，实现城乡一体化发展。</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就地城镇化的基础是镇村公共服务的普遍覆盖与普遍享有，要加大养老、医</w:t>
      </w:r>
      <w:r>
        <w:rPr>
          <w:rFonts w:ascii="宋体" w:hAnsi="宋体" w:hint="eastAsia"/>
          <w:color w:val="000000"/>
          <w:sz w:val="24"/>
          <w:szCs w:val="24"/>
        </w:rPr>
        <w:lastRenderedPageBreak/>
        <w:t>疗、教育、就业、住房、社会救助等民生项目的建设投入，同时要加大就业培训力度，助力农民就业方式转型，实现从二元分割到城乡一体化发展的转型，使农民能够真切地享受小城镇建设所带来的红利。</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因此，指标体系的设定应充分依据国家有关新型城镇化建设与发展的各种政策，同时应紧贴就地城镇化的内涵及基本特征。</w:t>
      </w:r>
    </w:p>
    <w:p w:rsidR="00074F3B" w:rsidRDefault="00074F3B">
      <w:pPr>
        <w:spacing w:line="360" w:lineRule="auto"/>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、注重科学性</w:t>
      </w:r>
    </w:p>
    <w:p w:rsidR="00074F3B" w:rsidRDefault="00074F3B">
      <w:pPr>
        <w:spacing w:line="360" w:lineRule="auto"/>
        <w:ind w:firstLine="495"/>
        <w:rPr>
          <w:rFonts w:ascii="宋体"/>
          <w:color w:val="000000"/>
          <w:sz w:val="24"/>
          <w:szCs w:val="24"/>
        </w:rPr>
      </w:pPr>
      <w:r>
        <w:rPr>
          <w:rFonts w:ascii="宋体" w:hAnsi="宋体" w:hint="eastAsia"/>
          <w:color w:val="000000"/>
          <w:sz w:val="24"/>
          <w:szCs w:val="24"/>
        </w:rPr>
        <w:t>指标选取应具有较强的代表性，数据结果能够全面、客观地反映就地城镇化的建设与发展情况，根据就地城镇</w:t>
      </w:r>
      <w:proofErr w:type="gramStart"/>
      <w:r>
        <w:rPr>
          <w:rFonts w:ascii="宋体" w:hAnsi="宋体" w:hint="eastAsia"/>
          <w:color w:val="000000"/>
          <w:sz w:val="24"/>
          <w:szCs w:val="24"/>
        </w:rPr>
        <w:t>化实际</w:t>
      </w:r>
      <w:proofErr w:type="gramEnd"/>
      <w:r>
        <w:rPr>
          <w:rFonts w:ascii="宋体" w:hAnsi="宋体" w:hint="eastAsia"/>
          <w:color w:val="000000"/>
          <w:sz w:val="24"/>
          <w:szCs w:val="24"/>
        </w:rPr>
        <w:t>发展水平和发展目标，采用绝对值与相对值、动态与静态相结合、兼顾城镇</w:t>
      </w:r>
      <w:proofErr w:type="gramStart"/>
      <w:r>
        <w:rPr>
          <w:rFonts w:ascii="宋体" w:hAnsi="宋体" w:hint="eastAsia"/>
          <w:color w:val="000000"/>
          <w:sz w:val="24"/>
          <w:szCs w:val="24"/>
        </w:rPr>
        <w:t>化数量</w:t>
      </w:r>
      <w:proofErr w:type="gramEnd"/>
      <w:r>
        <w:rPr>
          <w:rFonts w:ascii="宋体" w:hAnsi="宋体" w:hint="eastAsia"/>
          <w:color w:val="000000"/>
          <w:sz w:val="24"/>
          <w:szCs w:val="24"/>
        </w:rPr>
        <w:t>和城镇</w:t>
      </w:r>
      <w:proofErr w:type="gramStart"/>
      <w:r>
        <w:rPr>
          <w:rFonts w:ascii="宋体" w:hAnsi="宋体" w:hint="eastAsia"/>
          <w:color w:val="000000"/>
          <w:sz w:val="24"/>
          <w:szCs w:val="24"/>
        </w:rPr>
        <w:t>化质量</w:t>
      </w:r>
      <w:proofErr w:type="gramEnd"/>
      <w:r>
        <w:rPr>
          <w:rFonts w:ascii="宋体" w:hAnsi="宋体" w:hint="eastAsia"/>
          <w:color w:val="000000"/>
          <w:sz w:val="24"/>
          <w:szCs w:val="24"/>
        </w:rPr>
        <w:t>的思路，适当考虑时间和空间的延展性，合理选取指标。</w:t>
      </w:r>
    </w:p>
    <w:p w:rsidR="00074F3B" w:rsidRDefault="00074F3B">
      <w:pPr>
        <w:spacing w:line="360" w:lineRule="auto"/>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、注重实用性</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与国民经济核算体系、相关统计制度相协调，与新型城镇</w:t>
      </w:r>
      <w:proofErr w:type="gramStart"/>
      <w:r>
        <w:rPr>
          <w:rFonts w:ascii="宋体" w:hAnsi="宋体" w:hint="eastAsia"/>
          <w:color w:val="000000"/>
          <w:sz w:val="24"/>
          <w:szCs w:val="24"/>
        </w:rPr>
        <w:t>化总体</w:t>
      </w:r>
      <w:proofErr w:type="gramEnd"/>
      <w:r>
        <w:rPr>
          <w:rFonts w:ascii="宋体" w:hAnsi="宋体" w:hint="eastAsia"/>
          <w:color w:val="000000"/>
          <w:sz w:val="24"/>
          <w:szCs w:val="24"/>
        </w:rPr>
        <w:t>发展目标相衔接。以现有统计口径为基础，各指标的数据结果应具有统计依据，建立在已有的统计数据基础上。</w:t>
      </w:r>
    </w:p>
    <w:p w:rsidR="00074F3B" w:rsidRDefault="00074F3B">
      <w:pPr>
        <w:spacing w:line="360" w:lineRule="auto"/>
        <w:ind w:firstLineChars="200" w:firstLine="480"/>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、注重操作性</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鉴于各地差异，及统计模型和方法的多样性，本标准只给出能够系统、客观反映就地城镇化情况的指标体系，而对于具体的权重赋值及评价模型、方法不作规定，以适应不同地方的实际需要。</w:t>
      </w:r>
    </w:p>
    <w:bookmarkEnd w:id="0"/>
    <w:p w:rsidR="00074F3B" w:rsidRDefault="00074F3B">
      <w:pPr>
        <w:numPr>
          <w:ilvl w:val="0"/>
          <w:numId w:val="2"/>
        </w:numPr>
        <w:spacing w:line="360" w:lineRule="auto"/>
        <w:jc w:val="left"/>
        <w:rPr>
          <w:b/>
          <w:sz w:val="30"/>
          <w:szCs w:val="30"/>
        </w:rPr>
      </w:pPr>
      <w:r>
        <w:rPr>
          <w:rFonts w:hint="eastAsia"/>
          <w:b/>
          <w:sz w:val="30"/>
          <w:szCs w:val="30"/>
        </w:rPr>
        <w:t>标准主要内容的依据</w:t>
      </w:r>
    </w:p>
    <w:p w:rsidR="00074F3B" w:rsidRDefault="00074F3B">
      <w:pPr>
        <w:numPr>
          <w:ilvl w:val="0"/>
          <w:numId w:val="15"/>
        </w:numPr>
        <w:spacing w:line="360" w:lineRule="auto"/>
        <w:rPr>
          <w:b/>
          <w:sz w:val="30"/>
          <w:szCs w:val="30"/>
        </w:rPr>
      </w:pPr>
      <w:r>
        <w:rPr>
          <w:rFonts w:hint="eastAsia"/>
          <w:b/>
          <w:sz w:val="30"/>
          <w:szCs w:val="30"/>
        </w:rPr>
        <w:t>就地城镇化的内涵及基本特征</w:t>
      </w:r>
    </w:p>
    <w:p w:rsidR="00074F3B" w:rsidRDefault="00074F3B">
      <w:pPr>
        <w:spacing w:line="360" w:lineRule="auto"/>
        <w:rPr>
          <w:b/>
          <w:sz w:val="28"/>
          <w:szCs w:val="28"/>
        </w:rPr>
      </w:pPr>
      <w:r>
        <w:rPr>
          <w:b/>
          <w:sz w:val="28"/>
          <w:szCs w:val="28"/>
        </w:rPr>
        <w:t>1</w:t>
      </w:r>
      <w:r>
        <w:rPr>
          <w:rFonts w:hint="eastAsia"/>
          <w:b/>
          <w:sz w:val="28"/>
          <w:szCs w:val="28"/>
        </w:rPr>
        <w:t>、就地城镇化的内涵</w:t>
      </w:r>
    </w:p>
    <w:p w:rsidR="00074F3B" w:rsidRDefault="00074F3B">
      <w:pPr>
        <w:spacing w:line="360" w:lineRule="auto"/>
        <w:ind w:firstLineChars="200" w:firstLine="480"/>
        <w:rPr>
          <w:color w:val="252525"/>
          <w:sz w:val="24"/>
        </w:rPr>
      </w:pPr>
      <w:r>
        <w:rPr>
          <w:rFonts w:ascii="宋体" w:hAnsi="宋体" w:hint="eastAsia"/>
          <w:color w:val="000000"/>
          <w:kern w:val="0"/>
          <w:sz w:val="24"/>
          <w:szCs w:val="24"/>
          <w:shd w:val="clear" w:color="auto" w:fill="FFFFFF"/>
        </w:rPr>
        <w:t>是指人口和聚落未通过大规模的空间迁移，在一定范围内，依托小城镇和新型农村社区实施基本公共服务均等化，逐步实现生产、生活方式市民化的一种新型城镇化模式</w:t>
      </w:r>
      <w:r>
        <w:rPr>
          <w:rFonts w:hint="eastAsia"/>
          <w:color w:val="252525"/>
          <w:sz w:val="24"/>
        </w:rPr>
        <w:t>。</w:t>
      </w:r>
    </w:p>
    <w:p w:rsidR="00074F3B" w:rsidRDefault="00074F3B">
      <w:pPr>
        <w:spacing w:line="360" w:lineRule="auto"/>
        <w:rPr>
          <w:b/>
          <w:sz w:val="28"/>
          <w:szCs w:val="28"/>
        </w:rPr>
      </w:pPr>
      <w:r>
        <w:rPr>
          <w:b/>
          <w:sz w:val="28"/>
          <w:szCs w:val="28"/>
        </w:rPr>
        <w:t>2</w:t>
      </w:r>
      <w:r>
        <w:rPr>
          <w:rFonts w:hint="eastAsia"/>
          <w:b/>
          <w:sz w:val="28"/>
          <w:szCs w:val="28"/>
        </w:rPr>
        <w:t>、就地城镇化的基本特征</w:t>
      </w:r>
    </w:p>
    <w:p w:rsidR="00074F3B" w:rsidRDefault="00074F3B">
      <w:pPr>
        <w:spacing w:line="360" w:lineRule="auto"/>
        <w:ind w:firstLine="480"/>
        <w:rPr>
          <w:color w:val="252525"/>
          <w:sz w:val="24"/>
        </w:rPr>
      </w:pPr>
      <w:r>
        <w:rPr>
          <w:rFonts w:hint="eastAsia"/>
          <w:color w:val="252525"/>
          <w:sz w:val="24"/>
        </w:rPr>
        <w:t>其基本特征主要表现为：</w:t>
      </w:r>
    </w:p>
    <w:p w:rsidR="00074F3B" w:rsidRDefault="00074F3B">
      <w:pPr>
        <w:spacing w:line="360" w:lineRule="auto"/>
        <w:rPr>
          <w:b/>
          <w:sz w:val="24"/>
        </w:rPr>
      </w:pPr>
      <w:r>
        <w:rPr>
          <w:rFonts w:hint="eastAsia"/>
          <w:b/>
          <w:sz w:val="24"/>
        </w:rPr>
        <w:t>（</w:t>
      </w:r>
      <w:r>
        <w:rPr>
          <w:b/>
          <w:sz w:val="24"/>
        </w:rPr>
        <w:t>1</w:t>
      </w:r>
      <w:r>
        <w:rPr>
          <w:rFonts w:hint="eastAsia"/>
          <w:b/>
          <w:sz w:val="24"/>
        </w:rPr>
        <w:t>）以人为主体，保证农民的利益为核心</w:t>
      </w:r>
    </w:p>
    <w:p w:rsidR="00074F3B" w:rsidRDefault="00074F3B">
      <w:pPr>
        <w:spacing w:line="360" w:lineRule="auto"/>
        <w:ind w:firstLineChars="200" w:firstLine="480"/>
        <w:rPr>
          <w:sz w:val="24"/>
        </w:rPr>
      </w:pPr>
      <w:r>
        <w:rPr>
          <w:rFonts w:hint="eastAsia"/>
          <w:sz w:val="24"/>
        </w:rPr>
        <w:t>以往仅以户籍人口的城镇化率已不能真正体现城镇化的发展水平和质量。就</w:t>
      </w:r>
      <w:r>
        <w:rPr>
          <w:rFonts w:hint="eastAsia"/>
          <w:sz w:val="24"/>
        </w:rPr>
        <w:lastRenderedPageBreak/>
        <w:t>地城镇化是以人为主体，以当地农民能够就地享城镇居民同等待遇、城乡发展机会平等化为最终目标，保证农民的就是利益为核心，因此，城镇化既包括城镇</w:t>
      </w:r>
      <w:proofErr w:type="gramStart"/>
      <w:r>
        <w:rPr>
          <w:rFonts w:hint="eastAsia"/>
          <w:sz w:val="24"/>
        </w:rPr>
        <w:t>化核心</w:t>
      </w:r>
      <w:proofErr w:type="gramEnd"/>
      <w:r>
        <w:rPr>
          <w:rFonts w:hint="eastAsia"/>
          <w:sz w:val="24"/>
        </w:rPr>
        <w:t>载体（主要指城镇化地区）的发展质量，也包括城镇</w:t>
      </w:r>
      <w:proofErr w:type="gramStart"/>
      <w:r>
        <w:rPr>
          <w:rFonts w:hint="eastAsia"/>
          <w:sz w:val="24"/>
        </w:rPr>
        <w:t>化域面</w:t>
      </w:r>
      <w:proofErr w:type="gramEnd"/>
      <w:r>
        <w:rPr>
          <w:rFonts w:hint="eastAsia"/>
          <w:sz w:val="24"/>
        </w:rPr>
        <w:t>载体（主要指乡村）的发展质量，还包括两者之间的协调互动关系。</w:t>
      </w:r>
    </w:p>
    <w:p w:rsidR="00074F3B" w:rsidRDefault="00074F3B">
      <w:pPr>
        <w:spacing w:line="360" w:lineRule="auto"/>
        <w:rPr>
          <w:b/>
          <w:sz w:val="24"/>
        </w:rPr>
      </w:pPr>
      <w:r>
        <w:rPr>
          <w:rFonts w:hint="eastAsia"/>
          <w:b/>
          <w:sz w:val="24"/>
        </w:rPr>
        <w:t>（</w:t>
      </w:r>
      <w:r>
        <w:rPr>
          <w:b/>
          <w:sz w:val="24"/>
        </w:rPr>
        <w:t>2</w:t>
      </w:r>
      <w:r>
        <w:rPr>
          <w:rFonts w:hint="eastAsia"/>
          <w:b/>
          <w:sz w:val="24"/>
        </w:rPr>
        <w:t>）实质是公平共享，城乡差距逐步缩小。</w:t>
      </w:r>
    </w:p>
    <w:p w:rsidR="00074F3B" w:rsidRDefault="00074F3B">
      <w:pPr>
        <w:spacing w:line="360" w:lineRule="auto"/>
        <w:ind w:firstLineChars="200" w:firstLine="480"/>
        <w:rPr>
          <w:sz w:val="24"/>
        </w:rPr>
      </w:pPr>
      <w:r>
        <w:rPr>
          <w:rFonts w:hint="eastAsia"/>
          <w:sz w:val="24"/>
        </w:rPr>
        <w:t>就地城镇化的实质在于在原居地一定空间半径内，在无需迁徙和改变户籍性质的情况下，农民的生产、生活及基本公共服务的方式和水平，达到中小城镇标准，即行政村域的现代产业和人口集聚的规模，农民的居住条件、就业机会、生产方式、收入水平、公共服务供给方式及水平、社会管理方式、民主政治权利表达逐渐趋同</w:t>
      </w:r>
      <w:r>
        <w:rPr>
          <w:sz w:val="24"/>
        </w:rPr>
        <w:t>(</w:t>
      </w:r>
      <w:r>
        <w:rPr>
          <w:rFonts w:hint="eastAsia"/>
          <w:sz w:val="24"/>
        </w:rPr>
        <w:t>等值化</w:t>
      </w:r>
      <w:r>
        <w:rPr>
          <w:sz w:val="24"/>
        </w:rPr>
        <w:t>)</w:t>
      </w:r>
      <w:r>
        <w:rPr>
          <w:rFonts w:hint="eastAsia"/>
          <w:sz w:val="24"/>
        </w:rPr>
        <w:t>于城镇，实现农民工人化、农业产业化、农村社区化，让农民在就业、社会保障、医疗教育、住房保障等方面逐步与市民同权。</w:t>
      </w:r>
    </w:p>
    <w:p w:rsidR="00074F3B" w:rsidRDefault="00074F3B">
      <w:pPr>
        <w:spacing w:line="360" w:lineRule="auto"/>
        <w:ind w:firstLineChars="200" w:firstLine="480"/>
        <w:rPr>
          <w:sz w:val="24"/>
        </w:rPr>
      </w:pPr>
      <w:r>
        <w:rPr>
          <w:rFonts w:hint="eastAsia"/>
          <w:sz w:val="24"/>
        </w:rPr>
        <w:t>就地城镇</w:t>
      </w:r>
      <w:proofErr w:type="gramStart"/>
      <w:r>
        <w:rPr>
          <w:rFonts w:hint="eastAsia"/>
          <w:sz w:val="24"/>
        </w:rPr>
        <w:t>化关键</w:t>
      </w:r>
      <w:proofErr w:type="gramEnd"/>
      <w:r>
        <w:rPr>
          <w:rFonts w:hint="eastAsia"/>
          <w:sz w:val="24"/>
        </w:rPr>
        <w:t>是要提高基础设施及公共服务水平。实现城乡基础设施共享，就业、社会保障、医疗教育、住房保障、等资源要素配置的均等化和公共服务均等化，是就地城镇化的重要指征。基础设施建设中现代交通和通信技术尤为重要。人流、物流、信息流的加快，才能降低生产要素集聚成本，使相对分散的农村也能产生资源的集聚效应。</w:t>
      </w:r>
    </w:p>
    <w:p w:rsidR="00074F3B" w:rsidRDefault="00074F3B">
      <w:pPr>
        <w:spacing w:line="360" w:lineRule="auto"/>
        <w:ind w:firstLineChars="200" w:firstLine="480"/>
        <w:rPr>
          <w:sz w:val="24"/>
        </w:rPr>
      </w:pPr>
      <w:r>
        <w:rPr>
          <w:rFonts w:hint="eastAsia"/>
          <w:sz w:val="24"/>
        </w:rPr>
        <w:t>因此，指标体系的设计应着重于城乡差距的减小，着重于城乡基础设施共享、公共服务均等化。</w:t>
      </w:r>
    </w:p>
    <w:p w:rsidR="00074F3B" w:rsidRDefault="00074F3B">
      <w:pPr>
        <w:spacing w:line="360" w:lineRule="auto"/>
        <w:rPr>
          <w:b/>
          <w:sz w:val="24"/>
        </w:rPr>
      </w:pPr>
      <w:r>
        <w:rPr>
          <w:rFonts w:hint="eastAsia"/>
          <w:b/>
          <w:sz w:val="24"/>
        </w:rPr>
        <w:t>（</w:t>
      </w:r>
      <w:r>
        <w:rPr>
          <w:b/>
          <w:sz w:val="24"/>
        </w:rPr>
        <w:t>3</w:t>
      </w:r>
      <w:r>
        <w:rPr>
          <w:rFonts w:hint="eastAsia"/>
          <w:b/>
          <w:sz w:val="24"/>
        </w:rPr>
        <w:t>）强化就地产业支撑，促进稳定就业</w:t>
      </w:r>
    </w:p>
    <w:p w:rsidR="00074F3B" w:rsidRDefault="00074F3B">
      <w:pPr>
        <w:pStyle w:val="af"/>
        <w:spacing w:before="0" w:beforeAutospacing="0" w:after="0" w:afterAutospacing="0" w:line="480" w:lineRule="atLeast"/>
        <w:ind w:firstLine="480"/>
        <w:rPr>
          <w:shd w:val="clear" w:color="auto" w:fill="FFFFFF"/>
        </w:rPr>
      </w:pPr>
      <w:r>
        <w:rPr>
          <w:rFonts w:hint="eastAsia"/>
          <w:color w:val="000000"/>
          <w:shd w:val="clear" w:color="auto" w:fill="FFFFFF"/>
        </w:rPr>
        <w:t>实现就地城镇化的基础是产业发展，就地</w:t>
      </w:r>
      <w:proofErr w:type="gramStart"/>
      <w:r>
        <w:rPr>
          <w:rFonts w:hint="eastAsia"/>
          <w:color w:val="000000"/>
          <w:shd w:val="clear" w:color="auto" w:fill="FFFFFF"/>
        </w:rPr>
        <w:t>城镇化应具有</w:t>
      </w:r>
      <w:proofErr w:type="gramEnd"/>
      <w:r>
        <w:rPr>
          <w:rFonts w:hint="eastAsia"/>
          <w:color w:val="000000"/>
          <w:shd w:val="clear" w:color="auto" w:fill="FFFFFF"/>
        </w:rPr>
        <w:t>一定的自我造血功能。必须把产业支撑放在农村城镇化的首要位置。需要根据各地资源禀赋，培育发展特色产业，增强产业承接能力，产业一定规模的积聚是关键，只有工业化达到一定程度，并为服务业繁荣提供支撑，逐步提高服务业比重，城镇化才能快速推进。</w:t>
      </w:r>
      <w:r>
        <w:rPr>
          <w:rFonts w:hint="eastAsia"/>
          <w:color w:val="252525"/>
        </w:rPr>
        <w:t>有了可持续发展的产业基础，</w:t>
      </w:r>
      <w:r>
        <w:rPr>
          <w:rFonts w:hint="eastAsia"/>
          <w:color w:val="000000"/>
          <w:shd w:val="clear" w:color="auto" w:fill="FFFFFF"/>
        </w:rPr>
        <w:t>做大做强县域经济、镇域经济和民营经济，增强就</w:t>
      </w:r>
      <w:r>
        <w:rPr>
          <w:rFonts w:hint="eastAsia"/>
          <w:shd w:val="clear" w:color="auto" w:fill="FFFFFF"/>
        </w:rPr>
        <w:t>业吸纳能力，才能</w:t>
      </w:r>
      <w:r>
        <w:rPr>
          <w:rFonts w:hint="eastAsia"/>
        </w:rPr>
        <w:t>解决好就业问题，</w:t>
      </w:r>
      <w:r>
        <w:rPr>
          <w:rFonts w:hint="eastAsia"/>
          <w:shd w:val="clear" w:color="auto" w:fill="FFFFFF"/>
        </w:rPr>
        <w:t>形成农民增收致富的稳定来源，</w:t>
      </w:r>
      <w:r>
        <w:rPr>
          <w:rFonts w:hint="eastAsia"/>
        </w:rPr>
        <w:t>才能让人真正安定并居住下来，实现“职住平衡”，即在某一给定的地域范围内，居民中劳动者的数量和就业岗位的数量大致相等，大部分居民可以就近工作；通勤交通可采用步行、自行车或者其他的非机动车方式；即使是使用机动车，出行距离和时间也比较短</w:t>
      </w:r>
      <w:r>
        <w:rPr>
          <w:rFonts w:hint="eastAsia"/>
          <w:shd w:val="clear" w:color="auto" w:fill="FFFFFF"/>
        </w:rPr>
        <w:t>。</w:t>
      </w:r>
    </w:p>
    <w:p w:rsidR="00074F3B" w:rsidRDefault="00074F3B">
      <w:pPr>
        <w:pStyle w:val="af"/>
        <w:spacing w:before="0" w:beforeAutospacing="0" w:after="0" w:afterAutospacing="0" w:line="480" w:lineRule="atLeast"/>
        <w:ind w:firstLine="480"/>
      </w:pPr>
      <w:r>
        <w:rPr>
          <w:rFonts w:hint="eastAsia"/>
          <w:shd w:val="clear" w:color="auto" w:fill="FFFFFF"/>
        </w:rPr>
        <w:lastRenderedPageBreak/>
        <w:t>因此，在指标体系设计时应考虑整个县域的经济发展、产业发展水平、工业向集聚区集中及规模化、工业、服务业的比重、土地规模化集中、农业现代化水平、规模化水平等。</w:t>
      </w:r>
    </w:p>
    <w:p w:rsidR="00074F3B" w:rsidRDefault="00074F3B">
      <w:pPr>
        <w:spacing w:line="360" w:lineRule="auto"/>
        <w:rPr>
          <w:b/>
          <w:sz w:val="24"/>
        </w:rPr>
      </w:pPr>
      <w:r>
        <w:rPr>
          <w:rFonts w:hint="eastAsia"/>
          <w:b/>
          <w:sz w:val="24"/>
        </w:rPr>
        <w:t>（</w:t>
      </w:r>
      <w:r>
        <w:rPr>
          <w:b/>
          <w:sz w:val="24"/>
        </w:rPr>
        <w:t>4</w:t>
      </w:r>
      <w:r>
        <w:rPr>
          <w:rFonts w:hint="eastAsia"/>
          <w:b/>
          <w:sz w:val="24"/>
        </w:rPr>
        <w:t>）四化同步、五位一体和谐发展</w:t>
      </w:r>
    </w:p>
    <w:p w:rsidR="00074F3B" w:rsidRDefault="00074F3B">
      <w:pPr>
        <w:spacing w:line="360" w:lineRule="auto"/>
        <w:ind w:firstLineChars="200" w:firstLine="480"/>
        <w:rPr>
          <w:color w:val="252525"/>
          <w:sz w:val="24"/>
        </w:rPr>
      </w:pPr>
      <w:r>
        <w:rPr>
          <w:rFonts w:hint="eastAsia"/>
          <w:color w:val="252525"/>
          <w:sz w:val="24"/>
        </w:rPr>
        <w:t>注重城镇化、工业化、农业现代化、信息化四轮驱动，同步发展，强调“资源节约和环境友好”，强调把生态文明理念和原则全面融入城镇化改革的全过程注重生态、经济、社会、文化、政治五位一体和谐发展，</w:t>
      </w:r>
    </w:p>
    <w:p w:rsidR="00074F3B" w:rsidRDefault="00074F3B">
      <w:pPr>
        <w:spacing w:line="360" w:lineRule="auto"/>
        <w:ind w:firstLineChars="200" w:firstLine="480"/>
        <w:rPr>
          <w:color w:val="252525"/>
          <w:sz w:val="24"/>
        </w:rPr>
      </w:pPr>
      <w:r>
        <w:rPr>
          <w:rFonts w:hint="eastAsia"/>
          <w:color w:val="252525"/>
          <w:sz w:val="24"/>
        </w:rPr>
        <w:t>要求节约集约利用土地和资源，依托城镇的资源和环境承载能力聚集产业和人口，抓好城镇污水、垃圾和环境治理，突出城镇生态建设，努力发展低耗经济、低碳经济、循环经济，节能减排，保护和改善生态环境，提高可持续发展能力。</w:t>
      </w:r>
    </w:p>
    <w:p w:rsidR="00074F3B" w:rsidRDefault="00074F3B">
      <w:pPr>
        <w:spacing w:line="360" w:lineRule="auto"/>
        <w:rPr>
          <w:b/>
          <w:sz w:val="24"/>
        </w:rPr>
      </w:pPr>
      <w:r>
        <w:rPr>
          <w:rFonts w:hint="eastAsia"/>
          <w:b/>
          <w:sz w:val="24"/>
        </w:rPr>
        <w:t>（</w:t>
      </w:r>
      <w:r>
        <w:rPr>
          <w:b/>
          <w:sz w:val="24"/>
        </w:rPr>
        <w:t>5</w:t>
      </w:r>
      <w:r>
        <w:rPr>
          <w:rFonts w:hint="eastAsia"/>
          <w:b/>
          <w:sz w:val="24"/>
        </w:rPr>
        <w:t>）支持生产要素自由流动，保就地城镇化生长空间</w:t>
      </w:r>
    </w:p>
    <w:p w:rsidR="00074F3B" w:rsidRDefault="00074F3B">
      <w:pPr>
        <w:spacing w:line="360" w:lineRule="auto"/>
        <w:ind w:firstLineChars="200" w:firstLine="480"/>
        <w:rPr>
          <w:color w:val="252525"/>
          <w:sz w:val="24"/>
        </w:rPr>
      </w:pPr>
      <w:r>
        <w:rPr>
          <w:rFonts w:hint="eastAsia"/>
          <w:color w:val="252525"/>
          <w:sz w:val="24"/>
        </w:rPr>
        <w:t>主要是土地制度改革。通过农村土地确权赋能，允许农村土地合理流转，有助于要素向农村和小城镇集聚，吸引中小企业等产业资本，将过剩产能转移到村镇，实现农民就地城镇化，使土地城镇化和人口城镇化同步推进。</w:t>
      </w:r>
    </w:p>
    <w:p w:rsidR="00074F3B" w:rsidRDefault="00074F3B">
      <w:pPr>
        <w:spacing w:line="360" w:lineRule="auto"/>
        <w:ind w:firstLineChars="200" w:firstLine="480"/>
        <w:rPr>
          <w:color w:val="252525"/>
          <w:sz w:val="24"/>
        </w:rPr>
      </w:pPr>
      <w:r>
        <w:rPr>
          <w:rFonts w:hint="eastAsia"/>
          <w:color w:val="252525"/>
          <w:sz w:val="24"/>
        </w:rPr>
        <w:t>而农村土地整治的土地增值收益也应大部分返还农村。只有农民的重要资产</w:t>
      </w:r>
      <w:r>
        <w:rPr>
          <w:color w:val="252525"/>
          <w:sz w:val="24"/>
        </w:rPr>
        <w:t>——</w:t>
      </w:r>
      <w:r>
        <w:rPr>
          <w:rFonts w:hint="eastAsia"/>
          <w:color w:val="252525"/>
          <w:sz w:val="24"/>
        </w:rPr>
        <w:t>土地权利得已保障，可获得增值收益，才有底气、愿意进入小城镇工作生活。</w:t>
      </w:r>
    </w:p>
    <w:p w:rsidR="00074F3B" w:rsidRDefault="00074F3B">
      <w:pPr>
        <w:spacing w:line="360" w:lineRule="auto"/>
        <w:rPr>
          <w:b/>
          <w:sz w:val="24"/>
        </w:rPr>
      </w:pPr>
      <w:r>
        <w:rPr>
          <w:rFonts w:hint="eastAsia"/>
          <w:b/>
          <w:sz w:val="24"/>
        </w:rPr>
        <w:t>（</w:t>
      </w:r>
      <w:r>
        <w:rPr>
          <w:b/>
          <w:sz w:val="24"/>
        </w:rPr>
        <w:t>6</w:t>
      </w:r>
      <w:r>
        <w:rPr>
          <w:rFonts w:hint="eastAsia"/>
          <w:b/>
          <w:sz w:val="24"/>
        </w:rPr>
        <w:t>）以新型农村社区为载体，创新社会管理体制机制</w:t>
      </w:r>
    </w:p>
    <w:p w:rsidR="00074F3B" w:rsidRDefault="00074F3B">
      <w:pPr>
        <w:spacing w:line="360" w:lineRule="auto"/>
        <w:ind w:firstLineChars="200" w:firstLine="480"/>
        <w:rPr>
          <w:color w:val="252525"/>
          <w:sz w:val="24"/>
        </w:rPr>
      </w:pPr>
      <w:r>
        <w:rPr>
          <w:rFonts w:hint="eastAsia"/>
          <w:color w:val="252525"/>
          <w:sz w:val="24"/>
        </w:rPr>
        <w:t>创新社会管理体制机制，转变基层政府服务职能，加强和改进农村群众工作，打造农村基本公共服务平台，构建新型农村城镇化管理和服务网络，让农民在社会管理、民主政治权利表达等方面获得与城镇居民同等的待遇。</w:t>
      </w:r>
    </w:p>
    <w:p w:rsidR="00074F3B" w:rsidRDefault="00074F3B">
      <w:pPr>
        <w:spacing w:line="360" w:lineRule="auto"/>
        <w:rPr>
          <w:rFonts w:ascii="宋体"/>
          <w:b/>
          <w:color w:val="000000"/>
          <w:sz w:val="24"/>
          <w:szCs w:val="24"/>
        </w:rPr>
      </w:pPr>
    </w:p>
    <w:p w:rsidR="00074F3B" w:rsidRDefault="00074F3B">
      <w:pPr>
        <w:spacing w:line="360" w:lineRule="auto"/>
        <w:rPr>
          <w:rFonts w:ascii="宋体"/>
          <w:b/>
          <w:color w:val="000000"/>
          <w:sz w:val="24"/>
          <w:szCs w:val="24"/>
        </w:rPr>
      </w:pPr>
      <w:r>
        <w:rPr>
          <w:rFonts w:ascii="宋体" w:hAnsi="宋体" w:hint="eastAsia"/>
          <w:b/>
          <w:color w:val="000000"/>
          <w:sz w:val="24"/>
          <w:szCs w:val="24"/>
        </w:rPr>
        <w:t>（二）标准的主要架构</w:t>
      </w:r>
    </w:p>
    <w:p w:rsidR="00074F3B" w:rsidRDefault="00074F3B">
      <w:pPr>
        <w:spacing w:line="360" w:lineRule="auto"/>
        <w:ind w:firstLineChars="200" w:firstLine="480"/>
        <w:rPr>
          <w:rFonts w:ascii="宋体"/>
          <w:color w:val="000000"/>
          <w:sz w:val="24"/>
          <w:szCs w:val="24"/>
        </w:rPr>
      </w:pPr>
      <w:r>
        <w:rPr>
          <w:rFonts w:ascii="宋体" w:hAnsi="宋体" w:hint="eastAsia"/>
          <w:color w:val="000000"/>
          <w:sz w:val="24"/>
          <w:szCs w:val="24"/>
        </w:rPr>
        <w:t>标准主体内容由范围、规范性引用文件、术语和定义、基本原则、评价指标体系、评价指标内涵与计算方法、评价实施</w:t>
      </w:r>
      <w:r>
        <w:rPr>
          <w:rFonts w:ascii="宋体" w:hAnsi="宋体"/>
          <w:color w:val="000000"/>
          <w:sz w:val="24"/>
          <w:szCs w:val="24"/>
        </w:rPr>
        <w:t>7</w:t>
      </w:r>
      <w:r>
        <w:rPr>
          <w:rFonts w:ascii="宋体" w:hAnsi="宋体" w:hint="eastAsia"/>
          <w:color w:val="000000"/>
          <w:sz w:val="24"/>
          <w:szCs w:val="24"/>
        </w:rPr>
        <w:t>大部分组成。</w:t>
      </w:r>
    </w:p>
    <w:p w:rsidR="00074F3B" w:rsidRDefault="00074F3B">
      <w:pPr>
        <w:spacing w:line="360" w:lineRule="auto"/>
        <w:rPr>
          <w:rFonts w:ascii="宋体"/>
          <w:b/>
          <w:color w:val="000000"/>
          <w:sz w:val="24"/>
          <w:szCs w:val="24"/>
        </w:rPr>
      </w:pPr>
      <w:r>
        <w:rPr>
          <w:rFonts w:ascii="宋体" w:hAnsi="宋体" w:hint="eastAsia"/>
          <w:b/>
          <w:color w:val="000000"/>
          <w:sz w:val="24"/>
          <w:szCs w:val="24"/>
        </w:rPr>
        <w:t>（三）标准主要内容及依据</w:t>
      </w:r>
    </w:p>
    <w:p w:rsidR="00074F3B" w:rsidRDefault="00074F3B">
      <w:pPr>
        <w:spacing w:line="360" w:lineRule="auto"/>
        <w:rPr>
          <w:rFonts w:ascii="宋体"/>
          <w:b/>
          <w:color w:val="000000"/>
          <w:sz w:val="24"/>
          <w:szCs w:val="24"/>
        </w:rPr>
      </w:pPr>
      <w:r>
        <w:rPr>
          <w:rFonts w:ascii="宋体" w:hAnsi="宋体"/>
          <w:b/>
          <w:color w:val="000000"/>
          <w:sz w:val="24"/>
          <w:szCs w:val="24"/>
        </w:rPr>
        <w:t>1.</w:t>
      </w:r>
      <w:r>
        <w:rPr>
          <w:rFonts w:ascii="宋体" w:hAnsi="宋体" w:hint="eastAsia"/>
          <w:b/>
          <w:color w:val="000000"/>
          <w:sz w:val="24"/>
          <w:szCs w:val="24"/>
        </w:rPr>
        <w:t>范围</w:t>
      </w:r>
    </w:p>
    <w:p w:rsidR="00074F3B" w:rsidRDefault="00074F3B">
      <w:pPr>
        <w:spacing w:line="360" w:lineRule="auto"/>
        <w:ind w:firstLineChars="200" w:firstLine="480"/>
        <w:rPr>
          <w:rFonts w:ascii="宋体"/>
          <w:color w:val="000000"/>
          <w:kern w:val="0"/>
          <w:sz w:val="24"/>
          <w:szCs w:val="24"/>
        </w:rPr>
      </w:pPr>
      <w:r>
        <w:rPr>
          <w:rFonts w:ascii="宋体" w:hAnsi="宋体" w:hint="eastAsia"/>
          <w:color w:val="000000"/>
          <w:kern w:val="0"/>
          <w:sz w:val="24"/>
          <w:szCs w:val="24"/>
        </w:rPr>
        <w:t>本标准规定了就地城镇</w:t>
      </w:r>
      <w:proofErr w:type="gramStart"/>
      <w:r>
        <w:rPr>
          <w:rFonts w:ascii="宋体" w:hAnsi="宋体" w:hint="eastAsia"/>
          <w:color w:val="000000"/>
          <w:kern w:val="0"/>
          <w:sz w:val="24"/>
          <w:szCs w:val="24"/>
        </w:rPr>
        <w:t>化评价</w:t>
      </w:r>
      <w:proofErr w:type="gramEnd"/>
      <w:r>
        <w:rPr>
          <w:rFonts w:ascii="宋体" w:hAnsi="宋体" w:hint="eastAsia"/>
          <w:color w:val="000000"/>
          <w:kern w:val="0"/>
          <w:sz w:val="24"/>
          <w:szCs w:val="24"/>
        </w:rPr>
        <w:t>指标体系的原则、内容、指标内涵与计算方法、评价实施要求。</w:t>
      </w:r>
    </w:p>
    <w:p w:rsidR="00074F3B" w:rsidRDefault="00074F3B">
      <w:pPr>
        <w:spacing w:line="360" w:lineRule="auto"/>
        <w:ind w:firstLineChars="200" w:firstLine="480"/>
        <w:rPr>
          <w:rFonts w:ascii="宋体"/>
          <w:color w:val="000000"/>
          <w:kern w:val="0"/>
          <w:sz w:val="24"/>
          <w:szCs w:val="24"/>
        </w:rPr>
      </w:pPr>
      <w:r>
        <w:rPr>
          <w:rFonts w:ascii="宋体" w:hAnsi="宋体" w:hint="eastAsia"/>
          <w:color w:val="000000"/>
          <w:kern w:val="0"/>
          <w:sz w:val="24"/>
          <w:szCs w:val="24"/>
        </w:rPr>
        <w:t>本标准适用于以县域为单位的就地城镇化的评价。</w:t>
      </w:r>
    </w:p>
    <w:p w:rsidR="00074F3B" w:rsidRDefault="00074F3B">
      <w:pPr>
        <w:spacing w:line="360" w:lineRule="auto"/>
        <w:rPr>
          <w:rFonts w:ascii="宋体"/>
          <w:b/>
          <w:color w:val="000000"/>
          <w:sz w:val="24"/>
          <w:szCs w:val="24"/>
        </w:rPr>
      </w:pPr>
      <w:r>
        <w:rPr>
          <w:rFonts w:ascii="宋体" w:hAnsi="宋体"/>
          <w:b/>
          <w:color w:val="000000"/>
          <w:sz w:val="24"/>
          <w:szCs w:val="24"/>
        </w:rPr>
        <w:lastRenderedPageBreak/>
        <w:t>2.</w:t>
      </w:r>
      <w:r>
        <w:rPr>
          <w:rFonts w:ascii="宋体" w:hAnsi="宋体" w:hint="eastAsia"/>
          <w:b/>
          <w:color w:val="000000"/>
          <w:sz w:val="24"/>
          <w:szCs w:val="24"/>
        </w:rPr>
        <w:t>规范性引用文件</w:t>
      </w:r>
    </w:p>
    <w:p w:rsidR="00074F3B" w:rsidRDefault="00074F3B">
      <w:pPr>
        <w:spacing w:line="360" w:lineRule="auto"/>
        <w:ind w:firstLineChars="200" w:firstLine="480"/>
        <w:rPr>
          <w:rFonts w:ascii="宋体"/>
          <w:color w:val="000000"/>
          <w:kern w:val="0"/>
          <w:sz w:val="24"/>
          <w:szCs w:val="24"/>
        </w:rPr>
      </w:pPr>
      <w:r>
        <w:rPr>
          <w:rFonts w:ascii="宋体" w:hAnsi="宋体" w:hint="eastAsia"/>
          <w:color w:val="000000"/>
          <w:kern w:val="0"/>
          <w:sz w:val="24"/>
          <w:szCs w:val="24"/>
        </w:rPr>
        <w:t>目前，还没有与就地城镇</w:t>
      </w:r>
      <w:proofErr w:type="gramStart"/>
      <w:r>
        <w:rPr>
          <w:rFonts w:ascii="宋体" w:hAnsi="宋体" w:hint="eastAsia"/>
          <w:color w:val="000000"/>
          <w:kern w:val="0"/>
          <w:sz w:val="24"/>
          <w:szCs w:val="24"/>
        </w:rPr>
        <w:t>化评价</w:t>
      </w:r>
      <w:proofErr w:type="gramEnd"/>
      <w:r>
        <w:rPr>
          <w:rFonts w:ascii="宋体" w:hAnsi="宋体" w:hint="eastAsia"/>
          <w:color w:val="000000"/>
          <w:kern w:val="0"/>
          <w:sz w:val="24"/>
          <w:szCs w:val="24"/>
        </w:rPr>
        <w:t>相关的国家标准和行业标准。</w:t>
      </w:r>
    </w:p>
    <w:p w:rsidR="00074F3B" w:rsidRDefault="00074F3B">
      <w:pPr>
        <w:spacing w:line="360" w:lineRule="auto"/>
        <w:ind w:firstLineChars="200" w:firstLine="480"/>
        <w:rPr>
          <w:rFonts w:ascii="宋体"/>
          <w:color w:val="000000"/>
          <w:kern w:val="0"/>
          <w:sz w:val="24"/>
          <w:szCs w:val="24"/>
        </w:rPr>
      </w:pPr>
      <w:r>
        <w:rPr>
          <w:rFonts w:ascii="宋体" w:hAnsi="宋体" w:hint="eastAsia"/>
          <w:color w:val="000000"/>
          <w:kern w:val="0"/>
          <w:sz w:val="24"/>
          <w:szCs w:val="24"/>
        </w:rPr>
        <w:t>本标准引用的规范性引用文件是：</w:t>
      </w:r>
    </w:p>
    <w:p w:rsidR="00074F3B" w:rsidRDefault="00074F3B">
      <w:pPr>
        <w:spacing w:line="360" w:lineRule="auto"/>
        <w:ind w:firstLineChars="200" w:firstLine="480"/>
        <w:rPr>
          <w:rFonts w:ascii="宋体"/>
          <w:color w:val="000000"/>
          <w:kern w:val="0"/>
          <w:sz w:val="24"/>
          <w:szCs w:val="24"/>
        </w:rPr>
      </w:pPr>
      <w:r>
        <w:rPr>
          <w:rFonts w:ascii="宋体" w:hAnsi="宋体"/>
          <w:color w:val="000000"/>
          <w:kern w:val="0"/>
          <w:sz w:val="24"/>
          <w:szCs w:val="24"/>
        </w:rPr>
        <w:t xml:space="preserve">GB/T 50378 </w:t>
      </w:r>
      <w:r>
        <w:rPr>
          <w:rFonts w:ascii="宋体" w:hAnsi="宋体" w:hint="eastAsia"/>
          <w:color w:val="000000"/>
          <w:kern w:val="0"/>
          <w:sz w:val="24"/>
          <w:szCs w:val="24"/>
        </w:rPr>
        <w:t>绿色建筑评价标准</w:t>
      </w:r>
    </w:p>
    <w:p w:rsidR="00074F3B" w:rsidRDefault="00074F3B">
      <w:pPr>
        <w:spacing w:line="360" w:lineRule="auto"/>
        <w:ind w:firstLineChars="200" w:firstLine="480"/>
        <w:rPr>
          <w:rFonts w:ascii="宋体"/>
          <w:color w:val="000000"/>
          <w:kern w:val="0"/>
          <w:sz w:val="24"/>
          <w:szCs w:val="24"/>
        </w:rPr>
      </w:pPr>
      <w:r>
        <w:rPr>
          <w:rFonts w:ascii="宋体" w:hAnsi="宋体"/>
          <w:color w:val="000000"/>
          <w:kern w:val="0"/>
          <w:sz w:val="24"/>
          <w:szCs w:val="24"/>
        </w:rPr>
        <w:t xml:space="preserve">HJ 633 </w:t>
      </w:r>
      <w:r>
        <w:rPr>
          <w:rFonts w:ascii="宋体" w:hAnsi="宋体" w:hint="eastAsia"/>
          <w:color w:val="000000"/>
          <w:kern w:val="0"/>
          <w:sz w:val="24"/>
          <w:szCs w:val="24"/>
        </w:rPr>
        <w:t>环境空气质量指数（</w:t>
      </w:r>
      <w:r>
        <w:rPr>
          <w:rFonts w:ascii="宋体" w:hAnsi="宋体"/>
          <w:color w:val="000000"/>
          <w:kern w:val="0"/>
          <w:sz w:val="24"/>
          <w:szCs w:val="24"/>
        </w:rPr>
        <w:t>AQI</w:t>
      </w:r>
      <w:r>
        <w:rPr>
          <w:rFonts w:ascii="宋体" w:hAnsi="宋体" w:hint="eastAsia"/>
          <w:color w:val="000000"/>
          <w:kern w:val="0"/>
          <w:sz w:val="24"/>
          <w:szCs w:val="24"/>
        </w:rPr>
        <w:t>）技术规定</w:t>
      </w:r>
    </w:p>
    <w:p w:rsidR="00074F3B" w:rsidRDefault="00074F3B">
      <w:pPr>
        <w:spacing w:line="360" w:lineRule="auto"/>
        <w:rPr>
          <w:rFonts w:ascii="宋体"/>
          <w:b/>
          <w:color w:val="000000"/>
          <w:sz w:val="24"/>
          <w:szCs w:val="24"/>
        </w:rPr>
      </w:pPr>
      <w:r>
        <w:rPr>
          <w:rFonts w:ascii="宋体" w:hAnsi="宋体"/>
          <w:b/>
          <w:color w:val="000000"/>
          <w:sz w:val="24"/>
          <w:szCs w:val="24"/>
        </w:rPr>
        <w:t>3.</w:t>
      </w:r>
      <w:r>
        <w:rPr>
          <w:rFonts w:ascii="宋体" w:hAnsi="宋体" w:hint="eastAsia"/>
          <w:b/>
          <w:color w:val="000000"/>
          <w:sz w:val="24"/>
          <w:szCs w:val="24"/>
        </w:rPr>
        <w:t>术语和定义</w:t>
      </w:r>
    </w:p>
    <w:p w:rsidR="00074F3B" w:rsidRDefault="00074F3B">
      <w:pPr>
        <w:spacing w:line="360" w:lineRule="auto"/>
        <w:ind w:firstLineChars="200" w:firstLine="480"/>
        <w:rPr>
          <w:rFonts w:ascii="宋体"/>
          <w:color w:val="000000"/>
          <w:kern w:val="0"/>
          <w:sz w:val="24"/>
          <w:szCs w:val="24"/>
          <w:shd w:val="clear" w:color="auto" w:fill="FFFFFF"/>
        </w:rPr>
      </w:pPr>
      <w:r>
        <w:rPr>
          <w:rFonts w:ascii="宋体" w:hAnsi="宋体" w:hint="eastAsia"/>
          <w:color w:val="000000"/>
          <w:kern w:val="0"/>
          <w:sz w:val="24"/>
          <w:szCs w:val="24"/>
          <w:shd w:val="clear" w:color="auto" w:fill="FFFFFF"/>
        </w:rPr>
        <w:t>主要规定了就地城镇化，以及本标准中所指城镇、镇区和城乡、农村的术语和定义。因现阶段没有相关标准对就地城镇化做统一的术语和定义，因此本标准中的就地城镇化的术语和定义，主要参考相关的文献、政府讲话材料等，并结合专家意见，确定就地城镇化的定义为“人口和聚落未通过大规模的空间迁移，在一定范围内，依托小城镇和新型农村社区实施基本公共服务均等化，逐步实现生产、生活方式市民化的一种新型城镇化模式。”。关于城镇、城乡、农村的划分，依据为国务院于</w:t>
      </w:r>
      <w:r>
        <w:rPr>
          <w:rFonts w:ascii="宋体"/>
          <w:color w:val="000000"/>
          <w:kern w:val="0"/>
          <w:sz w:val="24"/>
          <w:szCs w:val="24"/>
          <w:shd w:val="clear" w:color="auto" w:fill="FFFFFF"/>
        </w:rPr>
        <w:t> </w:t>
      </w:r>
      <w:r>
        <w:rPr>
          <w:rFonts w:ascii="宋体" w:hAnsi="宋体"/>
          <w:color w:val="000000"/>
          <w:kern w:val="0"/>
          <w:sz w:val="24"/>
          <w:szCs w:val="24"/>
          <w:shd w:val="clear" w:color="auto" w:fill="FFFFFF"/>
        </w:rPr>
        <w:t>2008 </w:t>
      </w:r>
      <w:r>
        <w:rPr>
          <w:rFonts w:ascii="宋体" w:hAnsi="宋体" w:hint="eastAsia"/>
          <w:color w:val="000000"/>
          <w:kern w:val="0"/>
          <w:sz w:val="24"/>
          <w:szCs w:val="24"/>
          <w:shd w:val="clear" w:color="auto" w:fill="FFFFFF"/>
        </w:rPr>
        <w:t>年</w:t>
      </w:r>
      <w:r>
        <w:rPr>
          <w:rFonts w:ascii="宋体" w:hAnsi="宋体"/>
          <w:color w:val="000000"/>
          <w:kern w:val="0"/>
          <w:sz w:val="24"/>
          <w:szCs w:val="24"/>
          <w:shd w:val="clear" w:color="auto" w:fill="FFFFFF"/>
        </w:rPr>
        <w:t xml:space="preserve"> 7 </w:t>
      </w:r>
      <w:r>
        <w:rPr>
          <w:rFonts w:ascii="宋体" w:hAnsi="宋体" w:hint="eastAsia"/>
          <w:color w:val="000000"/>
          <w:kern w:val="0"/>
          <w:sz w:val="24"/>
          <w:szCs w:val="24"/>
          <w:shd w:val="clear" w:color="auto" w:fill="FFFFFF"/>
        </w:rPr>
        <w:t>月</w:t>
      </w:r>
      <w:r>
        <w:rPr>
          <w:rFonts w:ascii="宋体" w:hAnsi="宋体"/>
          <w:color w:val="000000"/>
          <w:kern w:val="0"/>
          <w:sz w:val="24"/>
          <w:szCs w:val="24"/>
          <w:shd w:val="clear" w:color="auto" w:fill="FFFFFF"/>
        </w:rPr>
        <w:t xml:space="preserve"> 12 </w:t>
      </w:r>
      <w:r>
        <w:rPr>
          <w:rFonts w:ascii="宋体" w:hAnsi="宋体" w:hint="eastAsia"/>
          <w:color w:val="000000"/>
          <w:kern w:val="0"/>
          <w:sz w:val="24"/>
          <w:szCs w:val="24"/>
          <w:shd w:val="clear" w:color="auto" w:fill="FFFFFF"/>
        </w:rPr>
        <w:t>日发布的</w:t>
      </w:r>
      <w:proofErr w:type="gramStart"/>
      <w:r>
        <w:rPr>
          <w:rFonts w:ascii="宋体" w:hAnsi="宋体" w:hint="eastAsia"/>
          <w:color w:val="000000"/>
          <w:kern w:val="0"/>
          <w:sz w:val="24"/>
          <w:szCs w:val="24"/>
          <w:shd w:val="clear" w:color="auto" w:fill="FFFFFF"/>
        </w:rPr>
        <w:t>《统计上划分城乡的规定》国函</w:t>
      </w:r>
      <w:proofErr w:type="gramEnd"/>
      <w:r>
        <w:rPr>
          <w:rFonts w:ascii="宋体" w:hAnsi="宋体"/>
          <w:color w:val="000000"/>
          <w:kern w:val="0"/>
          <w:sz w:val="24"/>
          <w:szCs w:val="24"/>
          <w:shd w:val="clear" w:color="auto" w:fill="FFFFFF"/>
        </w:rPr>
        <w:t xml:space="preserve">[2008]60 </w:t>
      </w:r>
      <w:r>
        <w:rPr>
          <w:rFonts w:ascii="宋体" w:hAnsi="宋体" w:hint="eastAsia"/>
          <w:color w:val="000000"/>
          <w:kern w:val="0"/>
          <w:sz w:val="24"/>
          <w:szCs w:val="24"/>
          <w:shd w:val="clear" w:color="auto" w:fill="FFFFFF"/>
        </w:rPr>
        <w:t>号。</w:t>
      </w:r>
    </w:p>
    <w:p w:rsidR="00074F3B" w:rsidRDefault="00074F3B">
      <w:pPr>
        <w:spacing w:line="360" w:lineRule="auto"/>
        <w:rPr>
          <w:rFonts w:ascii="宋体"/>
          <w:b/>
          <w:color w:val="000000"/>
          <w:sz w:val="24"/>
          <w:szCs w:val="24"/>
        </w:rPr>
      </w:pPr>
      <w:r>
        <w:rPr>
          <w:rFonts w:ascii="宋体" w:hAnsi="宋体"/>
          <w:b/>
          <w:color w:val="000000"/>
          <w:sz w:val="24"/>
          <w:szCs w:val="24"/>
        </w:rPr>
        <w:t>4</w:t>
      </w:r>
      <w:r>
        <w:rPr>
          <w:rFonts w:ascii="宋体" w:hAnsi="宋体" w:hint="eastAsia"/>
          <w:b/>
          <w:color w:val="000000"/>
          <w:sz w:val="24"/>
          <w:szCs w:val="24"/>
        </w:rPr>
        <w:t>、评价指标体系</w:t>
      </w:r>
    </w:p>
    <w:p w:rsidR="00074F3B" w:rsidRDefault="00074F3B">
      <w:pPr>
        <w:spacing w:line="360" w:lineRule="auto"/>
        <w:ind w:firstLine="495"/>
        <w:rPr>
          <w:rFonts w:ascii="宋体"/>
          <w:color w:val="000000"/>
          <w:sz w:val="24"/>
          <w:szCs w:val="24"/>
        </w:rPr>
      </w:pPr>
      <w:r>
        <w:rPr>
          <w:rFonts w:ascii="宋体" w:hAnsi="宋体" w:cs="宋体" w:hint="eastAsia"/>
          <w:sz w:val="24"/>
          <w:szCs w:val="24"/>
        </w:rPr>
        <w:t>由于人口向城镇集中或迁移的过程包含了社会、人口、空间以及经济转换等多方面的内容，同时，</w:t>
      </w:r>
      <w:r>
        <w:rPr>
          <w:rFonts w:ascii="宋体" w:hAnsi="宋体" w:hint="eastAsia"/>
          <w:color w:val="000000"/>
          <w:sz w:val="24"/>
          <w:szCs w:val="24"/>
        </w:rPr>
        <w:t>在城镇化进程中，城镇</w:t>
      </w:r>
      <w:proofErr w:type="gramStart"/>
      <w:r>
        <w:rPr>
          <w:rFonts w:ascii="宋体" w:hAnsi="宋体" w:hint="eastAsia"/>
          <w:color w:val="000000"/>
          <w:sz w:val="24"/>
          <w:szCs w:val="24"/>
        </w:rPr>
        <w:t>化数量</w:t>
      </w:r>
      <w:proofErr w:type="gramEnd"/>
      <w:r>
        <w:rPr>
          <w:rFonts w:ascii="宋体" w:hAnsi="宋体" w:hint="eastAsia"/>
          <w:color w:val="000000"/>
          <w:sz w:val="24"/>
          <w:szCs w:val="24"/>
        </w:rPr>
        <w:t>表现在城镇数量、城镇规模、城镇化速度、人口城镇化率等方面；而城镇</w:t>
      </w:r>
      <w:proofErr w:type="gramStart"/>
      <w:r>
        <w:rPr>
          <w:rFonts w:ascii="宋体" w:hAnsi="宋体" w:hint="eastAsia"/>
          <w:color w:val="000000"/>
          <w:sz w:val="24"/>
          <w:szCs w:val="24"/>
        </w:rPr>
        <w:t>化质量</w:t>
      </w:r>
      <w:proofErr w:type="gramEnd"/>
      <w:r>
        <w:rPr>
          <w:rFonts w:ascii="宋体" w:hAnsi="宋体" w:hint="eastAsia"/>
          <w:color w:val="000000"/>
          <w:sz w:val="24"/>
          <w:szCs w:val="24"/>
        </w:rPr>
        <w:t>反映的是既定城镇</w:t>
      </w:r>
      <w:proofErr w:type="gramStart"/>
      <w:r>
        <w:rPr>
          <w:rFonts w:ascii="宋体" w:hAnsi="宋体" w:hint="eastAsia"/>
          <w:color w:val="000000"/>
          <w:sz w:val="24"/>
          <w:szCs w:val="24"/>
        </w:rPr>
        <w:t>化数量</w:t>
      </w:r>
      <w:proofErr w:type="gramEnd"/>
      <w:r>
        <w:rPr>
          <w:rFonts w:ascii="宋体" w:hAnsi="宋体" w:hint="eastAsia"/>
          <w:color w:val="000000"/>
          <w:sz w:val="24"/>
          <w:szCs w:val="24"/>
        </w:rPr>
        <w:t>情况下所能满足城乡居民生产、生活和生态需求的优劣程度。</w:t>
      </w:r>
    </w:p>
    <w:p w:rsidR="00074F3B" w:rsidRDefault="00074F3B">
      <w:pPr>
        <w:spacing w:line="360" w:lineRule="auto"/>
        <w:ind w:firstLineChars="200" w:firstLine="480"/>
        <w:rPr>
          <w:rFonts w:ascii="宋体"/>
          <w:color w:val="000000"/>
          <w:kern w:val="0"/>
          <w:sz w:val="24"/>
          <w:szCs w:val="24"/>
        </w:rPr>
      </w:pPr>
      <w:r>
        <w:rPr>
          <w:rFonts w:ascii="宋体" w:hAnsi="宋体" w:hint="eastAsia"/>
          <w:color w:val="000000"/>
          <w:kern w:val="0"/>
          <w:sz w:val="24"/>
          <w:szCs w:val="24"/>
        </w:rPr>
        <w:t>根据对就地城镇化内涵及基本特征，确定评价指标体系的一级指标由人口结构、经济发展、环境友好、公共服务四大方面组成，共</w:t>
      </w:r>
      <w:r>
        <w:rPr>
          <w:rFonts w:ascii="宋体" w:hAnsi="宋体"/>
          <w:color w:val="000000"/>
          <w:kern w:val="0"/>
          <w:sz w:val="24"/>
          <w:szCs w:val="24"/>
        </w:rPr>
        <w:t>34</w:t>
      </w:r>
      <w:r>
        <w:rPr>
          <w:rFonts w:ascii="宋体" w:hAnsi="宋体" w:hint="eastAsia"/>
          <w:color w:val="000000"/>
          <w:kern w:val="0"/>
          <w:sz w:val="24"/>
          <w:szCs w:val="24"/>
        </w:rPr>
        <w:t>项指标。</w:t>
      </w:r>
    </w:p>
    <w:p w:rsidR="00074F3B" w:rsidRDefault="00074F3B">
      <w:pPr>
        <w:spacing w:line="360" w:lineRule="auto"/>
        <w:rPr>
          <w:rFonts w:asci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1</w:t>
      </w:r>
      <w:r>
        <w:rPr>
          <w:rFonts w:ascii="宋体" w:hAnsi="宋体" w:hint="eastAsia"/>
          <w:color w:val="000000"/>
          <w:kern w:val="0"/>
          <w:sz w:val="24"/>
          <w:szCs w:val="24"/>
        </w:rPr>
        <w:t>）人口结构</w:t>
      </w:r>
    </w:p>
    <w:p w:rsidR="00074F3B" w:rsidRDefault="00074F3B">
      <w:pPr>
        <w:spacing w:line="360" w:lineRule="auto"/>
        <w:ind w:firstLineChars="200" w:firstLine="480"/>
        <w:rPr>
          <w:rFonts w:ascii="宋体"/>
          <w:color w:val="000000"/>
          <w:kern w:val="0"/>
          <w:sz w:val="24"/>
          <w:szCs w:val="24"/>
        </w:rPr>
      </w:pPr>
      <w:r>
        <w:rPr>
          <w:rFonts w:ascii="宋体" w:hAnsi="宋体" w:cs="宋体" w:hint="eastAsia"/>
          <w:sz w:val="24"/>
          <w:szCs w:val="24"/>
        </w:rPr>
        <w:t>从人口城镇化率及劳动力的回流反映县域城镇化水平及城镇化内在吸引力的情况。其中</w:t>
      </w:r>
      <w:r>
        <w:rPr>
          <w:rFonts w:ascii="宋体" w:hAnsi="宋体" w:hint="eastAsia"/>
          <w:color w:val="000000"/>
          <w:kern w:val="0"/>
          <w:sz w:val="24"/>
          <w:szCs w:val="24"/>
        </w:rPr>
        <w:t>劳动力流动是城镇化实现就地属性的驱动力之一。</w:t>
      </w:r>
    </w:p>
    <w:p w:rsidR="00074F3B" w:rsidRDefault="00074F3B">
      <w:pPr>
        <w:spacing w:line="360" w:lineRule="auto"/>
        <w:rPr>
          <w:rFonts w:asci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2</w:t>
      </w:r>
      <w:r>
        <w:rPr>
          <w:rFonts w:ascii="宋体" w:hAnsi="宋体" w:hint="eastAsia"/>
          <w:color w:val="000000"/>
          <w:kern w:val="0"/>
          <w:sz w:val="24"/>
          <w:szCs w:val="24"/>
        </w:rPr>
        <w:t>）经济发展</w:t>
      </w:r>
    </w:p>
    <w:p w:rsidR="00074F3B" w:rsidRDefault="00074F3B">
      <w:pPr>
        <w:spacing w:line="360" w:lineRule="auto"/>
        <w:ind w:firstLine="480"/>
        <w:rPr>
          <w:rFonts w:ascii="宋体"/>
          <w:color w:val="000000"/>
          <w:kern w:val="0"/>
          <w:sz w:val="24"/>
          <w:szCs w:val="24"/>
        </w:rPr>
      </w:pPr>
      <w:r>
        <w:rPr>
          <w:rFonts w:ascii="宋体" w:hAnsi="宋体" w:hint="eastAsia"/>
          <w:color w:val="000000"/>
          <w:kern w:val="0"/>
          <w:sz w:val="24"/>
          <w:szCs w:val="24"/>
        </w:rPr>
        <w:t>经济发展是就地城镇化发展的物质动力和基础保障。以城乡产业结构和布局不断优化、经济集聚高效发展、低碳绿色发展为表征。从居民的收入水平、经济均量、产业结构的合理性以及农业规模化、机械化水平等方面进行</w:t>
      </w:r>
      <w:proofErr w:type="gramStart"/>
      <w:r>
        <w:rPr>
          <w:rFonts w:ascii="宋体" w:hAnsi="宋体" w:hint="eastAsia"/>
          <w:color w:val="000000"/>
          <w:kern w:val="0"/>
          <w:sz w:val="24"/>
          <w:szCs w:val="24"/>
        </w:rPr>
        <w:t>考量</w:t>
      </w:r>
      <w:proofErr w:type="gramEnd"/>
      <w:r>
        <w:rPr>
          <w:rFonts w:ascii="宋体" w:hAnsi="宋体" w:hint="eastAsia"/>
          <w:color w:val="000000"/>
          <w:kern w:val="0"/>
          <w:sz w:val="24"/>
          <w:szCs w:val="24"/>
        </w:rPr>
        <w:t>。其中土地的流转，是农业规模化也是城镇化实现就地属性的驱动要素。</w:t>
      </w:r>
    </w:p>
    <w:p w:rsidR="00074F3B" w:rsidRDefault="00074F3B">
      <w:pPr>
        <w:spacing w:line="360" w:lineRule="auto"/>
        <w:rPr>
          <w:rFonts w:ascii="宋体"/>
          <w:color w:val="000000"/>
          <w:kern w:val="0"/>
          <w:sz w:val="24"/>
          <w:szCs w:val="24"/>
        </w:rPr>
      </w:pPr>
      <w:r>
        <w:rPr>
          <w:rFonts w:ascii="宋体" w:hAnsi="宋体" w:hint="eastAsia"/>
          <w:color w:val="000000"/>
          <w:kern w:val="0"/>
          <w:sz w:val="24"/>
          <w:szCs w:val="24"/>
        </w:rPr>
        <w:lastRenderedPageBreak/>
        <w:t>（</w:t>
      </w:r>
      <w:r>
        <w:rPr>
          <w:rFonts w:ascii="宋体" w:hAnsi="宋体"/>
          <w:color w:val="000000"/>
          <w:kern w:val="0"/>
          <w:sz w:val="24"/>
          <w:szCs w:val="24"/>
        </w:rPr>
        <w:t>3</w:t>
      </w:r>
      <w:r>
        <w:rPr>
          <w:rFonts w:ascii="宋体" w:hAnsi="宋体" w:hint="eastAsia"/>
          <w:color w:val="000000"/>
          <w:kern w:val="0"/>
          <w:sz w:val="24"/>
          <w:szCs w:val="24"/>
        </w:rPr>
        <w:t>）环境友好</w:t>
      </w:r>
    </w:p>
    <w:p w:rsidR="00074F3B" w:rsidRDefault="00074F3B">
      <w:pPr>
        <w:spacing w:line="360" w:lineRule="auto"/>
        <w:ind w:firstLineChars="200" w:firstLine="480"/>
        <w:rPr>
          <w:rFonts w:ascii="宋体"/>
          <w:color w:val="000000"/>
          <w:kern w:val="0"/>
          <w:sz w:val="24"/>
          <w:szCs w:val="24"/>
        </w:rPr>
      </w:pPr>
      <w:r>
        <w:rPr>
          <w:rFonts w:ascii="宋体" w:hAnsi="宋体" w:hint="eastAsia"/>
          <w:color w:val="000000"/>
          <w:kern w:val="0"/>
          <w:sz w:val="24"/>
          <w:szCs w:val="24"/>
        </w:rPr>
        <w:t>主要从环境治理、节能减排和环境空气质量</w:t>
      </w:r>
      <w:proofErr w:type="gramStart"/>
      <w:r>
        <w:rPr>
          <w:rFonts w:ascii="宋体" w:hAnsi="宋体" w:hint="eastAsia"/>
          <w:color w:val="000000"/>
          <w:kern w:val="0"/>
          <w:sz w:val="24"/>
          <w:szCs w:val="24"/>
        </w:rPr>
        <w:t>考量</w:t>
      </w:r>
      <w:proofErr w:type="gramEnd"/>
      <w:r>
        <w:rPr>
          <w:rFonts w:ascii="宋体" w:hAnsi="宋体" w:hint="eastAsia"/>
          <w:color w:val="000000"/>
          <w:kern w:val="0"/>
          <w:sz w:val="24"/>
          <w:szCs w:val="24"/>
        </w:rPr>
        <w:t>。</w:t>
      </w:r>
    </w:p>
    <w:p w:rsidR="00074F3B" w:rsidRDefault="00074F3B">
      <w:pPr>
        <w:spacing w:line="360" w:lineRule="auto"/>
        <w:rPr>
          <w:rFonts w:asci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4</w:t>
      </w:r>
      <w:r>
        <w:rPr>
          <w:rFonts w:ascii="宋体" w:hAnsi="宋体" w:hint="eastAsia"/>
          <w:color w:val="000000"/>
          <w:kern w:val="0"/>
          <w:sz w:val="24"/>
          <w:szCs w:val="24"/>
        </w:rPr>
        <w:t>）公共服务</w:t>
      </w:r>
    </w:p>
    <w:p w:rsidR="00074F3B" w:rsidRDefault="00074F3B">
      <w:pPr>
        <w:spacing w:line="360" w:lineRule="auto"/>
        <w:ind w:firstLineChars="200" w:firstLine="480"/>
        <w:rPr>
          <w:rFonts w:ascii="宋体"/>
          <w:color w:val="000000"/>
          <w:kern w:val="0"/>
          <w:sz w:val="24"/>
          <w:szCs w:val="24"/>
        </w:rPr>
      </w:pPr>
      <w:r>
        <w:rPr>
          <w:rFonts w:ascii="宋体" w:hAnsi="宋体" w:hint="eastAsia"/>
          <w:color w:val="000000"/>
          <w:kern w:val="0"/>
          <w:sz w:val="24"/>
          <w:szCs w:val="24"/>
        </w:rPr>
        <w:t>以城乡统筹、城乡一体化为目标，主要从公共基础</w:t>
      </w:r>
      <w:proofErr w:type="gramStart"/>
      <w:r>
        <w:rPr>
          <w:rFonts w:ascii="宋体" w:hAnsi="宋体" w:hint="eastAsia"/>
          <w:color w:val="000000"/>
          <w:kern w:val="0"/>
          <w:sz w:val="24"/>
          <w:szCs w:val="24"/>
        </w:rPr>
        <w:t>设施设施</w:t>
      </w:r>
      <w:proofErr w:type="gramEnd"/>
      <w:r>
        <w:rPr>
          <w:rFonts w:ascii="宋体" w:hAnsi="宋体" w:hint="eastAsia"/>
          <w:color w:val="000000"/>
          <w:kern w:val="0"/>
          <w:sz w:val="24"/>
          <w:szCs w:val="24"/>
        </w:rPr>
        <w:t>资源的合理配置和公共服务均等化进行</w:t>
      </w:r>
      <w:proofErr w:type="gramStart"/>
      <w:r>
        <w:rPr>
          <w:rFonts w:ascii="宋体" w:hAnsi="宋体" w:hint="eastAsia"/>
          <w:color w:val="000000"/>
          <w:kern w:val="0"/>
          <w:sz w:val="24"/>
          <w:szCs w:val="24"/>
        </w:rPr>
        <w:t>考量</w:t>
      </w:r>
      <w:proofErr w:type="gramEnd"/>
      <w:r>
        <w:rPr>
          <w:rFonts w:ascii="宋体" w:hAnsi="宋体" w:hint="eastAsia"/>
          <w:color w:val="000000"/>
          <w:kern w:val="0"/>
          <w:sz w:val="24"/>
          <w:szCs w:val="24"/>
        </w:rPr>
        <w:t>。有保障、基本公共服务健全、社会和谐为表征，包括饮水、供气、公共交通、信息化等公共基础设施覆盖情况，以及教育、医疗、社会保障、就业、养老、文化体育等公共服务普及情况。其中，就地就业率、县域内就诊率指标充分反映了就地属性。</w:t>
      </w:r>
    </w:p>
    <w:p w:rsidR="00074F3B" w:rsidRDefault="00074F3B">
      <w:pPr>
        <w:spacing w:line="360" w:lineRule="auto"/>
        <w:ind w:firstLine="480"/>
        <w:rPr>
          <w:rFonts w:ascii="宋体"/>
          <w:color w:val="000000"/>
          <w:kern w:val="0"/>
          <w:sz w:val="24"/>
          <w:szCs w:val="24"/>
        </w:rPr>
        <w:sectPr w:rsidR="00074F3B">
          <w:footerReference w:type="default" r:id="rId9"/>
          <w:pgSz w:w="11906" w:h="16838"/>
          <w:pgMar w:top="1440" w:right="1800" w:bottom="1440" w:left="1800" w:header="851" w:footer="992" w:gutter="0"/>
          <w:cols w:space="720"/>
          <w:docGrid w:type="lines" w:linePitch="312"/>
        </w:sectPr>
      </w:pPr>
    </w:p>
    <w:p w:rsidR="00074F3B" w:rsidRDefault="00074F3B">
      <w:pPr>
        <w:spacing w:line="360" w:lineRule="auto"/>
        <w:ind w:firstLine="480"/>
        <w:rPr>
          <w:rFonts w:ascii="宋体"/>
          <w:color w:val="000000"/>
          <w:kern w:val="0"/>
          <w:sz w:val="24"/>
          <w:szCs w:val="24"/>
        </w:rPr>
      </w:pPr>
    </w:p>
    <w:p w:rsidR="00074F3B" w:rsidRDefault="00074F3B">
      <w:pPr>
        <w:spacing w:line="360" w:lineRule="auto"/>
        <w:ind w:firstLine="480"/>
        <w:rPr>
          <w:rFonts w:ascii="宋体"/>
          <w:color w:val="000000"/>
          <w:kern w:val="0"/>
          <w:sz w:val="24"/>
          <w:szCs w:val="24"/>
        </w:rPr>
      </w:pPr>
      <w:r>
        <w:rPr>
          <w:rFonts w:ascii="宋体" w:hAnsi="宋体" w:hint="eastAsia"/>
          <w:color w:val="000000"/>
          <w:kern w:val="0"/>
          <w:sz w:val="24"/>
          <w:szCs w:val="24"/>
        </w:rPr>
        <w:t>相关指标</w:t>
      </w:r>
      <w:proofErr w:type="gramStart"/>
      <w:r>
        <w:rPr>
          <w:rFonts w:ascii="宋体" w:hAnsi="宋体" w:hint="eastAsia"/>
          <w:color w:val="000000"/>
          <w:kern w:val="0"/>
          <w:sz w:val="24"/>
          <w:szCs w:val="24"/>
        </w:rPr>
        <w:t>项及其</w:t>
      </w:r>
      <w:proofErr w:type="gramEnd"/>
      <w:r>
        <w:rPr>
          <w:rFonts w:ascii="宋体" w:hAnsi="宋体" w:hint="eastAsia"/>
          <w:color w:val="000000"/>
          <w:kern w:val="0"/>
          <w:sz w:val="24"/>
          <w:szCs w:val="24"/>
        </w:rPr>
        <w:t>目标值的依据与来源见表</w:t>
      </w:r>
      <w:r>
        <w:rPr>
          <w:rFonts w:ascii="宋体" w:hAnsi="宋体"/>
          <w:color w:val="000000"/>
          <w:kern w:val="0"/>
          <w:sz w:val="24"/>
          <w:szCs w:val="24"/>
        </w:rPr>
        <w:t>1</w:t>
      </w:r>
      <w:r>
        <w:rPr>
          <w:rFonts w:ascii="宋体" w:hAnsi="宋体" w:hint="eastAsia"/>
          <w:color w:val="000000"/>
          <w:kern w:val="0"/>
          <w:sz w:val="24"/>
          <w:szCs w:val="24"/>
        </w:rPr>
        <w:t>。</w:t>
      </w:r>
    </w:p>
    <w:p w:rsidR="00074F3B" w:rsidRDefault="00074F3B">
      <w:pPr>
        <w:spacing w:line="360" w:lineRule="auto"/>
        <w:ind w:firstLine="480"/>
        <w:jc w:val="center"/>
        <w:rPr>
          <w:rFonts w:ascii="宋体"/>
          <w:color w:val="000000"/>
          <w:kern w:val="0"/>
          <w:sz w:val="24"/>
          <w:szCs w:val="24"/>
        </w:rPr>
      </w:pPr>
      <w:r>
        <w:rPr>
          <w:rFonts w:ascii="宋体" w:hAnsi="宋体" w:hint="eastAsia"/>
          <w:color w:val="000000"/>
          <w:kern w:val="0"/>
          <w:sz w:val="24"/>
          <w:szCs w:val="24"/>
        </w:rPr>
        <w:t>表</w:t>
      </w:r>
      <w:r>
        <w:rPr>
          <w:rFonts w:ascii="宋体" w:hAnsi="宋体"/>
          <w:color w:val="000000"/>
          <w:kern w:val="0"/>
          <w:sz w:val="24"/>
          <w:szCs w:val="24"/>
        </w:rPr>
        <w:t xml:space="preserve">1 </w:t>
      </w:r>
      <w:r>
        <w:rPr>
          <w:rFonts w:ascii="宋体" w:hAnsi="宋体" w:hint="eastAsia"/>
          <w:color w:val="000000"/>
          <w:kern w:val="0"/>
          <w:sz w:val="24"/>
          <w:szCs w:val="24"/>
        </w:rPr>
        <w:t>指标项的依据来源</w:t>
      </w:r>
    </w:p>
    <w:tbl>
      <w:tblPr>
        <w:tblW w:w="12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1"/>
        <w:gridCol w:w="2466"/>
        <w:gridCol w:w="2147"/>
        <w:gridCol w:w="2182"/>
        <w:gridCol w:w="1640"/>
        <w:gridCol w:w="3667"/>
      </w:tblGrid>
      <w:tr w:rsidR="00074F3B">
        <w:tc>
          <w:tcPr>
            <w:tcW w:w="751" w:type="dxa"/>
          </w:tcPr>
          <w:p w:rsidR="00074F3B" w:rsidRDefault="00074F3B">
            <w:pPr>
              <w:pStyle w:val="aa"/>
              <w:ind w:firstLineChars="0" w:firstLine="0"/>
              <w:rPr>
                <w:rFonts w:hAnsi="宋体"/>
                <w:szCs w:val="21"/>
              </w:rPr>
            </w:pPr>
            <w:r>
              <w:rPr>
                <w:rFonts w:hAnsi="宋体" w:hint="eastAsia"/>
                <w:szCs w:val="21"/>
              </w:rPr>
              <w:t>一级指标</w:t>
            </w:r>
            <w:r>
              <w:rPr>
                <w:rFonts w:hAnsi="宋体"/>
                <w:szCs w:val="21"/>
              </w:rPr>
              <w:t>Ai</w:t>
            </w:r>
          </w:p>
        </w:tc>
        <w:tc>
          <w:tcPr>
            <w:tcW w:w="2466" w:type="dxa"/>
          </w:tcPr>
          <w:p w:rsidR="00074F3B" w:rsidRDefault="00074F3B">
            <w:pPr>
              <w:pStyle w:val="aa"/>
              <w:ind w:firstLineChars="0" w:firstLine="0"/>
              <w:rPr>
                <w:rFonts w:hAnsi="宋体"/>
                <w:szCs w:val="21"/>
              </w:rPr>
            </w:pPr>
            <w:r>
              <w:rPr>
                <w:rFonts w:hAnsi="宋体" w:hint="eastAsia"/>
                <w:szCs w:val="21"/>
              </w:rPr>
              <w:t>二级指标</w:t>
            </w:r>
            <w:proofErr w:type="spellStart"/>
            <w:r>
              <w:rPr>
                <w:rFonts w:hAnsi="宋体"/>
                <w:szCs w:val="21"/>
              </w:rPr>
              <w:t>B</w:t>
            </w:r>
            <w:r>
              <w:rPr>
                <w:rFonts w:hAnsi="宋体"/>
                <w:szCs w:val="21"/>
                <w:vertAlign w:val="subscript"/>
              </w:rPr>
              <w:t>ij</w:t>
            </w:r>
            <w:proofErr w:type="spellEnd"/>
          </w:p>
        </w:tc>
        <w:tc>
          <w:tcPr>
            <w:tcW w:w="2147" w:type="dxa"/>
          </w:tcPr>
          <w:p w:rsidR="00074F3B" w:rsidRDefault="00074F3B">
            <w:pPr>
              <w:pStyle w:val="aa"/>
              <w:ind w:firstLineChars="0" w:firstLine="0"/>
              <w:rPr>
                <w:rFonts w:hAnsi="宋体"/>
                <w:szCs w:val="21"/>
              </w:rPr>
            </w:pPr>
            <w:r>
              <w:rPr>
                <w:rFonts w:hAnsi="宋体" w:hint="eastAsia"/>
                <w:szCs w:val="21"/>
              </w:rPr>
              <w:t>三级指标</w:t>
            </w:r>
            <w:proofErr w:type="spellStart"/>
            <w:r>
              <w:rPr>
                <w:rFonts w:hAnsi="宋体"/>
                <w:szCs w:val="21"/>
              </w:rPr>
              <w:t>C</w:t>
            </w:r>
            <w:r>
              <w:rPr>
                <w:rFonts w:hAnsi="宋体"/>
                <w:szCs w:val="21"/>
                <w:vertAlign w:val="subscript"/>
              </w:rPr>
              <w:t>ij</w:t>
            </w:r>
            <w:proofErr w:type="spellEnd"/>
          </w:p>
        </w:tc>
        <w:tc>
          <w:tcPr>
            <w:tcW w:w="2182" w:type="dxa"/>
          </w:tcPr>
          <w:p w:rsidR="00074F3B" w:rsidRDefault="00074F3B">
            <w:pPr>
              <w:pStyle w:val="aa"/>
              <w:ind w:firstLineChars="0" w:firstLine="0"/>
              <w:rPr>
                <w:rFonts w:hAnsi="宋体"/>
                <w:szCs w:val="21"/>
              </w:rPr>
            </w:pPr>
            <w:r>
              <w:rPr>
                <w:rFonts w:hAnsi="宋体" w:hint="eastAsia"/>
                <w:szCs w:val="21"/>
              </w:rPr>
              <w:t>单位</w:t>
            </w:r>
          </w:p>
        </w:tc>
        <w:tc>
          <w:tcPr>
            <w:tcW w:w="1640" w:type="dxa"/>
          </w:tcPr>
          <w:p w:rsidR="00074F3B" w:rsidRDefault="00074F3B">
            <w:pPr>
              <w:pStyle w:val="aa"/>
              <w:ind w:firstLineChars="0" w:firstLine="0"/>
              <w:rPr>
                <w:rFonts w:hAnsi="宋体"/>
                <w:szCs w:val="21"/>
              </w:rPr>
            </w:pPr>
            <w:r>
              <w:rPr>
                <w:rFonts w:hAnsi="宋体" w:hint="eastAsia"/>
                <w:szCs w:val="21"/>
              </w:rPr>
              <w:t>备注</w:t>
            </w:r>
          </w:p>
        </w:tc>
        <w:tc>
          <w:tcPr>
            <w:tcW w:w="3667" w:type="dxa"/>
          </w:tcPr>
          <w:p w:rsidR="00074F3B" w:rsidRDefault="00074F3B">
            <w:pPr>
              <w:pStyle w:val="aa"/>
              <w:ind w:firstLineChars="0" w:firstLine="0"/>
              <w:rPr>
                <w:rFonts w:hAnsi="宋体"/>
                <w:szCs w:val="21"/>
              </w:rPr>
            </w:pPr>
            <w:r>
              <w:rPr>
                <w:rFonts w:hAnsi="宋体" w:hint="eastAsia"/>
                <w:szCs w:val="21"/>
              </w:rPr>
              <w:t>依据和来源</w:t>
            </w:r>
          </w:p>
        </w:tc>
      </w:tr>
      <w:tr w:rsidR="00074F3B">
        <w:trPr>
          <w:trHeight w:val="1099"/>
        </w:trPr>
        <w:tc>
          <w:tcPr>
            <w:tcW w:w="751" w:type="dxa"/>
            <w:vMerge w:val="restart"/>
          </w:tcPr>
          <w:p w:rsidR="00074F3B" w:rsidRDefault="00074F3B">
            <w:pPr>
              <w:pStyle w:val="aa"/>
              <w:ind w:firstLineChars="0" w:firstLine="0"/>
              <w:rPr>
                <w:rFonts w:hAnsi="宋体"/>
                <w:szCs w:val="21"/>
              </w:rPr>
            </w:pPr>
            <w:r>
              <w:rPr>
                <w:rFonts w:hAnsi="宋体"/>
                <w:szCs w:val="21"/>
              </w:rPr>
              <w:t>A</w:t>
            </w:r>
            <w:r>
              <w:rPr>
                <w:rFonts w:hAnsi="宋体"/>
                <w:szCs w:val="21"/>
                <w:vertAlign w:val="subscript"/>
              </w:rPr>
              <w:t>1</w:t>
            </w:r>
            <w:r>
              <w:rPr>
                <w:rFonts w:hAnsi="宋体" w:hint="eastAsia"/>
                <w:szCs w:val="21"/>
              </w:rPr>
              <w:t>人口结构</w:t>
            </w:r>
          </w:p>
        </w:tc>
        <w:tc>
          <w:tcPr>
            <w:tcW w:w="2466" w:type="dxa"/>
            <w:vMerge w:val="restart"/>
          </w:tcPr>
          <w:p w:rsidR="00074F3B" w:rsidRDefault="00074F3B">
            <w:pPr>
              <w:pStyle w:val="aa"/>
              <w:ind w:firstLineChars="0" w:firstLine="0"/>
              <w:rPr>
                <w:rFonts w:hAnsi="宋体"/>
                <w:szCs w:val="21"/>
              </w:rPr>
            </w:pPr>
            <w:r>
              <w:rPr>
                <w:rFonts w:hAnsi="宋体" w:hint="eastAsia"/>
                <w:szCs w:val="21"/>
              </w:rPr>
              <w:t>人口结构</w:t>
            </w:r>
          </w:p>
        </w:tc>
        <w:tc>
          <w:tcPr>
            <w:tcW w:w="2147" w:type="dxa"/>
          </w:tcPr>
          <w:p w:rsidR="00074F3B" w:rsidRDefault="00074F3B">
            <w:pPr>
              <w:pStyle w:val="aa"/>
              <w:ind w:firstLineChars="0" w:firstLine="0"/>
              <w:rPr>
                <w:rFonts w:hAnsi="宋体"/>
                <w:szCs w:val="21"/>
              </w:rPr>
            </w:pPr>
            <w:r>
              <w:rPr>
                <w:rFonts w:hAnsi="宋体" w:hint="eastAsia"/>
                <w:szCs w:val="21"/>
              </w:rPr>
              <w:t>常住人口城镇化率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cs="Arial"/>
                <w:szCs w:val="21"/>
                <w:shd w:val="clear" w:color="auto" w:fill="FFFFFF"/>
              </w:rPr>
            </w:pPr>
            <w:r>
              <w:rPr>
                <w:rFonts w:hAnsi="宋体" w:cs="Arial" w:hint="eastAsia"/>
                <w:szCs w:val="21"/>
                <w:shd w:val="clear" w:color="auto" w:fill="FFFFFF"/>
              </w:rPr>
              <w:t>《国家</w:t>
            </w:r>
            <w:r>
              <w:rPr>
                <w:rStyle w:val="af4"/>
                <w:rFonts w:hAnsi="宋体" w:cs="Arial" w:hint="eastAsia"/>
                <w:i w:val="0"/>
                <w:iCs w:val="0"/>
                <w:szCs w:val="21"/>
                <w:shd w:val="clear" w:color="auto" w:fill="FFFFFF"/>
              </w:rPr>
              <w:t>新型城镇化规划</w:t>
            </w:r>
            <w:r>
              <w:rPr>
                <w:rFonts w:hAnsi="宋体" w:cs="Arial" w:hint="eastAsia"/>
                <w:szCs w:val="21"/>
                <w:shd w:val="clear" w:color="auto" w:fill="FFFFFF"/>
              </w:rPr>
              <w:t>（</w:t>
            </w:r>
            <w:r>
              <w:rPr>
                <w:rFonts w:hAnsi="宋体" w:cs="Arial"/>
                <w:szCs w:val="21"/>
                <w:shd w:val="clear" w:color="auto" w:fill="FFFFFF"/>
              </w:rPr>
              <w:t>2014—2020</w:t>
            </w:r>
            <w:r>
              <w:rPr>
                <w:rFonts w:hAnsi="宋体" w:cs="Arial" w:hint="eastAsia"/>
                <w:szCs w:val="21"/>
                <w:shd w:val="clear" w:color="auto" w:fill="FFFFFF"/>
              </w:rPr>
              <w:t>年）》：</w:t>
            </w:r>
            <w:r>
              <w:rPr>
                <w:rFonts w:hAnsi="宋体" w:hint="eastAsia"/>
                <w:szCs w:val="21"/>
              </w:rPr>
              <w:t>常住人口城镇化率达到</w:t>
            </w:r>
            <w:r>
              <w:rPr>
                <w:rFonts w:hAnsi="宋体" w:cs="Arial"/>
                <w:szCs w:val="21"/>
                <w:shd w:val="clear" w:color="auto" w:fill="FFFFFF"/>
              </w:rPr>
              <w:t>60%</w:t>
            </w:r>
            <w:r>
              <w:rPr>
                <w:rFonts w:hAnsi="宋体" w:cs="Arial" w:hint="eastAsia"/>
                <w:szCs w:val="21"/>
                <w:shd w:val="clear" w:color="auto" w:fill="FFFFFF"/>
              </w:rPr>
              <w:t>左右</w:t>
            </w:r>
          </w:p>
        </w:tc>
      </w:tr>
      <w:tr w:rsidR="00074F3B">
        <w:trPr>
          <w:trHeight w:val="1099"/>
        </w:trPr>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户籍人口城镇化率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cs="Arial"/>
                <w:szCs w:val="21"/>
                <w:shd w:val="clear" w:color="auto" w:fill="FFFFFF"/>
              </w:rPr>
            </w:pPr>
            <w:r>
              <w:rPr>
                <w:rFonts w:hAnsi="宋体" w:cs="Arial" w:hint="eastAsia"/>
                <w:szCs w:val="21"/>
                <w:shd w:val="clear" w:color="auto" w:fill="FFFFFF"/>
              </w:rPr>
              <w:t>《国家</w:t>
            </w:r>
            <w:r>
              <w:rPr>
                <w:rStyle w:val="af4"/>
                <w:rFonts w:hAnsi="宋体" w:cs="Arial" w:hint="eastAsia"/>
                <w:i w:val="0"/>
                <w:iCs w:val="0"/>
                <w:szCs w:val="21"/>
                <w:shd w:val="clear" w:color="auto" w:fill="FFFFFF"/>
              </w:rPr>
              <w:t>新型城镇化规划</w:t>
            </w:r>
            <w:r>
              <w:rPr>
                <w:rFonts w:hAnsi="宋体" w:cs="Arial" w:hint="eastAsia"/>
                <w:szCs w:val="21"/>
                <w:shd w:val="clear" w:color="auto" w:fill="FFFFFF"/>
              </w:rPr>
              <w:t>（</w:t>
            </w:r>
            <w:r>
              <w:rPr>
                <w:rFonts w:hAnsi="宋体" w:cs="Arial"/>
                <w:szCs w:val="21"/>
                <w:shd w:val="clear" w:color="auto" w:fill="FFFFFF"/>
              </w:rPr>
              <w:t>2014—2020</w:t>
            </w:r>
            <w:r>
              <w:rPr>
                <w:rFonts w:hAnsi="宋体" w:cs="Arial" w:hint="eastAsia"/>
                <w:szCs w:val="21"/>
                <w:shd w:val="clear" w:color="auto" w:fill="FFFFFF"/>
              </w:rPr>
              <w:t>年）》：</w:t>
            </w:r>
            <w:r>
              <w:rPr>
                <w:rFonts w:hint="eastAsia"/>
                <w:color w:val="000000"/>
              </w:rPr>
              <w:t>户籍人口城镇化率达到</w:t>
            </w:r>
            <w:r>
              <w:rPr>
                <w:color w:val="000000"/>
              </w:rPr>
              <w:t>45%</w:t>
            </w:r>
            <w:r>
              <w:rPr>
                <w:rFonts w:hint="eastAsia"/>
                <w:color w:val="000000"/>
              </w:rPr>
              <w:t>左右</w:t>
            </w:r>
          </w:p>
        </w:tc>
      </w:tr>
      <w:tr w:rsidR="00074F3B">
        <w:trPr>
          <w:trHeight w:val="1099"/>
        </w:trPr>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户籍人口城镇化率与常住人口城镇化率比值</w:t>
            </w:r>
          </w:p>
        </w:tc>
        <w:tc>
          <w:tcPr>
            <w:tcW w:w="2182" w:type="dxa"/>
          </w:tcPr>
          <w:p w:rsidR="00074F3B" w:rsidRDefault="00074F3B">
            <w:pPr>
              <w:pStyle w:val="aa"/>
              <w:ind w:firstLineChars="0" w:firstLine="0"/>
              <w:rPr>
                <w:rFonts w:hAnsi="宋体"/>
                <w:szCs w:val="21"/>
              </w:rPr>
            </w:pPr>
            <w:r>
              <w:rPr>
                <w:rFonts w:hAnsi="宋体" w:hint="eastAsia"/>
                <w:szCs w:val="21"/>
              </w:rPr>
              <w:t>－</w:t>
            </w:r>
          </w:p>
        </w:tc>
        <w:tc>
          <w:tcPr>
            <w:tcW w:w="1640" w:type="dxa"/>
          </w:tcPr>
          <w:p w:rsidR="00074F3B" w:rsidRDefault="00074F3B">
            <w:pPr>
              <w:pStyle w:val="aa"/>
              <w:ind w:firstLineChars="0" w:firstLine="0"/>
              <w:rPr>
                <w:rFonts w:hAnsi="宋体"/>
                <w:szCs w:val="21"/>
              </w:rPr>
            </w:pPr>
            <w:r>
              <w:rPr>
                <w:rFonts w:hint="eastAsia"/>
                <w:szCs w:val="18"/>
              </w:rPr>
              <w:t>正向指标，</w:t>
            </w:r>
            <w:r>
              <w:rPr>
                <w:szCs w:val="18"/>
              </w:rPr>
              <w:t>0</w:t>
            </w:r>
            <w:r>
              <w:rPr>
                <w:rFonts w:hint="eastAsia"/>
                <w:szCs w:val="18"/>
              </w:rPr>
              <w:t>－</w:t>
            </w:r>
            <w:r>
              <w:rPr>
                <w:szCs w:val="18"/>
              </w:rPr>
              <w:t>1</w:t>
            </w:r>
            <w:r>
              <w:rPr>
                <w:rFonts w:hint="eastAsia"/>
                <w:szCs w:val="18"/>
              </w:rPr>
              <w:t>，</w:t>
            </w:r>
            <w:r>
              <w:rPr>
                <w:rFonts w:hAnsi="宋体" w:hint="eastAsia"/>
                <w:szCs w:val="21"/>
              </w:rPr>
              <w:t>趋于</w:t>
            </w:r>
            <w:r>
              <w:rPr>
                <w:rFonts w:hAnsi="宋体"/>
                <w:szCs w:val="21"/>
              </w:rPr>
              <w:t>1</w:t>
            </w:r>
            <w:r>
              <w:rPr>
                <w:rFonts w:hAnsi="宋体" w:hint="eastAsia"/>
                <w:szCs w:val="21"/>
              </w:rPr>
              <w:t>越好</w:t>
            </w:r>
          </w:p>
        </w:tc>
        <w:tc>
          <w:tcPr>
            <w:tcW w:w="3667" w:type="dxa"/>
          </w:tcPr>
          <w:p w:rsidR="00074F3B" w:rsidRDefault="00074F3B">
            <w:pPr>
              <w:pStyle w:val="aa"/>
              <w:ind w:firstLineChars="0" w:firstLine="0"/>
              <w:rPr>
                <w:rFonts w:hAnsi="宋体" w:cs="Arial"/>
                <w:szCs w:val="21"/>
                <w:shd w:val="clear" w:color="auto" w:fill="FFFFFF"/>
              </w:rPr>
            </w:pPr>
            <w:r>
              <w:rPr>
                <w:rFonts w:hAnsi="宋体" w:cs="Arial" w:hint="eastAsia"/>
                <w:szCs w:val="21"/>
                <w:shd w:val="clear" w:color="auto" w:fill="FFFFFF"/>
              </w:rPr>
              <w:t>《国家</w:t>
            </w:r>
            <w:r>
              <w:rPr>
                <w:rStyle w:val="af4"/>
                <w:rFonts w:hAnsi="宋体" w:cs="Arial" w:hint="eastAsia"/>
                <w:i w:val="0"/>
                <w:iCs w:val="0"/>
                <w:szCs w:val="21"/>
                <w:shd w:val="clear" w:color="auto" w:fill="FFFFFF"/>
              </w:rPr>
              <w:t>新型城镇化规划</w:t>
            </w:r>
            <w:r>
              <w:rPr>
                <w:rFonts w:hAnsi="宋体" w:cs="Arial" w:hint="eastAsia"/>
                <w:szCs w:val="21"/>
                <w:shd w:val="clear" w:color="auto" w:fill="FFFFFF"/>
              </w:rPr>
              <w:t>（</w:t>
            </w:r>
            <w:r>
              <w:rPr>
                <w:rFonts w:hAnsi="宋体" w:cs="Arial"/>
                <w:szCs w:val="21"/>
                <w:shd w:val="clear" w:color="auto" w:fill="FFFFFF"/>
              </w:rPr>
              <w:t>2014—2020</w:t>
            </w:r>
            <w:r>
              <w:rPr>
                <w:rFonts w:hAnsi="宋体" w:cs="Arial" w:hint="eastAsia"/>
                <w:szCs w:val="21"/>
                <w:shd w:val="clear" w:color="auto" w:fill="FFFFFF"/>
              </w:rPr>
              <w:t>年）》：</w:t>
            </w:r>
            <w:r>
              <w:rPr>
                <w:rFonts w:hint="eastAsia"/>
                <w:color w:val="000000"/>
              </w:rPr>
              <w:t>户籍人口城镇化率与常住人口城镇化率差距缩小</w:t>
            </w:r>
            <w:r>
              <w:rPr>
                <w:color w:val="000000"/>
              </w:rPr>
              <w:t>2</w:t>
            </w:r>
            <w:r>
              <w:rPr>
                <w:rFonts w:hint="eastAsia"/>
                <w:color w:val="000000"/>
              </w:rPr>
              <w:t>个百分点左右</w:t>
            </w:r>
          </w:p>
        </w:tc>
      </w:tr>
      <w:tr w:rsidR="00074F3B">
        <w:trPr>
          <w:trHeight w:val="465"/>
        </w:trPr>
        <w:tc>
          <w:tcPr>
            <w:tcW w:w="751" w:type="dxa"/>
            <w:vMerge/>
          </w:tcPr>
          <w:p w:rsidR="00074F3B" w:rsidRDefault="00074F3B">
            <w:pPr>
              <w:pStyle w:val="aa"/>
              <w:ind w:firstLineChars="0" w:firstLine="0"/>
              <w:rPr>
                <w:rFonts w:hAnsi="宋体"/>
                <w:szCs w:val="21"/>
              </w:rPr>
            </w:pPr>
          </w:p>
        </w:tc>
        <w:tc>
          <w:tcPr>
            <w:tcW w:w="2466" w:type="dxa"/>
          </w:tcPr>
          <w:p w:rsidR="00074F3B" w:rsidRDefault="00074F3B">
            <w:pPr>
              <w:pStyle w:val="aa"/>
              <w:ind w:firstLineChars="0" w:firstLine="0"/>
              <w:rPr>
                <w:rFonts w:hAnsi="宋体"/>
                <w:szCs w:val="21"/>
              </w:rPr>
            </w:pPr>
            <w:r>
              <w:rPr>
                <w:rFonts w:hAnsi="宋体" w:hint="eastAsia"/>
                <w:szCs w:val="21"/>
              </w:rPr>
              <w:t>人口流动</w:t>
            </w:r>
          </w:p>
        </w:tc>
        <w:tc>
          <w:tcPr>
            <w:tcW w:w="2147" w:type="dxa"/>
          </w:tcPr>
          <w:p w:rsidR="00074F3B" w:rsidRDefault="00074F3B">
            <w:pPr>
              <w:pStyle w:val="aa"/>
              <w:ind w:firstLineChars="0" w:firstLine="0"/>
              <w:rPr>
                <w:rFonts w:hAnsi="宋体"/>
                <w:szCs w:val="21"/>
              </w:rPr>
            </w:pPr>
            <w:r>
              <w:rPr>
                <w:rFonts w:hAnsi="宋体" w:hint="eastAsia"/>
                <w:szCs w:val="21"/>
              </w:rPr>
              <w:t>外出劳动力回流率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文献材料，并结合实际</w:t>
            </w:r>
          </w:p>
        </w:tc>
      </w:tr>
      <w:tr w:rsidR="00074F3B">
        <w:tc>
          <w:tcPr>
            <w:tcW w:w="751" w:type="dxa"/>
            <w:vMerge w:val="restart"/>
          </w:tcPr>
          <w:p w:rsidR="00074F3B" w:rsidRDefault="00074F3B">
            <w:pPr>
              <w:pStyle w:val="aa"/>
              <w:ind w:firstLineChars="0" w:firstLine="0"/>
              <w:rPr>
                <w:rFonts w:hAnsi="宋体"/>
                <w:szCs w:val="21"/>
              </w:rPr>
            </w:pPr>
            <w:r>
              <w:rPr>
                <w:rFonts w:hAnsi="宋体"/>
                <w:szCs w:val="21"/>
              </w:rPr>
              <w:t>A</w:t>
            </w:r>
            <w:r>
              <w:rPr>
                <w:rFonts w:hAnsi="宋体"/>
                <w:szCs w:val="21"/>
                <w:vertAlign w:val="subscript"/>
              </w:rPr>
              <w:t>2</w:t>
            </w:r>
            <w:r>
              <w:rPr>
                <w:rFonts w:hAnsi="宋体" w:hint="eastAsia"/>
                <w:szCs w:val="21"/>
              </w:rPr>
              <w:t>经济发展</w:t>
            </w:r>
          </w:p>
        </w:tc>
        <w:tc>
          <w:tcPr>
            <w:tcW w:w="2466" w:type="dxa"/>
            <w:vMerge w:val="restart"/>
          </w:tcPr>
          <w:p w:rsidR="00074F3B" w:rsidRDefault="00074F3B">
            <w:pPr>
              <w:pStyle w:val="aa"/>
              <w:ind w:firstLineChars="0" w:firstLine="0"/>
              <w:rPr>
                <w:rFonts w:hAnsi="宋体"/>
                <w:szCs w:val="21"/>
              </w:rPr>
            </w:pPr>
            <w:r>
              <w:rPr>
                <w:rFonts w:hAnsi="宋体" w:hint="eastAsia"/>
                <w:szCs w:val="21"/>
              </w:rPr>
              <w:t>经济收入</w:t>
            </w:r>
          </w:p>
        </w:tc>
        <w:tc>
          <w:tcPr>
            <w:tcW w:w="2147" w:type="dxa"/>
          </w:tcPr>
          <w:p w:rsidR="00074F3B" w:rsidRDefault="00074F3B">
            <w:pPr>
              <w:pStyle w:val="aa"/>
              <w:ind w:firstLineChars="0" w:firstLine="0"/>
              <w:rPr>
                <w:rFonts w:hAnsi="宋体"/>
                <w:szCs w:val="21"/>
              </w:rPr>
            </w:pPr>
            <w:r>
              <w:rPr>
                <w:rFonts w:hAnsi="宋体" w:hint="eastAsia"/>
                <w:szCs w:val="21"/>
              </w:rPr>
              <w:t>人均</w:t>
            </w:r>
            <w:r>
              <w:rPr>
                <w:rFonts w:hAnsi="宋体"/>
                <w:szCs w:val="21"/>
              </w:rPr>
              <w:t>GDP</w:t>
            </w:r>
          </w:p>
        </w:tc>
        <w:tc>
          <w:tcPr>
            <w:tcW w:w="2182" w:type="dxa"/>
          </w:tcPr>
          <w:p w:rsidR="00074F3B" w:rsidRDefault="00074F3B">
            <w:pPr>
              <w:pStyle w:val="aa"/>
              <w:ind w:firstLineChars="0" w:firstLine="0"/>
              <w:rPr>
                <w:rFonts w:hAnsi="宋体"/>
                <w:szCs w:val="21"/>
              </w:rPr>
            </w:pPr>
            <w:r>
              <w:rPr>
                <w:rFonts w:hAnsi="宋体" w:hint="eastAsia"/>
                <w:szCs w:val="21"/>
              </w:rPr>
              <w:t>元</w:t>
            </w:r>
            <w:r>
              <w:rPr>
                <w:rFonts w:hAnsi="宋体"/>
                <w:szCs w:val="21"/>
              </w:rPr>
              <w:t>/</w:t>
            </w:r>
            <w:r>
              <w:rPr>
                <w:rFonts w:hAnsi="宋体" w:hint="eastAsia"/>
                <w:szCs w:val="21"/>
              </w:rPr>
              <w:t>人</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十八大：到</w:t>
            </w:r>
            <w:r>
              <w:rPr>
                <w:rFonts w:hAnsi="宋体"/>
                <w:szCs w:val="21"/>
              </w:rPr>
              <w:t>2020</w:t>
            </w:r>
            <w:r>
              <w:rPr>
                <w:rFonts w:hAnsi="宋体" w:hint="eastAsia"/>
                <w:szCs w:val="21"/>
              </w:rPr>
              <w:t>年人均</w:t>
            </w:r>
            <w:r>
              <w:rPr>
                <w:rFonts w:hAnsi="宋体"/>
                <w:szCs w:val="21"/>
              </w:rPr>
              <w:t>GDP</w:t>
            </w:r>
            <w:r>
              <w:rPr>
                <w:rFonts w:hAnsi="宋体" w:hint="eastAsia"/>
                <w:szCs w:val="21"/>
              </w:rPr>
              <w:t>翻一番的目标。统计局全面建设小康社会统计监测指标体系及其计算方法。</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农村居民人均可支配收入</w:t>
            </w:r>
          </w:p>
        </w:tc>
        <w:tc>
          <w:tcPr>
            <w:tcW w:w="2182" w:type="dxa"/>
          </w:tcPr>
          <w:p w:rsidR="00074F3B" w:rsidRDefault="00074F3B">
            <w:pPr>
              <w:pStyle w:val="aa"/>
              <w:ind w:firstLineChars="0" w:firstLine="0"/>
              <w:rPr>
                <w:rFonts w:hAnsi="宋体"/>
                <w:szCs w:val="21"/>
              </w:rPr>
            </w:pPr>
            <w:r>
              <w:rPr>
                <w:rFonts w:hAnsi="宋体" w:hint="eastAsia"/>
                <w:szCs w:val="21"/>
              </w:rPr>
              <w:t>元</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十八大：到</w:t>
            </w:r>
            <w:r>
              <w:rPr>
                <w:rFonts w:hAnsi="宋体"/>
                <w:szCs w:val="21"/>
              </w:rPr>
              <w:t>2020</w:t>
            </w:r>
            <w:r>
              <w:rPr>
                <w:rFonts w:hAnsi="宋体" w:hint="eastAsia"/>
                <w:szCs w:val="21"/>
              </w:rPr>
              <w:t>年农村居民人均可支配收入翻一番的目标。统计局全面建设小康社会统计监测指标体系及其计</w:t>
            </w:r>
            <w:r>
              <w:rPr>
                <w:rFonts w:hAnsi="宋体" w:hint="eastAsia"/>
                <w:szCs w:val="21"/>
              </w:rPr>
              <w:lastRenderedPageBreak/>
              <w:t>算方法。</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城乡居民收入比</w:t>
            </w:r>
          </w:p>
        </w:tc>
        <w:tc>
          <w:tcPr>
            <w:tcW w:w="2182" w:type="dxa"/>
          </w:tcPr>
          <w:p w:rsidR="00074F3B" w:rsidRDefault="00074F3B">
            <w:pPr>
              <w:pStyle w:val="aa"/>
              <w:ind w:firstLineChars="0" w:firstLine="0"/>
              <w:rPr>
                <w:rFonts w:hAnsi="宋体"/>
                <w:szCs w:val="21"/>
              </w:rPr>
            </w:pPr>
            <w:r>
              <w:rPr>
                <w:rFonts w:hAnsi="宋体" w:hint="eastAsia"/>
                <w:szCs w:val="21"/>
              </w:rPr>
              <w:t>－</w:t>
            </w:r>
          </w:p>
        </w:tc>
        <w:tc>
          <w:tcPr>
            <w:tcW w:w="1640" w:type="dxa"/>
          </w:tcPr>
          <w:p w:rsidR="00074F3B" w:rsidRDefault="00074F3B">
            <w:pPr>
              <w:pStyle w:val="aa"/>
              <w:ind w:firstLineChars="0" w:firstLine="0"/>
              <w:rPr>
                <w:rFonts w:hAnsi="宋体"/>
                <w:szCs w:val="21"/>
              </w:rPr>
            </w:pPr>
            <w:r>
              <w:rPr>
                <w:rFonts w:hAnsi="宋体" w:hint="eastAsia"/>
                <w:szCs w:val="21"/>
              </w:rPr>
              <w:t>逆向指标，趋于</w:t>
            </w:r>
            <w:r>
              <w:rPr>
                <w:rFonts w:hAnsi="宋体"/>
                <w:szCs w:val="21"/>
              </w:rPr>
              <w:t>1</w:t>
            </w:r>
            <w:r>
              <w:rPr>
                <w:rFonts w:hAnsi="宋体" w:hint="eastAsia"/>
                <w:szCs w:val="21"/>
              </w:rPr>
              <w:t>越好</w:t>
            </w:r>
          </w:p>
        </w:tc>
        <w:tc>
          <w:tcPr>
            <w:tcW w:w="3667" w:type="dxa"/>
          </w:tcPr>
          <w:p w:rsidR="00074F3B" w:rsidRDefault="00074F3B">
            <w:pPr>
              <w:pStyle w:val="aa"/>
              <w:ind w:firstLineChars="0" w:firstLine="0"/>
              <w:rPr>
                <w:rFonts w:hAnsi="宋体"/>
                <w:szCs w:val="21"/>
              </w:rPr>
            </w:pPr>
            <w:r>
              <w:rPr>
                <w:rFonts w:hAnsi="宋体" w:hint="eastAsia"/>
                <w:szCs w:val="21"/>
              </w:rPr>
              <w:t>相对值体现城乡差异缩小。国家统计局全面建设小康社会统计监测指标体系及其计算方法。</w:t>
            </w:r>
          </w:p>
        </w:tc>
      </w:tr>
      <w:tr w:rsidR="00074F3B">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产业发展</w:t>
            </w:r>
          </w:p>
        </w:tc>
        <w:tc>
          <w:tcPr>
            <w:tcW w:w="2147" w:type="dxa"/>
          </w:tcPr>
          <w:p w:rsidR="00074F3B" w:rsidRDefault="00074F3B">
            <w:pPr>
              <w:pStyle w:val="aa"/>
              <w:ind w:firstLineChars="0" w:firstLine="0"/>
              <w:rPr>
                <w:rFonts w:hAnsi="宋体"/>
                <w:szCs w:val="21"/>
              </w:rPr>
            </w:pPr>
            <w:r>
              <w:rPr>
                <w:rFonts w:hAnsi="宋体" w:hint="eastAsia"/>
                <w:szCs w:val="21"/>
              </w:rPr>
              <w:t>非农</w:t>
            </w:r>
            <w:r>
              <w:rPr>
                <w:rFonts w:hAnsi="宋体"/>
                <w:szCs w:val="21"/>
              </w:rPr>
              <w:t>GDP</w:t>
            </w:r>
            <w:r>
              <w:rPr>
                <w:rFonts w:hAnsi="宋体" w:hint="eastAsia"/>
                <w:szCs w:val="21"/>
              </w:rPr>
              <w:t>比重</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国家统计局全面建设小康社会统计监测指标体系及其计算方法。</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粮食作物耕种</w:t>
            </w:r>
            <w:proofErr w:type="gramStart"/>
            <w:r>
              <w:rPr>
                <w:rFonts w:hAnsi="宋体" w:hint="eastAsia"/>
                <w:szCs w:val="21"/>
              </w:rPr>
              <w:t>收综合</w:t>
            </w:r>
            <w:proofErr w:type="gramEnd"/>
            <w:r>
              <w:rPr>
                <w:rFonts w:hAnsi="宋体" w:hint="eastAsia"/>
                <w:szCs w:val="21"/>
              </w:rPr>
              <w:t>机械化水平</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从</w:t>
            </w:r>
            <w:r>
              <w:rPr>
                <w:rFonts w:hAnsi="宋体"/>
                <w:szCs w:val="21"/>
              </w:rPr>
              <w:t>2014</w:t>
            </w:r>
            <w:r>
              <w:rPr>
                <w:rFonts w:hAnsi="宋体" w:hint="eastAsia"/>
                <w:szCs w:val="21"/>
              </w:rPr>
              <w:t>年至</w:t>
            </w:r>
            <w:r>
              <w:rPr>
                <w:rFonts w:hAnsi="宋体"/>
                <w:szCs w:val="21"/>
              </w:rPr>
              <w:t>2016</w:t>
            </w:r>
            <w:r>
              <w:rPr>
                <w:rFonts w:hAnsi="宋体" w:hint="eastAsia"/>
                <w:szCs w:val="21"/>
              </w:rPr>
              <w:t>年</w:t>
            </w:r>
            <w:r>
              <w:rPr>
                <w:rFonts w:hAnsi="宋体"/>
                <w:szCs w:val="21"/>
              </w:rPr>
              <w:t>,</w:t>
            </w:r>
            <w:r>
              <w:rPr>
                <w:rFonts w:hAnsi="宋体" w:hint="eastAsia"/>
                <w:szCs w:val="21"/>
              </w:rPr>
              <w:t>中央“一号文件”连续三年将“农业机械化”写入标题，考虑到地区差异并结合实际</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农用地</w:t>
            </w:r>
            <w:proofErr w:type="gramStart"/>
            <w:r>
              <w:rPr>
                <w:rFonts w:hAnsi="宋体" w:hint="eastAsia"/>
                <w:szCs w:val="21"/>
              </w:rPr>
              <w:t>流转率</w:t>
            </w:r>
            <w:proofErr w:type="gramEnd"/>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结合实际。国家对农村土地流转、确权与抵押贷款的推动趋势。</w:t>
            </w:r>
          </w:p>
        </w:tc>
      </w:tr>
      <w:tr w:rsidR="00074F3B">
        <w:tc>
          <w:tcPr>
            <w:tcW w:w="751" w:type="dxa"/>
            <w:vMerge w:val="restart"/>
          </w:tcPr>
          <w:p w:rsidR="00074F3B" w:rsidRDefault="00074F3B">
            <w:pPr>
              <w:pStyle w:val="aa"/>
              <w:ind w:firstLineChars="0" w:firstLine="0"/>
              <w:rPr>
                <w:rFonts w:hAnsi="宋体"/>
                <w:szCs w:val="21"/>
              </w:rPr>
            </w:pPr>
            <w:r>
              <w:rPr>
                <w:rFonts w:hAnsi="宋体"/>
                <w:szCs w:val="21"/>
              </w:rPr>
              <w:t>A</w:t>
            </w:r>
            <w:r>
              <w:rPr>
                <w:rFonts w:hAnsi="宋体"/>
                <w:szCs w:val="21"/>
                <w:vertAlign w:val="subscript"/>
              </w:rPr>
              <w:t>3</w:t>
            </w:r>
            <w:r>
              <w:rPr>
                <w:rFonts w:hAnsi="宋体" w:hint="eastAsia"/>
                <w:szCs w:val="21"/>
              </w:rPr>
              <w:t>环境友好</w:t>
            </w:r>
          </w:p>
        </w:tc>
        <w:tc>
          <w:tcPr>
            <w:tcW w:w="2466" w:type="dxa"/>
            <w:vMerge w:val="restart"/>
          </w:tcPr>
          <w:p w:rsidR="00074F3B" w:rsidRDefault="00074F3B">
            <w:pPr>
              <w:pStyle w:val="aa"/>
              <w:ind w:firstLineChars="0" w:firstLine="0"/>
              <w:rPr>
                <w:rFonts w:hAnsi="宋体"/>
                <w:szCs w:val="21"/>
              </w:rPr>
            </w:pPr>
            <w:r>
              <w:rPr>
                <w:rFonts w:hAnsi="宋体" w:hint="eastAsia"/>
                <w:szCs w:val="21"/>
              </w:rPr>
              <w:t>环境治理</w:t>
            </w:r>
          </w:p>
        </w:tc>
        <w:tc>
          <w:tcPr>
            <w:tcW w:w="2147" w:type="dxa"/>
          </w:tcPr>
          <w:p w:rsidR="00074F3B" w:rsidRDefault="00074F3B">
            <w:pPr>
              <w:pStyle w:val="aa"/>
              <w:ind w:firstLineChars="0" w:firstLine="0"/>
              <w:rPr>
                <w:rFonts w:hAnsi="宋体"/>
                <w:szCs w:val="21"/>
              </w:rPr>
            </w:pPr>
            <w:r>
              <w:rPr>
                <w:rFonts w:hAnsi="宋体" w:hint="eastAsia"/>
                <w:szCs w:val="21"/>
              </w:rPr>
              <w:t>城乡生活垃圾无害化处理率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w:t>
            </w:r>
            <w:r>
              <w:rPr>
                <w:rFonts w:hAnsi="宋体" w:cs="Arial" w:hint="eastAsia"/>
                <w:szCs w:val="21"/>
                <w:shd w:val="clear" w:color="auto" w:fill="FFFFFF"/>
              </w:rPr>
              <w:t>国家</w:t>
            </w:r>
            <w:r>
              <w:rPr>
                <w:rStyle w:val="af4"/>
                <w:rFonts w:hAnsi="宋体" w:cs="Arial" w:hint="eastAsia"/>
                <w:i w:val="0"/>
                <w:iCs w:val="0"/>
                <w:szCs w:val="21"/>
                <w:shd w:val="clear" w:color="auto" w:fill="FFFFFF"/>
              </w:rPr>
              <w:t>新型城镇化规划</w:t>
            </w:r>
            <w:r>
              <w:rPr>
                <w:rFonts w:hAnsi="宋体" w:cs="Arial" w:hint="eastAsia"/>
                <w:szCs w:val="21"/>
                <w:shd w:val="clear" w:color="auto" w:fill="FFFFFF"/>
              </w:rPr>
              <w:t>（</w:t>
            </w:r>
            <w:r>
              <w:rPr>
                <w:rFonts w:hAnsi="宋体" w:cs="Arial"/>
                <w:szCs w:val="21"/>
                <w:shd w:val="clear" w:color="auto" w:fill="FFFFFF"/>
              </w:rPr>
              <w:t>2014—2020</w:t>
            </w:r>
            <w:r>
              <w:rPr>
                <w:rFonts w:hAnsi="宋体" w:cs="Arial" w:hint="eastAsia"/>
                <w:szCs w:val="21"/>
                <w:shd w:val="clear" w:color="auto" w:fill="FFFFFF"/>
              </w:rPr>
              <w:t>年）</w:t>
            </w:r>
            <w:r>
              <w:rPr>
                <w:rFonts w:hAnsi="宋体" w:hint="eastAsia"/>
                <w:szCs w:val="21"/>
              </w:rPr>
              <w:t>》</w:t>
            </w:r>
            <w:r>
              <w:rPr>
                <w:rFonts w:hAnsi="宋体" w:hint="eastAsia"/>
                <w:bCs/>
                <w:szCs w:val="21"/>
              </w:rPr>
              <w:t>县城和重点镇基础设施提升工程</w:t>
            </w:r>
            <w:r>
              <w:rPr>
                <w:rFonts w:hAnsi="宋体"/>
                <w:szCs w:val="21"/>
              </w:rPr>
              <w:t> </w:t>
            </w:r>
            <w:r>
              <w:rPr>
                <w:rFonts w:hAnsi="宋体" w:hint="eastAsia"/>
                <w:szCs w:val="21"/>
              </w:rPr>
              <w:t>中，实现县城具备垃圾无害化处理能力，按照以城带</w:t>
            </w:r>
            <w:proofErr w:type="gramStart"/>
            <w:r>
              <w:rPr>
                <w:rFonts w:hAnsi="宋体" w:hint="eastAsia"/>
                <w:szCs w:val="21"/>
              </w:rPr>
              <w:t>乡模式</w:t>
            </w:r>
            <w:proofErr w:type="gramEnd"/>
            <w:r>
              <w:rPr>
                <w:rFonts w:hAnsi="宋体" w:hint="eastAsia"/>
                <w:szCs w:val="21"/>
              </w:rPr>
              <w:t>推进重点镇垃圾无害化处理，重点建设垃圾收集、转运设施，实现重点镇垃圾收集、转运全覆盖。</w:t>
            </w:r>
            <w:r>
              <w:rPr>
                <w:rFonts w:hAnsi="宋体"/>
                <w:szCs w:val="21"/>
              </w:rPr>
              <w:t>GB/T 32000-2015</w:t>
            </w:r>
            <w:r>
              <w:rPr>
                <w:rFonts w:hAnsi="宋体" w:hint="eastAsia"/>
                <w:szCs w:val="21"/>
              </w:rPr>
              <w:t>《美丽乡村建设指南》</w:t>
            </w:r>
            <w:r>
              <w:rPr>
                <w:rFonts w:hAnsi="宋体"/>
                <w:szCs w:val="21"/>
              </w:rPr>
              <w:t>:</w:t>
            </w:r>
            <w:r>
              <w:rPr>
                <w:rFonts w:hAnsi="宋体" w:hint="eastAsia"/>
                <w:szCs w:val="21"/>
              </w:rPr>
              <w:t>生活垃圾无害化处理率</w:t>
            </w:r>
            <w:r>
              <w:rPr>
                <w:rFonts w:hAnsi="宋体"/>
                <w:szCs w:val="21"/>
              </w:rPr>
              <w:t>80%</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城镇污水处理率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农村污水处理农户覆盖率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szCs w:val="21"/>
              </w:rPr>
              <w:t xml:space="preserve">GB/T 32000-2015 </w:t>
            </w:r>
            <w:r>
              <w:rPr>
                <w:rFonts w:hAnsi="宋体" w:hint="eastAsia"/>
                <w:szCs w:val="21"/>
              </w:rPr>
              <w:t>《美丽乡村建设指南》</w:t>
            </w:r>
          </w:p>
        </w:tc>
      </w:tr>
      <w:tr w:rsidR="00074F3B">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节能减排</w:t>
            </w:r>
          </w:p>
        </w:tc>
        <w:tc>
          <w:tcPr>
            <w:tcW w:w="2147" w:type="dxa"/>
          </w:tcPr>
          <w:p w:rsidR="00074F3B" w:rsidRDefault="00074F3B">
            <w:pPr>
              <w:widowControl/>
              <w:spacing w:line="270" w:lineRule="atLeast"/>
              <w:jc w:val="left"/>
              <w:rPr>
                <w:rFonts w:ascii="宋体" w:cs="宋体"/>
                <w:kern w:val="0"/>
                <w:szCs w:val="21"/>
              </w:rPr>
            </w:pPr>
            <w:r>
              <w:rPr>
                <w:rFonts w:ascii="宋体" w:hAnsi="宋体" w:hint="eastAsia"/>
                <w:szCs w:val="21"/>
              </w:rPr>
              <w:t>单位</w:t>
            </w:r>
            <w:r>
              <w:rPr>
                <w:rFonts w:ascii="宋体" w:hAnsi="宋体"/>
                <w:szCs w:val="21"/>
              </w:rPr>
              <w:t>GDP</w:t>
            </w:r>
            <w:r>
              <w:rPr>
                <w:rFonts w:ascii="宋体" w:hAnsi="宋体" w:hint="eastAsia"/>
                <w:szCs w:val="21"/>
              </w:rPr>
              <w:t>能耗</w:t>
            </w:r>
          </w:p>
        </w:tc>
        <w:tc>
          <w:tcPr>
            <w:tcW w:w="2182" w:type="dxa"/>
          </w:tcPr>
          <w:p w:rsidR="00074F3B" w:rsidRDefault="00074F3B">
            <w:pPr>
              <w:widowControl/>
              <w:spacing w:line="270" w:lineRule="atLeast"/>
              <w:jc w:val="left"/>
              <w:rPr>
                <w:rFonts w:ascii="宋体" w:cs="宋体"/>
                <w:kern w:val="0"/>
                <w:szCs w:val="21"/>
              </w:rPr>
            </w:pPr>
            <w:r>
              <w:rPr>
                <w:rFonts w:ascii="宋体" w:hAnsi="宋体" w:cs="宋体" w:hint="eastAsia"/>
                <w:kern w:val="0"/>
                <w:szCs w:val="21"/>
              </w:rPr>
              <w:t>吨标准煤</w:t>
            </w:r>
            <w:r>
              <w:rPr>
                <w:rFonts w:ascii="宋体" w:hAnsi="宋体" w:cs="宋体"/>
                <w:kern w:val="0"/>
                <w:szCs w:val="21"/>
              </w:rPr>
              <w:t>/</w:t>
            </w:r>
            <w:r>
              <w:rPr>
                <w:rFonts w:ascii="宋体" w:hAnsi="宋体" w:cs="宋体" w:hint="eastAsia"/>
                <w:kern w:val="0"/>
                <w:szCs w:val="21"/>
              </w:rPr>
              <w:t>万元</w:t>
            </w:r>
          </w:p>
        </w:tc>
        <w:tc>
          <w:tcPr>
            <w:tcW w:w="1640" w:type="dxa"/>
          </w:tcPr>
          <w:p w:rsidR="00074F3B" w:rsidRDefault="00074F3B">
            <w:pPr>
              <w:pStyle w:val="aa"/>
              <w:ind w:firstLineChars="0" w:firstLine="0"/>
              <w:rPr>
                <w:rFonts w:hAnsi="宋体"/>
                <w:szCs w:val="21"/>
              </w:rPr>
            </w:pPr>
            <w:r>
              <w:rPr>
                <w:rFonts w:hAnsi="宋体" w:hint="eastAsia"/>
                <w:szCs w:val="21"/>
              </w:rPr>
              <w:t>逆向指标</w:t>
            </w:r>
          </w:p>
        </w:tc>
        <w:tc>
          <w:tcPr>
            <w:tcW w:w="3667" w:type="dxa"/>
          </w:tcPr>
          <w:p w:rsidR="00074F3B" w:rsidRDefault="00074F3B">
            <w:pPr>
              <w:pStyle w:val="aa"/>
              <w:ind w:firstLineChars="0" w:firstLine="0"/>
              <w:rPr>
                <w:rFonts w:hAnsi="宋体"/>
                <w:szCs w:val="21"/>
              </w:rPr>
            </w:pPr>
            <w:r>
              <w:rPr>
                <w:rFonts w:hAnsi="宋体"/>
                <w:szCs w:val="21"/>
              </w:rPr>
              <w:t>2013</w:t>
            </w:r>
            <w:r>
              <w:rPr>
                <w:rFonts w:hAnsi="宋体" w:hint="eastAsia"/>
                <w:szCs w:val="21"/>
              </w:rPr>
              <w:t>年国家统计局全面小康社会测算指标体系东部地区为</w:t>
            </w:r>
            <w:r>
              <w:rPr>
                <w:rFonts w:hAnsi="宋体" w:cs="宋体" w:hint="eastAsia"/>
                <w:szCs w:val="21"/>
              </w:rPr>
              <w:t>≤</w:t>
            </w:r>
            <w:r>
              <w:rPr>
                <w:rFonts w:hAnsi="宋体" w:cs="宋体"/>
                <w:szCs w:val="21"/>
              </w:rPr>
              <w:t>0.55</w:t>
            </w:r>
            <w:r>
              <w:rPr>
                <w:rFonts w:hAnsi="宋体" w:cs="宋体" w:hint="eastAsia"/>
                <w:szCs w:val="21"/>
              </w:rPr>
              <w:t>吨标准煤</w:t>
            </w:r>
            <w:r>
              <w:rPr>
                <w:rFonts w:hAnsi="宋体" w:cs="宋体"/>
                <w:szCs w:val="21"/>
              </w:rPr>
              <w:t>/</w:t>
            </w:r>
            <w:r>
              <w:rPr>
                <w:rFonts w:hAnsi="宋体" w:cs="宋体" w:hint="eastAsia"/>
                <w:szCs w:val="21"/>
              </w:rPr>
              <w:t>万元。</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城镇绿色建筑占新建建筑比例</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cs="Arial" w:hint="eastAsia"/>
                <w:szCs w:val="21"/>
                <w:shd w:val="clear" w:color="auto" w:fill="FFFFFF"/>
              </w:rPr>
              <w:t>《国家</w:t>
            </w:r>
            <w:r>
              <w:rPr>
                <w:rStyle w:val="af4"/>
                <w:rFonts w:hAnsi="宋体" w:cs="Arial" w:hint="eastAsia"/>
                <w:i w:val="0"/>
                <w:iCs w:val="0"/>
                <w:szCs w:val="21"/>
                <w:shd w:val="clear" w:color="auto" w:fill="FFFFFF"/>
              </w:rPr>
              <w:t>新型城镇化规划</w:t>
            </w:r>
            <w:r>
              <w:rPr>
                <w:rFonts w:hAnsi="宋体" w:cs="Arial" w:hint="eastAsia"/>
                <w:szCs w:val="21"/>
                <w:shd w:val="clear" w:color="auto" w:fill="FFFFFF"/>
              </w:rPr>
              <w:t>（</w:t>
            </w:r>
            <w:r>
              <w:rPr>
                <w:rFonts w:hAnsi="宋体" w:cs="Arial"/>
                <w:szCs w:val="21"/>
                <w:shd w:val="clear" w:color="auto" w:fill="FFFFFF"/>
              </w:rPr>
              <w:t>2014—2020</w:t>
            </w:r>
            <w:r>
              <w:rPr>
                <w:rFonts w:hAnsi="宋体" w:cs="Arial" w:hint="eastAsia"/>
                <w:szCs w:val="21"/>
                <w:shd w:val="clear" w:color="auto" w:fill="FFFFFF"/>
              </w:rPr>
              <w:t>年）》：</w:t>
            </w:r>
            <w:r>
              <w:rPr>
                <w:rFonts w:hAnsi="宋体" w:hint="eastAsia"/>
                <w:szCs w:val="21"/>
              </w:rPr>
              <w:t>城镇绿色建筑占新建建筑比例达到</w:t>
            </w:r>
            <w:r>
              <w:rPr>
                <w:rFonts w:hAnsi="宋体"/>
                <w:szCs w:val="21"/>
              </w:rPr>
              <w:t>50%</w:t>
            </w:r>
            <w:r>
              <w:rPr>
                <w:rFonts w:hAnsi="宋体" w:hint="eastAsia"/>
                <w:szCs w:val="21"/>
              </w:rPr>
              <w:t>以上</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规模化畜禽养殖粪便综合利用率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szCs w:val="21"/>
              </w:rPr>
              <w:t xml:space="preserve">GB/T 32000-2015 </w:t>
            </w:r>
            <w:r>
              <w:rPr>
                <w:rFonts w:hAnsi="宋体" w:hint="eastAsia"/>
                <w:szCs w:val="21"/>
              </w:rPr>
              <w:t>《美丽乡村建设指南》：畜禽粪便综合利用率</w:t>
            </w:r>
            <w:r>
              <w:rPr>
                <w:rFonts w:hAnsi="宋体"/>
                <w:szCs w:val="21"/>
              </w:rPr>
              <w:t>80%</w:t>
            </w:r>
          </w:p>
        </w:tc>
      </w:tr>
      <w:tr w:rsidR="00074F3B">
        <w:tc>
          <w:tcPr>
            <w:tcW w:w="751" w:type="dxa"/>
            <w:vMerge/>
          </w:tcPr>
          <w:p w:rsidR="00074F3B" w:rsidRDefault="00074F3B">
            <w:pPr>
              <w:pStyle w:val="aa"/>
              <w:ind w:firstLineChars="0" w:firstLine="0"/>
              <w:rPr>
                <w:rFonts w:hAnsi="宋体"/>
                <w:szCs w:val="21"/>
              </w:rPr>
            </w:pPr>
          </w:p>
        </w:tc>
        <w:tc>
          <w:tcPr>
            <w:tcW w:w="2466" w:type="dxa"/>
          </w:tcPr>
          <w:p w:rsidR="00074F3B" w:rsidRDefault="00074F3B">
            <w:pPr>
              <w:pStyle w:val="aa"/>
              <w:ind w:firstLineChars="0" w:firstLine="0"/>
              <w:rPr>
                <w:rFonts w:hAnsi="宋体"/>
                <w:szCs w:val="21"/>
              </w:rPr>
            </w:pPr>
            <w:r>
              <w:rPr>
                <w:rFonts w:hAnsi="宋体" w:hint="eastAsia"/>
                <w:szCs w:val="21"/>
              </w:rPr>
              <w:t>空气质量</w:t>
            </w:r>
          </w:p>
        </w:tc>
        <w:tc>
          <w:tcPr>
            <w:tcW w:w="2147" w:type="dxa"/>
          </w:tcPr>
          <w:p w:rsidR="00074F3B" w:rsidRDefault="00074F3B">
            <w:pPr>
              <w:pStyle w:val="aa"/>
              <w:ind w:firstLineChars="0" w:firstLine="0"/>
              <w:rPr>
                <w:rFonts w:hAnsi="宋体"/>
                <w:szCs w:val="21"/>
              </w:rPr>
            </w:pPr>
            <w:r>
              <w:rPr>
                <w:rFonts w:hAnsi="宋体" w:hint="eastAsia"/>
                <w:szCs w:val="21"/>
              </w:rPr>
              <w:t>环境空气质量优良率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cs="Arial" w:hint="eastAsia"/>
                <w:szCs w:val="21"/>
                <w:shd w:val="clear" w:color="auto" w:fill="FFFFFF"/>
              </w:rPr>
              <w:t>《国家</w:t>
            </w:r>
            <w:r>
              <w:rPr>
                <w:rStyle w:val="af4"/>
                <w:rFonts w:hAnsi="宋体" w:cs="Arial" w:hint="eastAsia"/>
                <w:i w:val="0"/>
                <w:iCs w:val="0"/>
                <w:szCs w:val="21"/>
                <w:shd w:val="clear" w:color="auto" w:fill="FFFFFF"/>
              </w:rPr>
              <w:t>新型城镇化规划</w:t>
            </w:r>
            <w:r>
              <w:rPr>
                <w:rFonts w:hAnsi="宋体" w:cs="Arial" w:hint="eastAsia"/>
                <w:szCs w:val="21"/>
                <w:shd w:val="clear" w:color="auto" w:fill="FFFFFF"/>
              </w:rPr>
              <w:t>（</w:t>
            </w:r>
            <w:r>
              <w:rPr>
                <w:rFonts w:hAnsi="宋体" w:cs="Arial"/>
                <w:szCs w:val="21"/>
                <w:shd w:val="clear" w:color="auto" w:fill="FFFFFF"/>
              </w:rPr>
              <w:t>2014—2020</w:t>
            </w:r>
            <w:r>
              <w:rPr>
                <w:rFonts w:hAnsi="宋体" w:cs="Arial" w:hint="eastAsia"/>
                <w:szCs w:val="21"/>
                <w:shd w:val="clear" w:color="auto" w:fill="FFFFFF"/>
              </w:rPr>
              <w:t>年）》：</w:t>
            </w:r>
            <w:r>
              <w:rPr>
                <w:rFonts w:hAnsi="宋体"/>
                <w:szCs w:val="21"/>
              </w:rPr>
              <w:t xml:space="preserve"> </w:t>
            </w:r>
          </w:p>
        </w:tc>
      </w:tr>
      <w:tr w:rsidR="00074F3B">
        <w:tc>
          <w:tcPr>
            <w:tcW w:w="751" w:type="dxa"/>
            <w:vMerge w:val="restart"/>
          </w:tcPr>
          <w:p w:rsidR="00074F3B" w:rsidRDefault="00074F3B">
            <w:pPr>
              <w:pStyle w:val="aa"/>
              <w:ind w:firstLineChars="0" w:firstLine="0"/>
              <w:rPr>
                <w:rFonts w:hAnsi="宋体"/>
                <w:szCs w:val="21"/>
              </w:rPr>
            </w:pPr>
            <w:r>
              <w:rPr>
                <w:rFonts w:hAnsi="宋体"/>
                <w:szCs w:val="21"/>
              </w:rPr>
              <w:t>A</w:t>
            </w:r>
            <w:r>
              <w:rPr>
                <w:rFonts w:hAnsi="宋体"/>
                <w:szCs w:val="21"/>
                <w:vertAlign w:val="subscript"/>
              </w:rPr>
              <w:t>4</w:t>
            </w:r>
            <w:proofErr w:type="gramStart"/>
            <w:r>
              <w:rPr>
                <w:rFonts w:hAnsi="宋体" w:hint="eastAsia"/>
                <w:szCs w:val="21"/>
              </w:rPr>
              <w:t>公菜服务</w:t>
            </w:r>
            <w:proofErr w:type="gramEnd"/>
          </w:p>
        </w:tc>
        <w:tc>
          <w:tcPr>
            <w:tcW w:w="2466" w:type="dxa"/>
            <w:vMerge w:val="restart"/>
          </w:tcPr>
          <w:p w:rsidR="00074F3B" w:rsidRDefault="00074F3B">
            <w:pPr>
              <w:pStyle w:val="aa"/>
              <w:ind w:firstLineChars="0" w:firstLine="0"/>
              <w:rPr>
                <w:rFonts w:hAnsi="宋体"/>
                <w:szCs w:val="21"/>
              </w:rPr>
            </w:pPr>
            <w:r>
              <w:rPr>
                <w:rFonts w:hAnsi="宋体" w:hint="eastAsia"/>
                <w:szCs w:val="21"/>
              </w:rPr>
              <w:t>基础设施</w:t>
            </w:r>
          </w:p>
        </w:tc>
        <w:tc>
          <w:tcPr>
            <w:tcW w:w="2147" w:type="dxa"/>
          </w:tcPr>
          <w:p w:rsidR="00074F3B" w:rsidRDefault="00074F3B">
            <w:pPr>
              <w:pStyle w:val="aa"/>
              <w:ind w:firstLineChars="0" w:firstLine="0"/>
              <w:rPr>
                <w:rFonts w:hAnsi="宋体"/>
                <w:szCs w:val="21"/>
              </w:rPr>
            </w:pPr>
            <w:r>
              <w:rPr>
                <w:rFonts w:hAnsi="宋体" w:hint="eastAsia"/>
                <w:szCs w:val="21"/>
              </w:rPr>
              <w:t>自来水普及率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城镇有统计口径。</w:t>
            </w:r>
          </w:p>
          <w:p w:rsidR="00074F3B" w:rsidRDefault="00074F3B">
            <w:pPr>
              <w:pStyle w:val="aa"/>
              <w:ind w:firstLineChars="0" w:firstLine="0"/>
              <w:rPr>
                <w:rFonts w:hAnsi="宋体"/>
                <w:szCs w:val="21"/>
              </w:rPr>
            </w:pPr>
            <w:r>
              <w:rPr>
                <w:rFonts w:hAnsi="宋体" w:hint="eastAsia"/>
                <w:szCs w:val="21"/>
              </w:rPr>
              <w:t>关于农村，中国农村统计年鉴：自来水累计受益人口</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城乡气化率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信息化发展指数</w:t>
            </w:r>
          </w:p>
        </w:tc>
        <w:tc>
          <w:tcPr>
            <w:tcW w:w="2182" w:type="dxa"/>
          </w:tcPr>
          <w:p w:rsidR="00074F3B" w:rsidRDefault="00074F3B">
            <w:pPr>
              <w:pStyle w:val="aa"/>
              <w:ind w:firstLineChars="0" w:firstLine="0"/>
              <w:rPr>
                <w:rFonts w:hAnsi="宋体"/>
                <w:szCs w:val="21"/>
              </w:rPr>
            </w:pPr>
            <w:r>
              <w:rPr>
                <w:rFonts w:hAnsi="宋体" w:hint="eastAsia"/>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国家统计局信息化指数评价，纳入信息化</w:t>
            </w:r>
            <w:proofErr w:type="gramStart"/>
            <w:r>
              <w:rPr>
                <w:rFonts w:hAnsi="宋体" w:hint="eastAsia"/>
                <w:szCs w:val="21"/>
              </w:rPr>
              <w:t>十二五</w:t>
            </w:r>
            <w:proofErr w:type="gramEnd"/>
            <w:r>
              <w:rPr>
                <w:rFonts w:hAnsi="宋体" w:hint="eastAsia"/>
                <w:szCs w:val="21"/>
              </w:rPr>
              <w:t>发展规划</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村（社区）公共服务中心建成率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结合实际</w:t>
            </w:r>
          </w:p>
        </w:tc>
      </w:tr>
      <w:tr w:rsidR="00074F3B">
        <w:trPr>
          <w:trHeight w:val="1232"/>
        </w:trPr>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公共交通</w:t>
            </w:r>
          </w:p>
        </w:tc>
        <w:tc>
          <w:tcPr>
            <w:tcW w:w="2147" w:type="dxa"/>
          </w:tcPr>
          <w:p w:rsidR="00074F3B" w:rsidRDefault="00074F3B">
            <w:pPr>
              <w:pStyle w:val="aa"/>
              <w:rPr>
                <w:rFonts w:hAnsi="宋体"/>
                <w:szCs w:val="21"/>
              </w:rPr>
            </w:pPr>
            <w:r>
              <w:rPr>
                <w:rFonts w:hAnsi="宋体" w:hint="eastAsia"/>
                <w:szCs w:val="21"/>
              </w:rPr>
              <w:t>公共交通分担率（含公共自行车）</w:t>
            </w:r>
          </w:p>
        </w:tc>
        <w:tc>
          <w:tcPr>
            <w:tcW w:w="2182" w:type="dxa"/>
          </w:tcPr>
          <w:p w:rsidR="00074F3B" w:rsidRDefault="00074F3B">
            <w:pPr>
              <w:pStyle w:val="aa"/>
              <w:rPr>
                <w:rFonts w:hAnsi="宋体"/>
                <w:szCs w:val="21"/>
              </w:rPr>
            </w:pPr>
            <w:r>
              <w:rPr>
                <w:rFonts w:hAnsi="宋体"/>
                <w:szCs w:val="21"/>
              </w:rPr>
              <w:t>%</w:t>
            </w:r>
          </w:p>
        </w:tc>
        <w:tc>
          <w:tcPr>
            <w:tcW w:w="1640" w:type="dxa"/>
          </w:tcPr>
          <w:p w:rsidR="00074F3B" w:rsidRDefault="00074F3B">
            <w:pPr>
              <w:pStyle w:val="aa"/>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体现公共交通服务的重要指标。</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城乡公交通村率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国务院关于印发国家基本公共服务体系“十二五”规划的通知：建制村班车通达率东部</w:t>
            </w:r>
            <w:r>
              <w:rPr>
                <w:rFonts w:hAnsi="宋体"/>
                <w:szCs w:val="21"/>
              </w:rPr>
              <w:t>95%</w:t>
            </w:r>
            <w:r>
              <w:rPr>
                <w:rFonts w:hAnsi="宋体" w:hint="eastAsia"/>
                <w:szCs w:val="21"/>
              </w:rPr>
              <w:t>以上，中西部</w:t>
            </w:r>
            <w:r>
              <w:rPr>
                <w:rFonts w:hAnsi="宋体"/>
                <w:szCs w:val="21"/>
              </w:rPr>
              <w:t>90%</w:t>
            </w:r>
            <w:r>
              <w:rPr>
                <w:rFonts w:hAnsi="宋体" w:hint="eastAsia"/>
                <w:szCs w:val="21"/>
              </w:rPr>
              <w:t>以上。</w:t>
            </w:r>
          </w:p>
        </w:tc>
      </w:tr>
      <w:tr w:rsidR="00074F3B">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社会保障</w:t>
            </w:r>
          </w:p>
        </w:tc>
        <w:tc>
          <w:tcPr>
            <w:tcW w:w="2147" w:type="dxa"/>
          </w:tcPr>
          <w:p w:rsidR="00074F3B" w:rsidRDefault="00074F3B">
            <w:pPr>
              <w:pStyle w:val="aa"/>
              <w:ind w:firstLineChars="0" w:firstLine="0"/>
              <w:rPr>
                <w:rFonts w:hAnsi="宋体"/>
                <w:szCs w:val="21"/>
              </w:rPr>
            </w:pPr>
            <w:r>
              <w:rPr>
                <w:rFonts w:hAnsi="宋体" w:hint="eastAsia"/>
                <w:szCs w:val="21"/>
              </w:rPr>
              <w:t>城乡基本社会保险覆盖率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cs="宋体" w:hint="eastAsia"/>
                <w:b/>
                <w:bCs/>
                <w:color w:val="444444"/>
                <w:sz w:val="24"/>
                <w:szCs w:val="24"/>
              </w:rPr>
              <w:t>国家统计局全面建设小康社会统计监测指标体系及其计算方法。</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养老待遇平均水平</w:t>
            </w:r>
          </w:p>
        </w:tc>
        <w:tc>
          <w:tcPr>
            <w:tcW w:w="2182" w:type="dxa"/>
          </w:tcPr>
          <w:p w:rsidR="00074F3B" w:rsidRDefault="00074F3B">
            <w:pPr>
              <w:pStyle w:val="aa"/>
              <w:ind w:firstLineChars="0" w:firstLine="0"/>
              <w:rPr>
                <w:rFonts w:hAnsi="宋体"/>
                <w:szCs w:val="21"/>
              </w:rPr>
            </w:pPr>
            <w:r>
              <w:rPr>
                <w:rFonts w:hAnsi="宋体" w:hint="eastAsia"/>
                <w:szCs w:val="21"/>
              </w:rPr>
              <w:t>元</w:t>
            </w:r>
            <w:r>
              <w:rPr>
                <w:rFonts w:hAnsi="宋体"/>
                <w:szCs w:val="21"/>
              </w:rPr>
              <w:t>/</w:t>
            </w:r>
            <w:r>
              <w:rPr>
                <w:rFonts w:hAnsi="宋体" w:hint="eastAsia"/>
                <w:szCs w:val="21"/>
              </w:rPr>
              <w:t>人</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结合实际</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职工</w:t>
            </w:r>
            <w:proofErr w:type="gramStart"/>
            <w:r>
              <w:rPr>
                <w:rFonts w:hAnsi="宋体" w:hint="eastAsia"/>
                <w:szCs w:val="21"/>
              </w:rPr>
              <w:t>医</w:t>
            </w:r>
            <w:proofErr w:type="gramEnd"/>
            <w:r>
              <w:rPr>
                <w:rFonts w:hAnsi="宋体" w:hint="eastAsia"/>
                <w:szCs w:val="21"/>
              </w:rPr>
              <w:t>保与居民</w:t>
            </w:r>
            <w:proofErr w:type="gramStart"/>
            <w:r>
              <w:rPr>
                <w:rFonts w:hAnsi="宋体" w:hint="eastAsia"/>
                <w:szCs w:val="21"/>
              </w:rPr>
              <w:t>医</w:t>
            </w:r>
            <w:proofErr w:type="gramEnd"/>
            <w:r>
              <w:rPr>
                <w:rFonts w:hAnsi="宋体" w:hint="eastAsia"/>
                <w:szCs w:val="21"/>
              </w:rPr>
              <w:t>保的住院待遇差距</w:t>
            </w:r>
          </w:p>
        </w:tc>
        <w:tc>
          <w:tcPr>
            <w:tcW w:w="2182" w:type="dxa"/>
          </w:tcPr>
          <w:p w:rsidR="00074F3B" w:rsidRDefault="00074F3B">
            <w:pPr>
              <w:pStyle w:val="aa"/>
              <w:ind w:firstLineChars="0" w:firstLine="0"/>
              <w:rPr>
                <w:rFonts w:hAnsi="宋体"/>
                <w:szCs w:val="21"/>
              </w:rPr>
            </w:pPr>
            <w:r>
              <w:rPr>
                <w:rFonts w:hAnsi="宋体" w:hint="eastAsia"/>
                <w:szCs w:val="21"/>
              </w:rPr>
              <w:t>－</w:t>
            </w:r>
          </w:p>
        </w:tc>
        <w:tc>
          <w:tcPr>
            <w:tcW w:w="1640" w:type="dxa"/>
          </w:tcPr>
          <w:p w:rsidR="00074F3B" w:rsidRDefault="00074F3B">
            <w:pPr>
              <w:pStyle w:val="aa"/>
              <w:ind w:firstLineChars="0" w:firstLine="0"/>
              <w:rPr>
                <w:rFonts w:hAnsi="宋体"/>
                <w:szCs w:val="21"/>
              </w:rPr>
            </w:pPr>
            <w:r>
              <w:rPr>
                <w:rFonts w:hAnsi="宋体" w:hint="eastAsia"/>
                <w:szCs w:val="21"/>
              </w:rPr>
              <w:t>逆向指标</w:t>
            </w:r>
          </w:p>
        </w:tc>
        <w:tc>
          <w:tcPr>
            <w:tcW w:w="3667" w:type="dxa"/>
          </w:tcPr>
          <w:p w:rsidR="00074F3B" w:rsidRDefault="00074F3B">
            <w:pPr>
              <w:pStyle w:val="aa"/>
              <w:ind w:firstLineChars="0" w:firstLine="0"/>
              <w:rPr>
                <w:rFonts w:hAnsi="宋体"/>
                <w:szCs w:val="21"/>
              </w:rPr>
            </w:pPr>
            <w:r>
              <w:rPr>
                <w:rFonts w:hAnsi="宋体" w:hint="eastAsia"/>
                <w:szCs w:val="21"/>
              </w:rPr>
              <w:t>结合实际</w:t>
            </w:r>
          </w:p>
        </w:tc>
      </w:tr>
      <w:tr w:rsidR="00074F3B">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公共教育</w:t>
            </w:r>
          </w:p>
        </w:tc>
        <w:tc>
          <w:tcPr>
            <w:tcW w:w="2147" w:type="dxa"/>
          </w:tcPr>
          <w:p w:rsidR="00074F3B" w:rsidRDefault="00074F3B">
            <w:pPr>
              <w:pStyle w:val="aa"/>
              <w:ind w:firstLineChars="0" w:firstLine="0"/>
              <w:rPr>
                <w:rFonts w:hAnsi="宋体"/>
                <w:szCs w:val="21"/>
              </w:rPr>
            </w:pPr>
            <w:r>
              <w:rPr>
                <w:rFonts w:hAnsi="宋体" w:hint="eastAsia"/>
                <w:szCs w:val="21"/>
              </w:rPr>
              <w:t>义务教育综合均衡差异系数</w:t>
            </w:r>
          </w:p>
        </w:tc>
        <w:tc>
          <w:tcPr>
            <w:tcW w:w="2182" w:type="dxa"/>
          </w:tcPr>
          <w:p w:rsidR="00074F3B" w:rsidRDefault="00074F3B">
            <w:pPr>
              <w:pStyle w:val="aa"/>
              <w:ind w:firstLineChars="0" w:firstLine="0"/>
              <w:rPr>
                <w:rFonts w:hAnsi="宋体"/>
                <w:szCs w:val="21"/>
              </w:rPr>
            </w:pPr>
            <w:r>
              <w:rPr>
                <w:rFonts w:hAnsi="宋体" w:hint="eastAsia"/>
                <w:szCs w:val="21"/>
              </w:rPr>
              <w:t>－</w:t>
            </w:r>
          </w:p>
        </w:tc>
        <w:tc>
          <w:tcPr>
            <w:tcW w:w="1640" w:type="dxa"/>
          </w:tcPr>
          <w:p w:rsidR="00074F3B" w:rsidRDefault="00074F3B">
            <w:pPr>
              <w:pStyle w:val="aa"/>
              <w:ind w:firstLineChars="0" w:firstLine="0"/>
              <w:rPr>
                <w:rFonts w:hAnsi="宋体"/>
                <w:szCs w:val="21"/>
              </w:rPr>
            </w:pPr>
            <w:r>
              <w:rPr>
                <w:rFonts w:hAnsi="宋体" w:hint="eastAsia"/>
                <w:szCs w:val="21"/>
              </w:rPr>
              <w:t>逆向指标</w:t>
            </w:r>
          </w:p>
        </w:tc>
        <w:tc>
          <w:tcPr>
            <w:tcW w:w="3667" w:type="dxa"/>
          </w:tcPr>
          <w:p w:rsidR="00074F3B" w:rsidRDefault="00074F3B">
            <w:pPr>
              <w:pStyle w:val="aa"/>
              <w:ind w:firstLineChars="0" w:firstLine="0"/>
              <w:rPr>
                <w:rFonts w:hAnsi="宋体"/>
                <w:szCs w:val="21"/>
              </w:rPr>
            </w:pPr>
            <w:r>
              <w:rPr>
                <w:rFonts w:hint="eastAsia"/>
              </w:rPr>
              <w:t>教育部《县域义务教育均衡发展督导评估暂行办法》</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农民工随迁子女接受义务教育比例</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cs="Arial" w:hint="eastAsia"/>
                <w:szCs w:val="21"/>
                <w:shd w:val="clear" w:color="auto" w:fill="FFFFFF"/>
              </w:rPr>
              <w:t>《国家</w:t>
            </w:r>
            <w:r>
              <w:rPr>
                <w:rStyle w:val="af4"/>
                <w:rFonts w:hAnsi="宋体" w:cs="Arial" w:hint="eastAsia"/>
                <w:i w:val="0"/>
                <w:iCs w:val="0"/>
                <w:szCs w:val="21"/>
                <w:shd w:val="clear" w:color="auto" w:fill="FFFFFF"/>
              </w:rPr>
              <w:t>新型城镇化规划</w:t>
            </w:r>
            <w:r>
              <w:rPr>
                <w:rFonts w:hAnsi="宋体" w:cs="Arial" w:hint="eastAsia"/>
                <w:szCs w:val="21"/>
                <w:shd w:val="clear" w:color="auto" w:fill="FFFFFF"/>
              </w:rPr>
              <w:t>（</w:t>
            </w:r>
            <w:r>
              <w:rPr>
                <w:rFonts w:hAnsi="宋体" w:cs="Arial"/>
                <w:szCs w:val="21"/>
                <w:shd w:val="clear" w:color="auto" w:fill="FFFFFF"/>
              </w:rPr>
              <w:t>2014—2020</w:t>
            </w:r>
            <w:r>
              <w:rPr>
                <w:rFonts w:hAnsi="宋体" w:cs="Arial" w:hint="eastAsia"/>
                <w:szCs w:val="21"/>
                <w:shd w:val="clear" w:color="auto" w:fill="FFFFFF"/>
              </w:rPr>
              <w:t>年）》：农民工随迁子女受义务教育</w:t>
            </w:r>
          </w:p>
        </w:tc>
      </w:tr>
      <w:tr w:rsidR="00074F3B">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就业</w:t>
            </w:r>
          </w:p>
        </w:tc>
        <w:tc>
          <w:tcPr>
            <w:tcW w:w="2147" w:type="dxa"/>
          </w:tcPr>
          <w:p w:rsidR="00074F3B" w:rsidRDefault="00074F3B">
            <w:pPr>
              <w:pStyle w:val="aa"/>
              <w:ind w:firstLineChars="0" w:firstLine="0"/>
              <w:rPr>
                <w:rFonts w:hAnsi="宋体"/>
                <w:szCs w:val="21"/>
              </w:rPr>
            </w:pPr>
            <w:r>
              <w:rPr>
                <w:rFonts w:hAnsi="宋体" w:hint="eastAsia"/>
                <w:szCs w:val="21"/>
              </w:rPr>
              <w:t>城镇登记失业率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逆向指标</w:t>
            </w:r>
          </w:p>
        </w:tc>
        <w:tc>
          <w:tcPr>
            <w:tcW w:w="3667" w:type="dxa"/>
          </w:tcPr>
          <w:p w:rsidR="00074F3B" w:rsidRDefault="00074F3B">
            <w:pPr>
              <w:pStyle w:val="aa"/>
              <w:ind w:firstLineChars="0" w:firstLine="0"/>
              <w:rPr>
                <w:rFonts w:hAnsi="宋体"/>
                <w:szCs w:val="21"/>
              </w:rPr>
            </w:pPr>
            <w:r>
              <w:rPr>
                <w:rFonts w:hAnsi="宋体" w:hint="eastAsia"/>
                <w:szCs w:val="21"/>
              </w:rPr>
              <w:t>有统计口径。</w:t>
            </w:r>
            <w:hyperlink r:id="rId10" w:tgtFrame="_blank" w:history="1">
              <w:r>
                <w:rPr>
                  <w:rFonts w:hint="eastAsia"/>
                  <w:color w:val="333333"/>
                </w:rPr>
                <w:t>失业率</w:t>
              </w:r>
            </w:hyperlink>
            <w:r>
              <w:rPr>
                <w:rFonts w:ascii="Arial" w:hAnsi="Arial" w:cs="Arial" w:hint="eastAsia"/>
                <w:color w:val="333333"/>
                <w:szCs w:val="21"/>
                <w:shd w:val="clear" w:color="auto" w:fill="FFFFFF"/>
              </w:rPr>
              <w:t>是评价一个国家或地区就业状况的主要指标。</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就地就业率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结合实际</w:t>
            </w:r>
          </w:p>
        </w:tc>
      </w:tr>
      <w:tr w:rsidR="00074F3B">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文化体育</w:t>
            </w:r>
          </w:p>
        </w:tc>
        <w:tc>
          <w:tcPr>
            <w:tcW w:w="2147" w:type="dxa"/>
          </w:tcPr>
          <w:p w:rsidR="00074F3B" w:rsidRDefault="00074F3B">
            <w:pPr>
              <w:pStyle w:val="aa"/>
              <w:ind w:firstLineChars="0" w:firstLine="0"/>
              <w:rPr>
                <w:rFonts w:hAnsi="宋体"/>
                <w:szCs w:val="21"/>
              </w:rPr>
            </w:pPr>
            <w:r>
              <w:rPr>
                <w:rFonts w:hAnsi="宋体" w:hint="eastAsia"/>
                <w:szCs w:val="21"/>
              </w:rPr>
              <w:t>人均拥有公共图书馆藏书量</w:t>
            </w:r>
          </w:p>
        </w:tc>
        <w:tc>
          <w:tcPr>
            <w:tcW w:w="2182" w:type="dxa"/>
          </w:tcPr>
          <w:p w:rsidR="00074F3B" w:rsidRDefault="00074F3B">
            <w:pPr>
              <w:pStyle w:val="aa"/>
              <w:ind w:firstLineChars="0" w:firstLine="0"/>
              <w:rPr>
                <w:rFonts w:hAnsi="宋体"/>
                <w:szCs w:val="21"/>
              </w:rPr>
            </w:pPr>
            <w:r>
              <w:rPr>
                <w:rFonts w:hAnsi="宋体" w:hint="eastAsia"/>
                <w:szCs w:val="21"/>
              </w:rPr>
              <w:t>册</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参考国际图联和联合国教科文组织推荐的人均</w:t>
            </w:r>
            <w:r>
              <w:rPr>
                <w:rFonts w:hAnsi="宋体"/>
                <w:szCs w:val="21"/>
              </w:rPr>
              <w:t>1.5</w:t>
            </w:r>
            <w:r>
              <w:rPr>
                <w:rFonts w:hAnsi="宋体" w:hint="eastAsia"/>
                <w:szCs w:val="21"/>
              </w:rPr>
              <w:t>至</w:t>
            </w:r>
            <w:r>
              <w:rPr>
                <w:rFonts w:hAnsi="宋体"/>
                <w:szCs w:val="21"/>
              </w:rPr>
              <w:t>2.5</w:t>
            </w:r>
            <w:r>
              <w:rPr>
                <w:rFonts w:hAnsi="宋体" w:hint="eastAsia"/>
                <w:szCs w:val="21"/>
              </w:rPr>
              <w:t>册</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人均公共文化体育设施面积</w:t>
            </w:r>
          </w:p>
        </w:tc>
        <w:tc>
          <w:tcPr>
            <w:tcW w:w="2182" w:type="dxa"/>
          </w:tcPr>
          <w:p w:rsidR="00074F3B" w:rsidRDefault="00074F3B">
            <w:pPr>
              <w:pStyle w:val="aa"/>
              <w:ind w:firstLineChars="0" w:firstLine="0"/>
              <w:rPr>
                <w:rFonts w:hAnsi="宋体"/>
                <w:szCs w:val="21"/>
              </w:rPr>
            </w:pPr>
            <w:r>
              <w:rPr>
                <w:rFonts w:hAnsi="宋体" w:hint="eastAsia"/>
                <w:szCs w:val="21"/>
              </w:rPr>
              <w:t>平方米</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深圳基层公共文体设施规划和建设标准指导意见、山西、江苏、湖南（《人均拥有公共文化体育设施面积指标巩固方案》）等多地都将该指标作为公共文化体育设施配备的相关指标项。</w:t>
            </w:r>
          </w:p>
        </w:tc>
      </w:tr>
      <w:tr w:rsidR="00074F3B">
        <w:tc>
          <w:tcPr>
            <w:tcW w:w="751" w:type="dxa"/>
            <w:vMerge/>
          </w:tcPr>
          <w:p w:rsidR="00074F3B" w:rsidRDefault="00074F3B">
            <w:pPr>
              <w:pStyle w:val="aa"/>
              <w:ind w:firstLineChars="0" w:firstLine="0"/>
              <w:rPr>
                <w:rFonts w:hAnsi="宋体"/>
                <w:szCs w:val="21"/>
              </w:rPr>
            </w:pPr>
          </w:p>
        </w:tc>
        <w:tc>
          <w:tcPr>
            <w:tcW w:w="2466" w:type="dxa"/>
            <w:vMerge w:val="restart"/>
          </w:tcPr>
          <w:p w:rsidR="00074F3B" w:rsidRDefault="00074F3B">
            <w:pPr>
              <w:pStyle w:val="aa"/>
              <w:ind w:firstLineChars="0" w:firstLine="0"/>
              <w:rPr>
                <w:rFonts w:hAnsi="宋体"/>
                <w:szCs w:val="21"/>
              </w:rPr>
            </w:pPr>
            <w:r>
              <w:rPr>
                <w:rFonts w:hAnsi="宋体" w:hint="eastAsia"/>
                <w:szCs w:val="21"/>
              </w:rPr>
              <w:t>公共医疗</w:t>
            </w:r>
          </w:p>
        </w:tc>
        <w:tc>
          <w:tcPr>
            <w:tcW w:w="2147" w:type="dxa"/>
          </w:tcPr>
          <w:p w:rsidR="00074F3B" w:rsidRDefault="00074F3B">
            <w:pPr>
              <w:pStyle w:val="aa"/>
              <w:ind w:firstLineChars="0" w:firstLine="0"/>
              <w:rPr>
                <w:rFonts w:hAnsi="宋体"/>
                <w:szCs w:val="21"/>
              </w:rPr>
            </w:pPr>
            <w:r>
              <w:rPr>
                <w:rFonts w:hAnsi="宋体" w:hint="eastAsia"/>
                <w:szCs w:val="21"/>
              </w:rPr>
              <w:t>千人拥有医生数</w:t>
            </w:r>
          </w:p>
        </w:tc>
        <w:tc>
          <w:tcPr>
            <w:tcW w:w="2182" w:type="dxa"/>
          </w:tcPr>
          <w:p w:rsidR="00074F3B" w:rsidRDefault="00074F3B">
            <w:pPr>
              <w:pStyle w:val="aa"/>
              <w:ind w:firstLineChars="0" w:firstLine="0"/>
              <w:rPr>
                <w:rFonts w:hAnsi="宋体"/>
                <w:szCs w:val="21"/>
              </w:rPr>
            </w:pPr>
            <w:r>
              <w:rPr>
                <w:rFonts w:hAnsi="宋体" w:hint="eastAsia"/>
                <w:szCs w:val="21"/>
              </w:rPr>
              <w:t>人</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参考</w:t>
            </w:r>
            <w:r>
              <w:rPr>
                <w:rFonts w:hAnsi="宋体"/>
                <w:szCs w:val="21"/>
              </w:rPr>
              <w:t>WHO</w:t>
            </w:r>
            <w:r>
              <w:rPr>
                <w:rFonts w:hAnsi="宋体" w:hint="eastAsia"/>
                <w:szCs w:val="21"/>
              </w:rPr>
              <w:t>在</w:t>
            </w:r>
            <w:r>
              <w:rPr>
                <w:rFonts w:hAnsi="宋体"/>
                <w:szCs w:val="21"/>
              </w:rPr>
              <w:t>2000</w:t>
            </w:r>
            <w:r>
              <w:rPr>
                <w:rFonts w:hAnsi="宋体" w:hint="eastAsia"/>
                <w:szCs w:val="21"/>
              </w:rPr>
              <w:t>年提出要实现全球每千人口医生数为</w:t>
            </w:r>
            <w:r>
              <w:rPr>
                <w:rFonts w:hAnsi="宋体"/>
                <w:szCs w:val="21"/>
              </w:rPr>
              <w:t>1</w:t>
            </w:r>
            <w:r>
              <w:rPr>
                <w:rFonts w:hAnsi="宋体" w:hint="eastAsia"/>
                <w:szCs w:val="21"/>
              </w:rPr>
              <w:t>人的目标，统计局建制镇统计年鉴卫生方面的其中一项指标。</w:t>
            </w:r>
            <w:r>
              <w:rPr>
                <w:rFonts w:hAnsi="宋体"/>
                <w:szCs w:val="21"/>
              </w:rPr>
              <w:t>2013</w:t>
            </w:r>
            <w:r>
              <w:rPr>
                <w:rFonts w:hAnsi="宋体" w:hint="eastAsia"/>
                <w:szCs w:val="21"/>
              </w:rPr>
              <w:t>年浙江省总体水平为</w:t>
            </w:r>
            <w:r>
              <w:rPr>
                <w:rFonts w:hAnsi="宋体"/>
                <w:szCs w:val="21"/>
              </w:rPr>
              <w:t>2.52</w:t>
            </w:r>
            <w:r>
              <w:rPr>
                <w:rFonts w:hAnsi="宋体" w:hint="eastAsia"/>
                <w:szCs w:val="21"/>
              </w:rPr>
              <w:t>，嘉兴市为</w:t>
            </w:r>
            <w:r>
              <w:rPr>
                <w:rFonts w:hAnsi="宋体"/>
                <w:szCs w:val="21"/>
              </w:rPr>
              <w:t>1.94</w:t>
            </w:r>
            <w:r>
              <w:rPr>
                <w:rFonts w:hAnsi="宋体" w:hint="eastAsia"/>
                <w:szCs w:val="21"/>
              </w:rPr>
              <w:t>。</w:t>
            </w:r>
            <w:r>
              <w:rPr>
                <w:rFonts w:hAnsi="宋体"/>
                <w:szCs w:val="21"/>
              </w:rPr>
              <w:t xml:space="preserve"> </w:t>
            </w:r>
            <w:r>
              <w:rPr>
                <w:rFonts w:hAnsi="宋体" w:hint="eastAsia"/>
                <w:szCs w:val="21"/>
              </w:rPr>
              <w:t>江苏基本实现现代化指标</w:t>
            </w:r>
            <w:proofErr w:type="gramStart"/>
            <w:r>
              <w:rPr>
                <w:rFonts w:hAnsi="宋体" w:hint="eastAsia"/>
                <w:szCs w:val="21"/>
              </w:rPr>
              <w:t>体</w:t>
            </w:r>
            <w:proofErr w:type="gramEnd"/>
            <w:r>
              <w:rPr>
                <w:rFonts w:hAnsi="宋体" w:hint="eastAsia"/>
                <w:szCs w:val="21"/>
              </w:rPr>
              <w:t>体系</w:t>
            </w:r>
            <w:r>
              <w:rPr>
                <w:rFonts w:hAnsi="宋体"/>
                <w:szCs w:val="21"/>
              </w:rPr>
              <w:t>2.3</w:t>
            </w:r>
            <w:r>
              <w:rPr>
                <w:rFonts w:hAnsi="宋体" w:hint="eastAsia"/>
                <w:szCs w:val="21"/>
              </w:rPr>
              <w:t>，结合海盐实际，确定目标值。</w:t>
            </w:r>
          </w:p>
        </w:tc>
      </w:tr>
      <w:tr w:rsidR="00074F3B">
        <w:tc>
          <w:tcPr>
            <w:tcW w:w="751" w:type="dxa"/>
            <w:vMerge/>
          </w:tcPr>
          <w:p w:rsidR="00074F3B" w:rsidRDefault="00074F3B">
            <w:pPr>
              <w:pStyle w:val="aa"/>
              <w:ind w:firstLineChars="0" w:firstLine="0"/>
              <w:rPr>
                <w:rFonts w:hAnsi="宋体"/>
                <w:szCs w:val="21"/>
              </w:rPr>
            </w:pPr>
          </w:p>
        </w:tc>
        <w:tc>
          <w:tcPr>
            <w:tcW w:w="2466" w:type="dxa"/>
            <w:vMerge/>
          </w:tcPr>
          <w:p w:rsidR="00074F3B" w:rsidRDefault="00074F3B">
            <w:pPr>
              <w:pStyle w:val="aa"/>
              <w:ind w:firstLineChars="0" w:firstLine="0"/>
              <w:rPr>
                <w:rFonts w:hAnsi="宋体"/>
                <w:szCs w:val="21"/>
              </w:rPr>
            </w:pPr>
          </w:p>
        </w:tc>
        <w:tc>
          <w:tcPr>
            <w:tcW w:w="2147" w:type="dxa"/>
          </w:tcPr>
          <w:p w:rsidR="00074F3B" w:rsidRDefault="00074F3B">
            <w:pPr>
              <w:pStyle w:val="aa"/>
              <w:ind w:firstLineChars="0" w:firstLine="0"/>
              <w:rPr>
                <w:rFonts w:hAnsi="宋体"/>
                <w:szCs w:val="21"/>
              </w:rPr>
            </w:pPr>
            <w:r>
              <w:rPr>
                <w:rFonts w:hAnsi="宋体" w:hint="eastAsia"/>
                <w:szCs w:val="21"/>
              </w:rPr>
              <w:t>县域内就诊率</w:t>
            </w:r>
          </w:p>
        </w:tc>
        <w:tc>
          <w:tcPr>
            <w:tcW w:w="2182" w:type="dxa"/>
          </w:tcPr>
          <w:p w:rsidR="00074F3B" w:rsidRDefault="00074F3B">
            <w:pPr>
              <w:pStyle w:val="aa"/>
              <w:ind w:firstLineChars="0" w:firstLine="0"/>
              <w:rPr>
                <w:rFonts w:hAnsi="宋体"/>
                <w:szCs w:val="21"/>
              </w:rPr>
            </w:pPr>
            <w:r>
              <w:rPr>
                <w:rFonts w:hAnsi="宋体"/>
                <w:szCs w:val="21"/>
              </w:rPr>
              <w:t>%</w:t>
            </w:r>
          </w:p>
        </w:tc>
        <w:tc>
          <w:tcPr>
            <w:tcW w:w="1640" w:type="dxa"/>
          </w:tcPr>
          <w:p w:rsidR="00074F3B" w:rsidRDefault="00074F3B">
            <w:pPr>
              <w:pStyle w:val="aa"/>
              <w:ind w:firstLineChars="0" w:firstLine="0"/>
              <w:rPr>
                <w:rFonts w:hAnsi="宋体"/>
                <w:szCs w:val="21"/>
              </w:rPr>
            </w:pPr>
            <w:r>
              <w:rPr>
                <w:rFonts w:hAnsi="宋体" w:hint="eastAsia"/>
                <w:szCs w:val="21"/>
              </w:rPr>
              <w:t>正向指标</w:t>
            </w:r>
          </w:p>
        </w:tc>
        <w:tc>
          <w:tcPr>
            <w:tcW w:w="3667" w:type="dxa"/>
          </w:tcPr>
          <w:p w:rsidR="00074F3B" w:rsidRDefault="00074F3B">
            <w:pPr>
              <w:pStyle w:val="aa"/>
              <w:ind w:firstLineChars="0" w:firstLine="0"/>
              <w:rPr>
                <w:rFonts w:hAnsi="宋体"/>
                <w:szCs w:val="21"/>
              </w:rPr>
            </w:pPr>
            <w:r>
              <w:rPr>
                <w:rFonts w:hAnsi="宋体" w:hint="eastAsia"/>
                <w:szCs w:val="21"/>
              </w:rPr>
              <w:t>参考文献，结合实际</w:t>
            </w:r>
          </w:p>
        </w:tc>
      </w:tr>
    </w:tbl>
    <w:p w:rsidR="00074F3B" w:rsidRDefault="00074F3B">
      <w:pPr>
        <w:spacing w:line="360" w:lineRule="auto"/>
        <w:ind w:firstLine="480"/>
        <w:rPr>
          <w:rFonts w:ascii="宋体"/>
          <w:color w:val="000000"/>
          <w:kern w:val="0"/>
          <w:sz w:val="24"/>
          <w:szCs w:val="24"/>
        </w:rPr>
        <w:sectPr w:rsidR="00074F3B">
          <w:pgSz w:w="16838" w:h="11906" w:orient="landscape"/>
          <w:pgMar w:top="1800" w:right="1440" w:bottom="1800" w:left="1440" w:header="851" w:footer="992" w:gutter="0"/>
          <w:cols w:space="720"/>
          <w:docGrid w:type="lines" w:linePitch="312"/>
        </w:sectPr>
      </w:pPr>
    </w:p>
    <w:p w:rsidR="00074F3B" w:rsidRDefault="00074F3B">
      <w:pPr>
        <w:spacing w:line="360" w:lineRule="auto"/>
        <w:ind w:firstLine="495"/>
        <w:rPr>
          <w:rFonts w:ascii="宋体"/>
          <w:color w:val="000000"/>
          <w:sz w:val="24"/>
          <w:szCs w:val="24"/>
        </w:rPr>
      </w:pPr>
      <w:r>
        <w:rPr>
          <w:rFonts w:ascii="宋体" w:hAnsi="宋体"/>
          <w:color w:val="000000"/>
          <w:sz w:val="24"/>
          <w:szCs w:val="24"/>
        </w:rPr>
        <w:lastRenderedPageBreak/>
        <w:t>5</w:t>
      </w:r>
      <w:r>
        <w:rPr>
          <w:rFonts w:ascii="宋体" w:hAnsi="宋体" w:hint="eastAsia"/>
          <w:color w:val="000000"/>
          <w:sz w:val="24"/>
          <w:szCs w:val="24"/>
        </w:rPr>
        <w:t>、评价实施要求</w:t>
      </w:r>
    </w:p>
    <w:p w:rsidR="00074F3B" w:rsidRDefault="00074F3B">
      <w:pPr>
        <w:spacing w:line="360" w:lineRule="auto"/>
        <w:ind w:firstLine="480"/>
        <w:rPr>
          <w:rFonts w:ascii="宋体"/>
          <w:color w:val="000000"/>
          <w:kern w:val="0"/>
          <w:sz w:val="24"/>
          <w:szCs w:val="24"/>
        </w:rPr>
      </w:pPr>
      <w:r>
        <w:rPr>
          <w:rFonts w:ascii="宋体" w:hAnsi="宋体"/>
          <w:color w:val="000000"/>
          <w:kern w:val="0"/>
          <w:sz w:val="24"/>
          <w:szCs w:val="24"/>
        </w:rPr>
        <w:t xml:space="preserve">    </w:t>
      </w:r>
      <w:r>
        <w:rPr>
          <w:rFonts w:ascii="宋体" w:hAnsi="宋体" w:hint="eastAsia"/>
          <w:color w:val="000000"/>
          <w:kern w:val="0"/>
          <w:sz w:val="24"/>
          <w:szCs w:val="24"/>
        </w:rPr>
        <w:t>考虑到地区的差异性和时空的变动，及标准的可操作性，不宜在全国层面统一确定权重及综合评价结果的计算方法。因此标准中只给出指标体系框架，为各地区开展就地城镇化提供方向化指导。</w:t>
      </w:r>
    </w:p>
    <w:p w:rsidR="00074F3B" w:rsidRDefault="00074F3B">
      <w:pPr>
        <w:numPr>
          <w:ilvl w:val="0"/>
          <w:numId w:val="2"/>
        </w:numPr>
        <w:spacing w:line="360" w:lineRule="auto"/>
        <w:jc w:val="left"/>
        <w:rPr>
          <w:b/>
          <w:sz w:val="30"/>
          <w:szCs w:val="30"/>
        </w:rPr>
      </w:pPr>
      <w:r>
        <w:rPr>
          <w:rFonts w:hint="eastAsia"/>
          <w:b/>
          <w:sz w:val="30"/>
          <w:szCs w:val="30"/>
        </w:rPr>
        <w:t>预期的社会经济效益及贯彻实施标准的要求、措施等建议</w:t>
      </w:r>
    </w:p>
    <w:p w:rsidR="00074F3B" w:rsidRDefault="00074F3B">
      <w:pPr>
        <w:spacing w:line="360" w:lineRule="auto"/>
        <w:ind w:firstLine="495"/>
        <w:rPr>
          <w:rFonts w:ascii="宋体"/>
          <w:color w:val="000000"/>
          <w:sz w:val="24"/>
          <w:szCs w:val="24"/>
        </w:rPr>
      </w:pPr>
      <w:r>
        <w:rPr>
          <w:rFonts w:ascii="宋体" w:hAnsi="宋体" w:hint="eastAsia"/>
          <w:color w:val="000000"/>
          <w:sz w:val="24"/>
          <w:szCs w:val="24"/>
        </w:rPr>
        <w:t>就地城镇</w:t>
      </w:r>
      <w:proofErr w:type="gramStart"/>
      <w:r>
        <w:rPr>
          <w:rFonts w:ascii="宋体" w:hAnsi="宋体" w:hint="eastAsia"/>
          <w:color w:val="000000"/>
          <w:sz w:val="24"/>
          <w:szCs w:val="24"/>
        </w:rPr>
        <w:t>化评价</w:t>
      </w:r>
      <w:proofErr w:type="gramEnd"/>
      <w:r>
        <w:rPr>
          <w:rFonts w:ascii="宋体" w:hAnsi="宋体" w:hint="eastAsia"/>
          <w:color w:val="000000"/>
          <w:sz w:val="24"/>
          <w:szCs w:val="24"/>
        </w:rPr>
        <w:t>指标体系标准在总结海盐县、海南、福建等就地城镇化发展路径的基础上，提炼出相关的特征指标，标准的实施与应用为县域就地城镇化发展水平和质量</w:t>
      </w:r>
      <w:proofErr w:type="gramStart"/>
      <w:r>
        <w:rPr>
          <w:rFonts w:ascii="宋体" w:hAnsi="宋体" w:hint="eastAsia"/>
          <w:color w:val="000000"/>
          <w:sz w:val="24"/>
          <w:szCs w:val="24"/>
        </w:rPr>
        <w:t>作出</w:t>
      </w:r>
      <w:proofErr w:type="gramEnd"/>
      <w:r>
        <w:rPr>
          <w:rFonts w:ascii="宋体" w:hAnsi="宋体" w:hint="eastAsia"/>
          <w:color w:val="000000"/>
          <w:sz w:val="24"/>
          <w:szCs w:val="24"/>
        </w:rPr>
        <w:t>量化评价奠定基础，同时为地方开展就地城镇化建设指明了方向。在标准实施过程中，应加强标准的宣贯和标准使用的技术指导，并在实践中不断优化评价指标体系。</w:t>
      </w:r>
    </w:p>
    <w:p w:rsidR="00074F3B" w:rsidRDefault="00074F3B">
      <w:pPr>
        <w:numPr>
          <w:ilvl w:val="0"/>
          <w:numId w:val="2"/>
        </w:numPr>
        <w:spacing w:line="360" w:lineRule="auto"/>
        <w:jc w:val="left"/>
        <w:rPr>
          <w:b/>
          <w:sz w:val="30"/>
          <w:szCs w:val="30"/>
        </w:rPr>
      </w:pPr>
      <w:r>
        <w:rPr>
          <w:rFonts w:hint="eastAsia"/>
          <w:b/>
          <w:sz w:val="30"/>
          <w:szCs w:val="30"/>
        </w:rPr>
        <w:t>其他应当说明的事项</w:t>
      </w:r>
    </w:p>
    <w:p w:rsidR="00074F3B" w:rsidRDefault="00074F3B">
      <w:pPr>
        <w:spacing w:line="360" w:lineRule="auto"/>
        <w:ind w:firstLineChars="177" w:firstLine="425"/>
        <w:rPr>
          <w:rFonts w:ascii="宋体"/>
          <w:color w:val="000000"/>
          <w:sz w:val="24"/>
          <w:szCs w:val="24"/>
        </w:rPr>
      </w:pPr>
      <w:r>
        <w:rPr>
          <w:rFonts w:ascii="宋体" w:hAnsi="宋体" w:hint="eastAsia"/>
          <w:color w:val="000000"/>
          <w:sz w:val="24"/>
          <w:szCs w:val="24"/>
        </w:rPr>
        <w:t>无。</w:t>
      </w:r>
    </w:p>
    <w:sectPr w:rsidR="00074F3B" w:rsidSect="0030002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E1" w:rsidRDefault="008300E1">
      <w:pPr>
        <w:rPr>
          <w:sz w:val="24"/>
          <w:szCs w:val="21"/>
        </w:rPr>
      </w:pPr>
      <w:r>
        <w:separator/>
      </w:r>
    </w:p>
  </w:endnote>
  <w:endnote w:type="continuationSeparator" w:id="0">
    <w:p w:rsidR="008300E1" w:rsidRDefault="008300E1">
      <w:pPr>
        <w:rPr>
          <w:sz w:val="24"/>
          <w:szCs w:val="21"/>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3B" w:rsidRDefault="0075006A">
    <w:pPr>
      <w:pStyle w:val="a6"/>
      <w:jc w:val="center"/>
    </w:pPr>
    <w:fldSimple w:instr=" PAGE   \* MERGEFORMAT ">
      <w:r w:rsidR="00AE4904" w:rsidRPr="00AE4904">
        <w:rPr>
          <w:noProof/>
          <w:lang w:val="zh-CN"/>
        </w:rPr>
        <w:t>12</w:t>
      </w:r>
    </w:fldSimple>
  </w:p>
  <w:p w:rsidR="00074F3B" w:rsidRDefault="00074F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E1" w:rsidRDefault="008300E1">
      <w:pPr>
        <w:rPr>
          <w:sz w:val="24"/>
          <w:szCs w:val="21"/>
        </w:rPr>
      </w:pPr>
      <w:r>
        <w:separator/>
      </w:r>
    </w:p>
  </w:footnote>
  <w:footnote w:type="continuationSeparator" w:id="0">
    <w:p w:rsidR="008300E1" w:rsidRDefault="008300E1">
      <w:pPr>
        <w:rPr>
          <w:sz w:val="24"/>
          <w:szCs w:val="21"/>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72E8"/>
    <w:multiLevelType w:val="hybridMultilevel"/>
    <w:tmpl w:val="5BB214DA"/>
    <w:lvl w:ilvl="0" w:tplc="87F08658">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pPr>
        <w:ind w:left="71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426"/>
      </w:pPr>
      <w:rPr>
        <w:rFonts w:ascii="黑体" w:eastAsia="黑体" w:hAnsi="Times New Roman" w:cs="Times New Roman" w:hint="eastAsia"/>
        <w:b w:val="0"/>
        <w:i w:val="0"/>
        <w:sz w:val="21"/>
      </w:rPr>
    </w:lvl>
    <w:lvl w:ilvl="3">
      <w:start w:val="1"/>
      <w:numFmt w:val="decimal"/>
      <w:suff w:val="nothing"/>
      <w:lvlText w:val="%1.%2.%3.%4　"/>
      <w:lvlJc w:val="left"/>
      <w:pPr>
        <w:ind w:left="71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nsid w:val="53CC6D15"/>
    <w:multiLevelType w:val="singleLevel"/>
    <w:tmpl w:val="53CC6D15"/>
    <w:lvl w:ilvl="0">
      <w:start w:val="1"/>
      <w:numFmt w:val="chineseCounting"/>
      <w:suff w:val="nothing"/>
      <w:lvlText w:val="%1、"/>
      <w:lvlJc w:val="left"/>
      <w:rPr>
        <w:rFonts w:cs="Times New Roman"/>
      </w:rPr>
    </w:lvl>
  </w:abstractNum>
  <w:abstractNum w:abstractNumId="3">
    <w:nsid w:val="53CC8F12"/>
    <w:multiLevelType w:val="singleLevel"/>
    <w:tmpl w:val="53CC8F12"/>
    <w:lvl w:ilvl="0">
      <w:start w:val="2"/>
      <w:numFmt w:val="chineseCounting"/>
      <w:suff w:val="nothing"/>
      <w:lvlText w:val="%1、"/>
      <w:lvlJc w:val="left"/>
      <w:rPr>
        <w:rFonts w:cs="Times New Roman"/>
      </w:rPr>
    </w:lvl>
  </w:abstractNum>
  <w:abstractNum w:abstractNumId="4">
    <w:nsid w:val="53CC8F66"/>
    <w:multiLevelType w:val="singleLevel"/>
    <w:tmpl w:val="53CC8F66"/>
    <w:lvl w:ilvl="0">
      <w:start w:val="1"/>
      <w:numFmt w:val="chineseCounting"/>
      <w:suff w:val="nothing"/>
      <w:lvlText w:val="（%1）"/>
      <w:lvlJc w:val="left"/>
      <w:rPr>
        <w:rFonts w:cs="Times New Roman"/>
      </w:rPr>
    </w:lvl>
  </w:abstractNum>
  <w:abstractNum w:abstractNumId="5">
    <w:nsid w:val="53CC8FAA"/>
    <w:multiLevelType w:val="singleLevel"/>
    <w:tmpl w:val="53CC8FAA"/>
    <w:lvl w:ilvl="0">
      <w:start w:val="2"/>
      <w:numFmt w:val="chineseCounting"/>
      <w:suff w:val="nothing"/>
      <w:lvlText w:val="（%1）"/>
      <w:lvlJc w:val="left"/>
      <w:rPr>
        <w:rFonts w:cs="Times New Roman"/>
      </w:rPr>
    </w:lvl>
  </w:abstractNum>
  <w:abstractNum w:abstractNumId="6">
    <w:nsid w:val="53CC8FC1"/>
    <w:multiLevelType w:val="singleLevel"/>
    <w:tmpl w:val="53CC8FC1"/>
    <w:lvl w:ilvl="0">
      <w:start w:val="3"/>
      <w:numFmt w:val="chineseCounting"/>
      <w:suff w:val="nothing"/>
      <w:lvlText w:val="（%1）"/>
      <w:lvlJc w:val="left"/>
      <w:rPr>
        <w:rFonts w:cs="Times New Roman"/>
      </w:rPr>
    </w:lvl>
  </w:abstractNum>
  <w:abstractNum w:abstractNumId="7">
    <w:nsid w:val="53CCB610"/>
    <w:multiLevelType w:val="singleLevel"/>
    <w:tmpl w:val="53CCB610"/>
    <w:lvl w:ilvl="0">
      <w:start w:val="2"/>
      <w:numFmt w:val="decimal"/>
      <w:suff w:val="nothing"/>
      <w:lvlText w:val="（%1）"/>
      <w:lvlJc w:val="left"/>
      <w:rPr>
        <w:rFonts w:cs="Times New Roman"/>
      </w:rPr>
    </w:lvl>
  </w:abstractNum>
  <w:abstractNum w:abstractNumId="8">
    <w:nsid w:val="53CCB634"/>
    <w:multiLevelType w:val="singleLevel"/>
    <w:tmpl w:val="53CCB634"/>
    <w:lvl w:ilvl="0">
      <w:start w:val="3"/>
      <w:numFmt w:val="decimal"/>
      <w:suff w:val="nothing"/>
      <w:lvlText w:val="（%1）"/>
      <w:lvlJc w:val="left"/>
      <w:rPr>
        <w:rFonts w:cs="Times New Roman"/>
      </w:rPr>
    </w:lvl>
  </w:abstractNum>
  <w:abstractNum w:abstractNumId="9">
    <w:nsid w:val="53CCB66A"/>
    <w:multiLevelType w:val="singleLevel"/>
    <w:tmpl w:val="53CCB66A"/>
    <w:lvl w:ilvl="0">
      <w:start w:val="4"/>
      <w:numFmt w:val="decimal"/>
      <w:suff w:val="nothing"/>
      <w:lvlText w:val="（%1）"/>
      <w:lvlJc w:val="left"/>
      <w:rPr>
        <w:rFonts w:cs="Times New Roman"/>
      </w:rPr>
    </w:lvl>
  </w:abstractNum>
  <w:abstractNum w:abstractNumId="10">
    <w:nsid w:val="53CCBAB9"/>
    <w:multiLevelType w:val="singleLevel"/>
    <w:tmpl w:val="53CCBAB9"/>
    <w:lvl w:ilvl="0">
      <w:start w:val="4"/>
      <w:numFmt w:val="chineseCounting"/>
      <w:suff w:val="nothing"/>
      <w:lvlText w:val="%1、"/>
      <w:lvlJc w:val="left"/>
      <w:rPr>
        <w:rFonts w:cs="Times New Roman"/>
      </w:rPr>
    </w:lvl>
  </w:abstractNum>
  <w:abstractNum w:abstractNumId="11">
    <w:nsid w:val="53CCC26F"/>
    <w:multiLevelType w:val="singleLevel"/>
    <w:tmpl w:val="53CCC26F"/>
    <w:lvl w:ilvl="0">
      <w:start w:val="1"/>
      <w:numFmt w:val="chineseCounting"/>
      <w:suff w:val="nothing"/>
      <w:lvlText w:val="（%1）"/>
      <w:lvlJc w:val="left"/>
      <w:rPr>
        <w:rFonts w:cs="Times New Roman"/>
      </w:rPr>
    </w:lvl>
  </w:abstractNum>
  <w:abstractNum w:abstractNumId="12">
    <w:nsid w:val="53CCD76A"/>
    <w:multiLevelType w:val="singleLevel"/>
    <w:tmpl w:val="53CCD76A"/>
    <w:lvl w:ilvl="0">
      <w:start w:val="2"/>
      <w:numFmt w:val="chineseCounting"/>
      <w:suff w:val="nothing"/>
      <w:lvlText w:val="（%1）"/>
      <w:lvlJc w:val="left"/>
      <w:rPr>
        <w:rFonts w:cs="Times New Roman"/>
      </w:rPr>
    </w:lvl>
  </w:abstractNum>
  <w:abstractNum w:abstractNumId="13">
    <w:nsid w:val="657D3FBC"/>
    <w:multiLevelType w:val="multilevel"/>
    <w:tmpl w:val="657D3FBC"/>
    <w:lvl w:ilvl="0">
      <w:start w:val="1"/>
      <w:numFmt w:val="upperLetter"/>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4">
    <w:nsid w:val="73B24588"/>
    <w:multiLevelType w:val="hybridMultilevel"/>
    <w:tmpl w:val="5E1E2676"/>
    <w:lvl w:ilvl="0" w:tplc="C7B4EE7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7BEC6995"/>
    <w:multiLevelType w:val="hybridMultilevel"/>
    <w:tmpl w:val="E84EAC0C"/>
    <w:lvl w:ilvl="0" w:tplc="053E9FA4">
      <w:start w:val="7"/>
      <w:numFmt w:val="decimal"/>
      <w:lvlText w:val="%1、"/>
      <w:lvlJc w:val="left"/>
      <w:pPr>
        <w:ind w:left="1070" w:hanging="360"/>
      </w:pPr>
      <w:rPr>
        <w:rFonts w:cs="Times New Roman" w:hint="default"/>
      </w:rPr>
    </w:lvl>
    <w:lvl w:ilvl="1" w:tplc="04090019" w:tentative="1">
      <w:start w:val="1"/>
      <w:numFmt w:val="lowerLetter"/>
      <w:lvlText w:val="%2)"/>
      <w:lvlJc w:val="left"/>
      <w:pPr>
        <w:ind w:left="1550" w:hanging="420"/>
      </w:pPr>
      <w:rPr>
        <w:rFonts w:cs="Times New Roman"/>
      </w:rPr>
    </w:lvl>
    <w:lvl w:ilvl="2" w:tplc="0409001B" w:tentative="1">
      <w:start w:val="1"/>
      <w:numFmt w:val="lowerRoman"/>
      <w:lvlText w:val="%3."/>
      <w:lvlJc w:val="righ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9" w:tentative="1">
      <w:start w:val="1"/>
      <w:numFmt w:val="lowerLetter"/>
      <w:lvlText w:val="%5)"/>
      <w:lvlJc w:val="left"/>
      <w:pPr>
        <w:ind w:left="2810" w:hanging="420"/>
      </w:pPr>
      <w:rPr>
        <w:rFonts w:cs="Times New Roman"/>
      </w:rPr>
    </w:lvl>
    <w:lvl w:ilvl="5" w:tplc="0409001B" w:tentative="1">
      <w:start w:val="1"/>
      <w:numFmt w:val="lowerRoman"/>
      <w:lvlText w:val="%6."/>
      <w:lvlJc w:val="righ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9" w:tentative="1">
      <w:start w:val="1"/>
      <w:numFmt w:val="lowerLetter"/>
      <w:lvlText w:val="%8)"/>
      <w:lvlJc w:val="left"/>
      <w:pPr>
        <w:ind w:left="4070" w:hanging="420"/>
      </w:pPr>
      <w:rPr>
        <w:rFonts w:cs="Times New Roman"/>
      </w:rPr>
    </w:lvl>
    <w:lvl w:ilvl="8" w:tplc="0409001B" w:tentative="1">
      <w:start w:val="1"/>
      <w:numFmt w:val="lowerRoman"/>
      <w:lvlText w:val="%9."/>
      <w:lvlJc w:val="right"/>
      <w:pPr>
        <w:ind w:left="449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F3B"/>
    <w:rsid w:val="00074F3B"/>
    <w:rsid w:val="00300020"/>
    <w:rsid w:val="0039366F"/>
    <w:rsid w:val="0075006A"/>
    <w:rsid w:val="008300E1"/>
    <w:rsid w:val="00AE49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6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75006A"/>
    <w:rPr>
      <w:rFonts w:cs="Times New Roman"/>
    </w:rPr>
  </w:style>
  <w:style w:type="paragraph" w:customStyle="1" w:styleId="CharCharCharCharCharCharCharCharCharCharCharCharCharCharCharChar">
    <w:name w:val="Char Char Char Char Char Char Char Char Char Char Char Char Char Char Char Char"/>
    <w:basedOn w:val="a"/>
    <w:uiPriority w:val="99"/>
    <w:rsid w:val="0075006A"/>
    <w:pPr>
      <w:tabs>
        <w:tab w:val="left" w:pos="360"/>
      </w:tabs>
    </w:pPr>
    <w:rPr>
      <w:sz w:val="24"/>
      <w:szCs w:val="21"/>
    </w:rPr>
  </w:style>
  <w:style w:type="paragraph" w:styleId="a4">
    <w:name w:val="header"/>
    <w:basedOn w:val="a"/>
    <w:link w:val="Char"/>
    <w:uiPriority w:val="99"/>
    <w:rsid w:val="007500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semiHidden/>
    <w:locked/>
    <w:rsid w:val="0075006A"/>
    <w:rPr>
      <w:rFonts w:cs="Times New Roman"/>
      <w:sz w:val="18"/>
      <w:szCs w:val="18"/>
    </w:rPr>
  </w:style>
  <w:style w:type="paragraph" w:styleId="a5">
    <w:name w:val="Body Text"/>
    <w:basedOn w:val="a"/>
    <w:link w:val="Char0"/>
    <w:uiPriority w:val="99"/>
    <w:rsid w:val="0075006A"/>
    <w:pPr>
      <w:spacing w:line="360" w:lineRule="auto"/>
    </w:pPr>
    <w:rPr>
      <w:rFonts w:ascii="仿宋_GB2312"/>
    </w:rPr>
  </w:style>
  <w:style w:type="character" w:customStyle="1" w:styleId="Char0">
    <w:name w:val="正文文本 Char"/>
    <w:basedOn w:val="a0"/>
    <w:link w:val="a5"/>
    <w:uiPriority w:val="99"/>
    <w:semiHidden/>
    <w:locked/>
    <w:rsid w:val="0075006A"/>
    <w:rPr>
      <w:rFonts w:cs="Times New Roman"/>
      <w:sz w:val="20"/>
      <w:szCs w:val="20"/>
    </w:rPr>
  </w:style>
  <w:style w:type="paragraph" w:customStyle="1" w:styleId="p0">
    <w:name w:val="p0"/>
    <w:basedOn w:val="a"/>
    <w:uiPriority w:val="99"/>
    <w:rsid w:val="0075006A"/>
    <w:pPr>
      <w:widowControl/>
    </w:pPr>
    <w:rPr>
      <w:kern w:val="0"/>
      <w:szCs w:val="21"/>
    </w:rPr>
  </w:style>
  <w:style w:type="paragraph" w:styleId="a6">
    <w:name w:val="footer"/>
    <w:basedOn w:val="a"/>
    <w:link w:val="Char1"/>
    <w:uiPriority w:val="99"/>
    <w:rsid w:val="0075006A"/>
    <w:pPr>
      <w:tabs>
        <w:tab w:val="center" w:pos="4153"/>
        <w:tab w:val="right" w:pos="8306"/>
      </w:tabs>
      <w:snapToGrid w:val="0"/>
      <w:jc w:val="left"/>
    </w:pPr>
    <w:rPr>
      <w:sz w:val="18"/>
    </w:rPr>
  </w:style>
  <w:style w:type="character" w:customStyle="1" w:styleId="Char1">
    <w:name w:val="页脚 Char"/>
    <w:basedOn w:val="a0"/>
    <w:link w:val="a6"/>
    <w:uiPriority w:val="99"/>
    <w:locked/>
    <w:rsid w:val="0075006A"/>
    <w:rPr>
      <w:rFonts w:cs="Times New Roman"/>
      <w:kern w:val="2"/>
      <w:sz w:val="18"/>
    </w:rPr>
  </w:style>
  <w:style w:type="paragraph" w:styleId="a7">
    <w:name w:val="Body Text Indent"/>
    <w:basedOn w:val="a"/>
    <w:link w:val="Char2"/>
    <w:uiPriority w:val="99"/>
    <w:rsid w:val="0075006A"/>
    <w:pPr>
      <w:spacing w:line="480" w:lineRule="exact"/>
      <w:ind w:firstLine="690"/>
    </w:pPr>
  </w:style>
  <w:style w:type="character" w:customStyle="1" w:styleId="Char2">
    <w:name w:val="正文文本缩进 Char"/>
    <w:basedOn w:val="a0"/>
    <w:link w:val="a7"/>
    <w:uiPriority w:val="99"/>
    <w:semiHidden/>
    <w:locked/>
    <w:rsid w:val="0075006A"/>
    <w:rPr>
      <w:rFonts w:cs="Times New Roman"/>
      <w:sz w:val="20"/>
      <w:szCs w:val="20"/>
    </w:rPr>
  </w:style>
  <w:style w:type="paragraph" w:customStyle="1" w:styleId="a8">
    <w:name w:val="二级条标题"/>
    <w:basedOn w:val="a9"/>
    <w:next w:val="aa"/>
    <w:uiPriority w:val="99"/>
    <w:rsid w:val="0075006A"/>
    <w:pPr>
      <w:ind w:left="426"/>
      <w:outlineLvl w:val="3"/>
    </w:pPr>
  </w:style>
  <w:style w:type="paragraph" w:customStyle="1" w:styleId="a9">
    <w:name w:val="一级条标题"/>
    <w:next w:val="aa"/>
    <w:uiPriority w:val="99"/>
    <w:rsid w:val="0075006A"/>
    <w:pPr>
      <w:spacing w:beforeLines="50" w:afterLines="50"/>
      <w:outlineLvl w:val="2"/>
    </w:pPr>
    <w:rPr>
      <w:rFonts w:ascii="黑体" w:eastAsia="黑体"/>
      <w:sz w:val="21"/>
      <w:szCs w:val="21"/>
    </w:rPr>
  </w:style>
  <w:style w:type="paragraph" w:customStyle="1" w:styleId="aa">
    <w:name w:val="段"/>
    <w:link w:val="Char3"/>
    <w:uiPriority w:val="99"/>
    <w:rsid w:val="0075006A"/>
    <w:pPr>
      <w:tabs>
        <w:tab w:val="center" w:pos="4201"/>
        <w:tab w:val="right" w:leader="dot" w:pos="9298"/>
      </w:tabs>
      <w:autoSpaceDE w:val="0"/>
      <w:autoSpaceDN w:val="0"/>
      <w:ind w:firstLineChars="200" w:firstLine="420"/>
      <w:jc w:val="both"/>
    </w:pPr>
    <w:rPr>
      <w:rFonts w:ascii="宋体"/>
      <w:sz w:val="21"/>
    </w:rPr>
  </w:style>
  <w:style w:type="paragraph" w:customStyle="1" w:styleId="ab">
    <w:name w:val="三级条标题"/>
    <w:basedOn w:val="a8"/>
    <w:next w:val="aa"/>
    <w:uiPriority w:val="99"/>
    <w:rsid w:val="0075006A"/>
    <w:pPr>
      <w:ind w:left="710"/>
      <w:outlineLvl w:val="4"/>
    </w:pPr>
  </w:style>
  <w:style w:type="character" w:customStyle="1" w:styleId="Char3">
    <w:name w:val="段 Char"/>
    <w:basedOn w:val="a0"/>
    <w:link w:val="aa"/>
    <w:uiPriority w:val="99"/>
    <w:locked/>
    <w:rsid w:val="0075006A"/>
    <w:rPr>
      <w:rFonts w:ascii="宋体"/>
      <w:sz w:val="21"/>
      <w:lang w:val="en-US" w:eastAsia="zh-CN" w:bidi="ar-SA"/>
    </w:rPr>
  </w:style>
  <w:style w:type="paragraph" w:customStyle="1" w:styleId="ac">
    <w:name w:val="章标题"/>
    <w:next w:val="aa"/>
    <w:uiPriority w:val="99"/>
    <w:rsid w:val="0075006A"/>
    <w:pPr>
      <w:spacing w:beforeLines="100" w:afterLines="100"/>
      <w:jc w:val="both"/>
      <w:outlineLvl w:val="1"/>
    </w:pPr>
    <w:rPr>
      <w:rFonts w:ascii="黑体" w:eastAsia="黑体"/>
      <w:sz w:val="21"/>
    </w:rPr>
  </w:style>
  <w:style w:type="paragraph" w:customStyle="1" w:styleId="ad">
    <w:name w:val="四级条标题"/>
    <w:basedOn w:val="ab"/>
    <w:next w:val="aa"/>
    <w:uiPriority w:val="99"/>
    <w:rsid w:val="0075006A"/>
    <w:pPr>
      <w:ind w:left="0"/>
      <w:outlineLvl w:val="5"/>
    </w:pPr>
  </w:style>
  <w:style w:type="paragraph" w:customStyle="1" w:styleId="ae">
    <w:name w:val="附录标识"/>
    <w:basedOn w:val="a"/>
    <w:next w:val="aa"/>
    <w:uiPriority w:val="99"/>
    <w:rsid w:val="0075006A"/>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styleId="af">
    <w:name w:val="Normal (Web)"/>
    <w:basedOn w:val="a"/>
    <w:uiPriority w:val="99"/>
    <w:rsid w:val="0075006A"/>
    <w:pPr>
      <w:widowControl/>
      <w:spacing w:before="100" w:beforeAutospacing="1" w:after="100" w:afterAutospacing="1"/>
      <w:jc w:val="left"/>
    </w:pPr>
    <w:rPr>
      <w:rFonts w:ascii="宋体" w:hAnsi="宋体" w:cs="宋体"/>
      <w:kern w:val="0"/>
      <w:sz w:val="24"/>
      <w:szCs w:val="24"/>
    </w:rPr>
  </w:style>
  <w:style w:type="paragraph" w:customStyle="1" w:styleId="5">
    <w:name w:val="样式5"/>
    <w:basedOn w:val="a"/>
    <w:link w:val="5Char"/>
    <w:autoRedefine/>
    <w:uiPriority w:val="99"/>
    <w:rsid w:val="0075006A"/>
    <w:pPr>
      <w:widowControl/>
      <w:tabs>
        <w:tab w:val="left" w:pos="540"/>
      </w:tabs>
      <w:adjustRightInd w:val="0"/>
      <w:spacing w:line="360" w:lineRule="auto"/>
      <w:ind w:firstLine="480"/>
      <w:textAlignment w:val="baseline"/>
    </w:pPr>
    <w:rPr>
      <w:rFonts w:ascii="宋体" w:hAnsi="宋体"/>
      <w:kern w:val="0"/>
      <w:sz w:val="24"/>
      <w:szCs w:val="24"/>
    </w:rPr>
  </w:style>
  <w:style w:type="character" w:customStyle="1" w:styleId="5Char">
    <w:name w:val="样式5 Char"/>
    <w:basedOn w:val="a0"/>
    <w:link w:val="5"/>
    <w:uiPriority w:val="99"/>
    <w:locked/>
    <w:rsid w:val="0075006A"/>
    <w:rPr>
      <w:rFonts w:ascii="宋体" w:eastAsia="宋体" w:cs="Times New Roman"/>
      <w:sz w:val="24"/>
      <w:szCs w:val="24"/>
    </w:rPr>
  </w:style>
  <w:style w:type="paragraph" w:customStyle="1" w:styleId="af0">
    <w:name w:val="五级条标题"/>
    <w:basedOn w:val="ad"/>
    <w:next w:val="aa"/>
    <w:uiPriority w:val="99"/>
    <w:rsid w:val="0075006A"/>
    <w:pPr>
      <w:spacing w:before="50" w:after="50"/>
      <w:outlineLvl w:val="6"/>
    </w:pPr>
  </w:style>
  <w:style w:type="paragraph" w:styleId="af1">
    <w:name w:val="List Paragraph"/>
    <w:basedOn w:val="a"/>
    <w:uiPriority w:val="99"/>
    <w:qFormat/>
    <w:rsid w:val="0075006A"/>
    <w:pPr>
      <w:ind w:firstLineChars="200" w:firstLine="420"/>
    </w:pPr>
  </w:style>
  <w:style w:type="paragraph" w:customStyle="1" w:styleId="reader-word-layerreader-word-s3-5">
    <w:name w:val="reader-word-layer reader-word-s3-5"/>
    <w:basedOn w:val="a"/>
    <w:uiPriority w:val="99"/>
    <w:rsid w:val="0075006A"/>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
    <w:uiPriority w:val="99"/>
    <w:rsid w:val="0075006A"/>
    <w:pPr>
      <w:widowControl/>
      <w:spacing w:before="100" w:beforeAutospacing="1" w:after="100" w:afterAutospacing="1"/>
      <w:jc w:val="left"/>
    </w:pPr>
    <w:rPr>
      <w:rFonts w:ascii="宋体" w:hAnsi="宋体" w:cs="宋体"/>
      <w:kern w:val="0"/>
      <w:sz w:val="24"/>
      <w:szCs w:val="24"/>
    </w:rPr>
  </w:style>
  <w:style w:type="character" w:styleId="af2">
    <w:name w:val="Strong"/>
    <w:basedOn w:val="a0"/>
    <w:uiPriority w:val="99"/>
    <w:qFormat/>
    <w:rsid w:val="0075006A"/>
    <w:rPr>
      <w:rFonts w:cs="Times New Roman"/>
      <w:b/>
      <w:bCs/>
    </w:rPr>
  </w:style>
  <w:style w:type="paragraph" w:styleId="af3">
    <w:name w:val="Balloon Text"/>
    <w:basedOn w:val="a"/>
    <w:link w:val="Char4"/>
    <w:uiPriority w:val="99"/>
    <w:rsid w:val="0075006A"/>
    <w:rPr>
      <w:sz w:val="18"/>
      <w:szCs w:val="18"/>
    </w:rPr>
  </w:style>
  <w:style w:type="character" w:customStyle="1" w:styleId="Char4">
    <w:name w:val="批注框文本 Char"/>
    <w:basedOn w:val="a0"/>
    <w:link w:val="af3"/>
    <w:uiPriority w:val="99"/>
    <w:locked/>
    <w:rsid w:val="0075006A"/>
    <w:rPr>
      <w:rFonts w:cs="Times New Roman"/>
      <w:kern w:val="2"/>
      <w:sz w:val="18"/>
      <w:szCs w:val="18"/>
    </w:rPr>
  </w:style>
  <w:style w:type="character" w:styleId="af4">
    <w:name w:val="Emphasis"/>
    <w:basedOn w:val="a0"/>
    <w:uiPriority w:val="99"/>
    <w:qFormat/>
    <w:rsid w:val="0075006A"/>
    <w:rPr>
      <w:rFonts w:cs="Times New Roman"/>
      <w:i/>
      <w:iCs/>
    </w:rPr>
  </w:style>
  <w:style w:type="character" w:customStyle="1" w:styleId="apple-converted-space">
    <w:name w:val="apple-converted-space"/>
    <w:basedOn w:val="a0"/>
    <w:uiPriority w:val="99"/>
    <w:rsid w:val="0075006A"/>
    <w:rPr>
      <w:rFonts w:cs="Times New Roman"/>
    </w:rPr>
  </w:style>
  <w:style w:type="character" w:customStyle="1" w:styleId="t19">
    <w:name w:val="t19"/>
    <w:basedOn w:val="a0"/>
    <w:uiPriority w:val="99"/>
    <w:rsid w:val="0075006A"/>
    <w:rPr>
      <w:rFonts w:cs="Times New Roman"/>
    </w:rPr>
  </w:style>
  <w:style w:type="character" w:styleId="af5">
    <w:name w:val="Hyperlink"/>
    <w:basedOn w:val="a0"/>
    <w:uiPriority w:val="99"/>
    <w:rsid w:val="0075006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6213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4722115-4936842.html" TargetMode="External"/><Relationship Id="rId3" Type="http://schemas.openxmlformats.org/officeDocument/2006/relationships/settings" Target="settings.xml"/><Relationship Id="rId7" Type="http://schemas.openxmlformats.org/officeDocument/2006/relationships/hyperlink" Target="http://baike.haosou.com/doc/6728092-694237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subview/140198/140198.ht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14</Pages>
  <Words>1270</Words>
  <Characters>7244</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《农村社区综合服务中心建设规范》编制说明</dc:title>
  <dc:subject/>
  <dc:creator>dell</dc:creator>
  <cp:keywords/>
  <dc:description/>
  <cp:lastModifiedBy>云振宇</cp:lastModifiedBy>
  <cp:revision>22</cp:revision>
  <dcterms:created xsi:type="dcterms:W3CDTF">2014-07-21T01:07:00Z</dcterms:created>
  <dcterms:modified xsi:type="dcterms:W3CDTF">2017-04-05T01:41:00Z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