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473B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F2E43C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116" w:name="_GoBack"/>
            <w:bookmarkEnd w:id="116"/>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65162ED">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13.020</w:t>
            </w:r>
            <w:r>
              <w:rPr>
                <w:rFonts w:ascii="黑体" w:hAnsi="黑体" w:eastAsia="黑体"/>
                <w:sz w:val="21"/>
                <w:szCs w:val="21"/>
              </w:rPr>
              <w:fldChar w:fldCharType="end"/>
            </w:r>
            <w:bookmarkEnd w:id="0"/>
          </w:p>
        </w:tc>
      </w:tr>
      <w:tr w14:paraId="6F83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264A76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81CB34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Z 04"/>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04</w:t>
            </w:r>
            <w:r>
              <w:rPr>
                <w:rFonts w:ascii="黑体" w:hAnsi="黑体" w:eastAsia="黑体"/>
                <w:sz w:val="21"/>
                <w:szCs w:val="21"/>
              </w:rPr>
              <w:fldChar w:fldCharType="end"/>
            </w:r>
            <w:bookmarkEnd w:id="1"/>
          </w:p>
        </w:tc>
      </w:tr>
    </w:tbl>
    <w:p w14:paraId="534A6909">
      <w:pPr>
        <w:pStyle w:val="50"/>
        <w:framePr w:w="9639" w:h="624" w:hRule="exact" w:hSpace="181" w:vSpace="181" w:wrap="around" w:hAnchor="page" w:x="1305" w:y="2269"/>
      </w:pPr>
      <w:bookmarkStart w:id="2" w:name="_Hlk26473981"/>
      <w:r>
        <w:rPr>
          <w:rFonts w:hint="eastAsia"/>
        </w:rPr>
        <w:t>中华人民共和国国家标准</w:t>
      </w:r>
    </w:p>
    <w:bookmarkEnd w:id="2"/>
    <w:p w14:paraId="7983E94F">
      <w:pPr>
        <w:pStyle w:val="195"/>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5EE7799D">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0C05C496">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333993C2">
      <w:pPr>
        <w:pStyle w:val="50"/>
        <w:framePr w:w="9639" w:h="6976" w:hRule="exact" w:hSpace="0" w:vSpace="0" w:wrap="around" w:hAnchor="page" w:y="6408"/>
        <w:jc w:val="center"/>
        <w:rPr>
          <w:rFonts w:ascii="黑体" w:hAnsi="黑体" w:eastAsia="黑体"/>
          <w:b w:val="0"/>
          <w:bCs w:val="0"/>
          <w:w w:val="100"/>
        </w:rPr>
      </w:pPr>
    </w:p>
    <w:p w14:paraId="766ABCDF">
      <w:pPr>
        <w:pStyle w:val="197"/>
        <w:framePr w:h="6974" w:hRule="exact" w:wrap="around" w:x="1419" w:anchorLock="1"/>
      </w:pPr>
      <w:r>
        <w:fldChar w:fldCharType="begin">
          <w:ffData>
            <w:name w:val="CSTD_NAME"/>
            <w:enabled/>
            <w:calcOnExit w:val="0"/>
            <w:textInput>
              <w:default w:val="减排效果评估技术要求 第1部分：出行"/>
            </w:textInput>
          </w:ffData>
        </w:fldChar>
      </w:r>
      <w:bookmarkStart w:id="7" w:name="CSTD_NAME"/>
      <w:r>
        <w:instrText xml:space="preserve"> FORMTEXT </w:instrText>
      </w:r>
      <w:r>
        <w:fldChar w:fldCharType="separate"/>
      </w:r>
      <w:r>
        <w:t>减排效果评估技术要求 第1部分：出行</w:t>
      </w:r>
      <w:r>
        <w:fldChar w:fldCharType="end"/>
      </w:r>
      <w:bookmarkEnd w:id="7"/>
    </w:p>
    <w:p w14:paraId="64DFB515">
      <w:pPr>
        <w:framePr w:w="9639" w:h="6974" w:hRule="exact" w:wrap="around" w:vAnchor="page" w:hAnchor="page" w:x="1419" w:y="6408" w:anchorLock="1"/>
        <w:ind w:left="-1418"/>
      </w:pPr>
    </w:p>
    <w:p w14:paraId="0E198A6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quirements for assessment of emission reduction effect -Part 1: Travel"/>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Technical requirements for assessment of emission reduction effect -Part 1: Travel</w:t>
      </w:r>
      <w:r>
        <w:rPr>
          <w:rFonts w:eastAsia="黑体"/>
          <w:szCs w:val="28"/>
        </w:rPr>
        <w:fldChar w:fldCharType="end"/>
      </w:r>
      <w:bookmarkEnd w:id="8"/>
    </w:p>
    <w:p w14:paraId="3C13447A">
      <w:pPr>
        <w:framePr w:w="9639" w:h="6974" w:hRule="exact" w:wrap="around" w:vAnchor="page" w:hAnchor="page" w:x="1419" w:y="6408" w:anchorLock="1"/>
        <w:spacing w:line="760" w:lineRule="exact"/>
        <w:ind w:left="-1418"/>
      </w:pPr>
    </w:p>
    <w:p w14:paraId="22B651E6">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14:paraId="6F38D358">
      <w:pPr>
        <w:pStyle w:val="125"/>
        <w:framePr w:w="9639" w:h="6974" w:hRule="exact" w:wrap="around" w:vAnchor="page" w:hAnchor="page" w:x="1419" w:y="6408" w:anchorLock="1"/>
        <w:spacing w:before="440" w:after="160"/>
        <w:textAlignment w:val="bottom"/>
        <w:rPr>
          <w:sz w:val="24"/>
          <w:szCs w:val="28"/>
        </w:rPr>
      </w:pPr>
      <w:bookmarkStart w:id="10" w:name="下拉1"/>
      <w:r>
        <w:rPr>
          <w:sz w:val="24"/>
          <w:szCs w:val="28"/>
        </w:rPr>
        <w:fldChar w:fldCharType="begin">
          <w:ffData>
            <w:name w:val="下拉1"/>
            <w:enabled w:val="0"/>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10"/>
    </w:p>
    <w:p w14:paraId="175F887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023.03.24</w:t>
      </w:r>
      <w:r>
        <w:rPr>
          <w:rFonts w:hint="eastAsia"/>
          <w:sz w:val="21"/>
          <w:szCs w:val="28"/>
        </w:rPr>
        <w:t>）</w:t>
      </w:r>
      <w:r>
        <w:rPr>
          <w:sz w:val="21"/>
          <w:szCs w:val="28"/>
        </w:rPr>
        <w:fldChar w:fldCharType="end"/>
      </w:r>
      <w:bookmarkEnd w:id="11"/>
    </w:p>
    <w:p w14:paraId="626C70C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5E5C12C0">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71F92277">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5BF9A73">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4EA7EEC8">
      <w:pPr>
        <w:pStyle w:val="91"/>
        <w:spacing w:after="468"/>
      </w:pPr>
      <w:bookmarkStart w:id="19" w:name="BookMark1"/>
      <w:r>
        <w:rPr>
          <w:spacing w:val="320"/>
        </w:rPr>
        <w:t>目</w:t>
      </w:r>
      <w:r>
        <w:t>次</w:t>
      </w:r>
    </w:p>
    <w:p w14:paraId="3E9B45BD">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"_Toc131518003" </w:instrText>
      </w:r>
      <w:r>
        <w:fldChar w:fldCharType="separate"/>
      </w:r>
      <w:r>
        <w:rPr>
          <w:rStyle w:val="32"/>
          <w:rFonts w:hint="eastAsia"/>
        </w:rPr>
        <w:t>前  言</w:t>
      </w:r>
      <w:r>
        <w:tab/>
      </w:r>
      <w:r>
        <w:fldChar w:fldCharType="begin"/>
      </w:r>
      <w:r>
        <w:instrText xml:space="preserve"> PAGEREF _Toc131518003 \h </w:instrText>
      </w:r>
      <w:r>
        <w:fldChar w:fldCharType="separate"/>
      </w:r>
      <w:r>
        <w:t>II</w:t>
      </w:r>
      <w:r>
        <w:fldChar w:fldCharType="end"/>
      </w:r>
      <w:r>
        <w:fldChar w:fldCharType="end"/>
      </w:r>
    </w:p>
    <w:p w14:paraId="4307EA46">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"_Toc131518004" </w:instrText>
      </w:r>
      <w:r>
        <w:fldChar w:fldCharType="separate"/>
      </w:r>
      <w:r>
        <w:rPr>
          <w:rStyle w:val="32"/>
        </w:rPr>
        <w:t>1 范围</w:t>
      </w:r>
      <w:r>
        <w:tab/>
      </w:r>
      <w:r>
        <w:fldChar w:fldCharType="begin"/>
      </w:r>
      <w:r>
        <w:instrText xml:space="preserve"> PAGEREF _Toc131518004 \h </w:instrText>
      </w:r>
      <w:r>
        <w:fldChar w:fldCharType="separate"/>
      </w:r>
      <w:r>
        <w:t>1</w:t>
      </w:r>
      <w:r>
        <w:fldChar w:fldCharType="end"/>
      </w:r>
      <w:r>
        <w:fldChar w:fldCharType="end"/>
      </w:r>
    </w:p>
    <w:p w14:paraId="327CE472">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"_Toc131518005" </w:instrText>
      </w:r>
      <w:r>
        <w:fldChar w:fldCharType="separate"/>
      </w:r>
      <w:r>
        <w:rPr>
          <w:rStyle w:val="32"/>
        </w:rPr>
        <w:t>2 规范性引用文件</w:t>
      </w:r>
      <w:r>
        <w:tab/>
      </w:r>
      <w:r>
        <w:fldChar w:fldCharType="begin"/>
      </w:r>
      <w:r>
        <w:instrText xml:space="preserve"> PAGEREF _Toc131518005 \h </w:instrText>
      </w:r>
      <w:r>
        <w:fldChar w:fldCharType="separate"/>
      </w:r>
      <w:r>
        <w:t>1</w:t>
      </w:r>
      <w:r>
        <w:fldChar w:fldCharType="end"/>
      </w:r>
      <w:r>
        <w:fldChar w:fldCharType="end"/>
      </w:r>
    </w:p>
    <w:p w14:paraId="3610EF91">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"_Toc131518006" </w:instrText>
      </w:r>
      <w:r>
        <w:fldChar w:fldCharType="separate"/>
      </w:r>
      <w:r>
        <w:rPr>
          <w:rStyle w:val="32"/>
        </w:rPr>
        <w:t>3 术语和定义</w:t>
      </w:r>
      <w:r>
        <w:tab/>
      </w:r>
      <w:r>
        <w:fldChar w:fldCharType="begin"/>
      </w:r>
      <w:r>
        <w:instrText xml:space="preserve"> PAGEREF _Toc131518006 \h </w:instrText>
      </w:r>
      <w:r>
        <w:fldChar w:fldCharType="separate"/>
      </w:r>
      <w:r>
        <w:t>1</w:t>
      </w:r>
      <w:r>
        <w:fldChar w:fldCharType="end"/>
      </w:r>
      <w:r>
        <w:fldChar w:fldCharType="end"/>
      </w:r>
    </w:p>
    <w:p w14:paraId="7C658DB8">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"_Toc131518014" </w:instrText>
      </w:r>
      <w:r>
        <w:fldChar w:fldCharType="separate"/>
      </w:r>
      <w:r>
        <w:rPr>
          <w:rStyle w:val="32"/>
        </w:rPr>
        <w:t>4 程序</w:t>
      </w:r>
      <w:r>
        <w:tab/>
      </w:r>
      <w:r>
        <w:fldChar w:fldCharType="begin"/>
      </w:r>
      <w:r>
        <w:instrText xml:space="preserve"> PAGEREF _Toc131518014 \h </w:instrText>
      </w:r>
      <w:r>
        <w:fldChar w:fldCharType="separate"/>
      </w:r>
      <w:r>
        <w:t>2</w:t>
      </w:r>
      <w:r>
        <w:fldChar w:fldCharType="end"/>
      </w:r>
      <w:r>
        <w:fldChar w:fldCharType="end"/>
      </w:r>
    </w:p>
    <w:p w14:paraId="290CCA9B">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"_Toc131518015" </w:instrText>
      </w:r>
      <w:r>
        <w:fldChar w:fldCharType="separate"/>
      </w:r>
      <w:r>
        <w:rPr>
          <w:rStyle w:val="32"/>
        </w:rPr>
        <w:t>5 识别绿色出行行为</w:t>
      </w:r>
      <w:r>
        <w:tab/>
      </w:r>
      <w:r>
        <w:fldChar w:fldCharType="begin"/>
      </w:r>
      <w:r>
        <w:instrText xml:space="preserve"> PAGEREF _Toc131518015 \h </w:instrText>
      </w:r>
      <w:r>
        <w:fldChar w:fldCharType="separate"/>
      </w:r>
      <w:r>
        <w:t>2</w:t>
      </w:r>
      <w:r>
        <w:fldChar w:fldCharType="end"/>
      </w:r>
      <w:r>
        <w:fldChar w:fldCharType="end"/>
      </w:r>
    </w:p>
    <w:p w14:paraId="05CF5C23">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"_Toc131518016" </w:instrText>
      </w:r>
      <w:r>
        <w:fldChar w:fldCharType="separate"/>
      </w:r>
      <w:r>
        <w:rPr>
          <w:rStyle w:val="32"/>
        </w:rPr>
        <w:t>6 识别核算边界和基准线情景</w:t>
      </w:r>
      <w:r>
        <w:tab/>
      </w:r>
      <w:r>
        <w:fldChar w:fldCharType="begin"/>
      </w:r>
      <w:r>
        <w:instrText xml:space="preserve"> PAGEREF _Toc131518016 \h </w:instrText>
      </w:r>
      <w:r>
        <w:fldChar w:fldCharType="separate"/>
      </w:r>
      <w:r>
        <w:t>3</w:t>
      </w:r>
      <w:r>
        <w:fldChar w:fldCharType="end"/>
      </w:r>
      <w:r>
        <w:fldChar w:fldCharType="end"/>
      </w:r>
    </w:p>
    <w:p w14:paraId="5841033A">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"_Toc131518017" </w:instrText>
      </w:r>
      <w:r>
        <w:fldChar w:fldCharType="separate"/>
      </w:r>
      <w:r>
        <w:rPr>
          <w:rStyle w:val="32"/>
        </w:rPr>
        <w:t>7 评估减排量</w:t>
      </w:r>
      <w:r>
        <w:tab/>
      </w:r>
      <w:r>
        <w:fldChar w:fldCharType="begin"/>
      </w:r>
      <w:r>
        <w:instrText xml:space="preserve"> PAGEREF _Toc131518017 \h </w:instrText>
      </w:r>
      <w:r>
        <w:fldChar w:fldCharType="separate"/>
      </w:r>
      <w:r>
        <w:t>3</w:t>
      </w:r>
      <w:r>
        <w:fldChar w:fldCharType="end"/>
      </w:r>
      <w:r>
        <w:fldChar w:fldCharType="end"/>
      </w:r>
    </w:p>
    <w:p w14:paraId="2E01F432">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"_Toc131518022" </w:instrText>
      </w:r>
      <w:r>
        <w:fldChar w:fldCharType="separate"/>
      </w:r>
      <w:r>
        <w:rPr>
          <w:rStyle w:val="32"/>
        </w:rPr>
        <w:t>8 数据来源</w:t>
      </w:r>
      <w:r>
        <w:tab/>
      </w:r>
      <w:r>
        <w:fldChar w:fldCharType="begin"/>
      </w:r>
      <w:r>
        <w:instrText xml:space="preserve"> PAGEREF _Toc131518022 \h </w:instrText>
      </w:r>
      <w:r>
        <w:fldChar w:fldCharType="separate"/>
      </w:r>
      <w:r>
        <w:t>8</w:t>
      </w:r>
      <w:r>
        <w:fldChar w:fldCharType="end"/>
      </w:r>
      <w:r>
        <w:fldChar w:fldCharType="end"/>
      </w:r>
    </w:p>
    <w:p w14:paraId="37853A0C">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"_Toc131518026" </w:instrText>
      </w:r>
      <w:r>
        <w:fldChar w:fldCharType="separate"/>
      </w:r>
      <w:r>
        <w:rPr>
          <w:rStyle w:val="32"/>
          <w:spacing w:val="100"/>
        </w:rPr>
        <w:t>附录A</w:t>
      </w:r>
      <w:r>
        <w:rPr>
          <w:rStyle w:val="32"/>
        </w:rPr>
        <w:t xml:space="preserve"> （规范性） 全国城市分情景选值原则</w:t>
      </w:r>
      <w:r>
        <w:tab/>
      </w:r>
      <w:r>
        <w:fldChar w:fldCharType="begin"/>
      </w:r>
      <w:r>
        <w:instrText xml:space="preserve"> PAGEREF _Toc131518026 \h </w:instrText>
      </w:r>
      <w:r>
        <w:fldChar w:fldCharType="separate"/>
      </w:r>
      <w:r>
        <w:t>11</w:t>
      </w:r>
      <w:r>
        <w:fldChar w:fldCharType="end"/>
      </w:r>
      <w:r>
        <w:fldChar w:fldCharType="end"/>
      </w:r>
    </w:p>
    <w:p w14:paraId="54E38DA6">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"_Toc131518027" </w:instrText>
      </w:r>
      <w:r>
        <w:fldChar w:fldCharType="separate"/>
      </w:r>
      <w:r>
        <w:rPr>
          <w:rStyle w:val="32"/>
          <w:spacing w:val="100"/>
        </w:rPr>
        <w:t>附录B</w:t>
      </w:r>
      <w:r>
        <w:rPr>
          <w:rStyle w:val="32"/>
        </w:rPr>
        <w:t xml:space="preserve"> （规范性） 人公里排放因子推荐值</w:t>
      </w:r>
      <w:r>
        <w:tab/>
      </w:r>
      <w:r>
        <w:fldChar w:fldCharType="begin"/>
      </w:r>
      <w:r>
        <w:instrText xml:space="preserve"> PAGEREF _Toc131518027 \h </w:instrText>
      </w:r>
      <w:r>
        <w:fldChar w:fldCharType="separate"/>
      </w:r>
      <w:r>
        <w:t>13</w:t>
      </w:r>
      <w:r>
        <w:fldChar w:fldCharType="end"/>
      </w:r>
      <w:r>
        <w:fldChar w:fldCharType="end"/>
      </w:r>
    </w:p>
    <w:p w14:paraId="328C4D5C">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"_Toc131518028" </w:instrText>
      </w:r>
      <w:r>
        <w:fldChar w:fldCharType="separate"/>
      </w:r>
      <w:r>
        <w:rPr>
          <w:rStyle w:val="32"/>
          <w:spacing w:val="100"/>
        </w:rPr>
        <w:t>附录C</w:t>
      </w:r>
      <w:r>
        <w:rPr>
          <w:rStyle w:val="32"/>
        </w:rPr>
        <w:t xml:space="preserve"> （资料性） 参数缺省值</w:t>
      </w:r>
      <w:r>
        <w:tab/>
      </w:r>
      <w:r>
        <w:fldChar w:fldCharType="begin"/>
      </w:r>
      <w:r>
        <w:instrText xml:space="preserve"> PAGEREF _Toc131518028 \h </w:instrText>
      </w:r>
      <w:r>
        <w:fldChar w:fldCharType="separate"/>
      </w:r>
      <w:r>
        <w:t>14</w:t>
      </w:r>
      <w:r>
        <w:fldChar w:fldCharType="end"/>
      </w:r>
      <w:r>
        <w:fldChar w:fldCharType="end"/>
      </w:r>
    </w:p>
    <w:p w14:paraId="7553D30A">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"_Toc131518029" </w:instrText>
      </w:r>
      <w:r>
        <w:fldChar w:fldCharType="separate"/>
      </w:r>
      <w:r>
        <w:rPr>
          <w:rStyle w:val="32"/>
          <w:spacing w:val="100"/>
        </w:rPr>
        <w:t>附录D</w:t>
      </w:r>
      <w:r>
        <w:rPr>
          <w:rStyle w:val="32"/>
        </w:rPr>
        <w:t xml:space="preserve"> （规范性） 双次和单次刷卡方式对应出行里程的监测方法</w:t>
      </w:r>
      <w:r>
        <w:tab/>
      </w:r>
      <w:r>
        <w:fldChar w:fldCharType="begin"/>
      </w:r>
      <w:r>
        <w:instrText xml:space="preserve"> PAGEREF _Toc131518029 \h </w:instrText>
      </w:r>
      <w:r>
        <w:fldChar w:fldCharType="separate"/>
      </w:r>
      <w:r>
        <w:t>15</w:t>
      </w:r>
      <w:r>
        <w:fldChar w:fldCharType="end"/>
      </w:r>
      <w:r>
        <w:fldChar w:fldCharType="end"/>
      </w:r>
    </w:p>
    <w:p w14:paraId="7A5259EB">
      <w:pPr>
        <w:pStyle w:val="19"/>
        <w:tabs>
          <w:tab w:val="right" w:leader="dot" w:pos="9344"/>
        </w:tabs>
        <w:rPr>
          <w:rFonts w:asciiTheme="minorHAnsi" w:hAnsiTheme="minorHAnsi" w:eastAsiaTheme="minorEastAsia" w:cstheme="minorBidi"/>
          <w:szCs w:val="22"/>
        </w:rPr>
      </w:pPr>
      <w:r>
        <w:fldChar w:fldCharType="begin"/>
      </w:r>
      <w:r>
        <w:instrText xml:space="preserve"> HYPERLINK \l "_Toc131518032" </w:instrText>
      </w:r>
      <w:r>
        <w:fldChar w:fldCharType="separate"/>
      </w:r>
      <w:r>
        <w:rPr>
          <w:rStyle w:val="32"/>
          <w:spacing w:val="100"/>
        </w:rPr>
        <w:t>附录E</w:t>
      </w:r>
      <w:r>
        <w:rPr>
          <w:rStyle w:val="32"/>
        </w:rPr>
        <w:t xml:space="preserve"> （规范性） 自愿停驶的人公里排放因子和出行里程的监测方法</w:t>
      </w:r>
      <w:r>
        <w:tab/>
      </w:r>
      <w:r>
        <w:fldChar w:fldCharType="begin"/>
      </w:r>
      <w:r>
        <w:instrText xml:space="preserve"> PAGEREF _Toc131518032 \h </w:instrText>
      </w:r>
      <w:r>
        <w:fldChar w:fldCharType="separate"/>
      </w:r>
      <w:r>
        <w:t>16</w:t>
      </w:r>
      <w:r>
        <w:fldChar w:fldCharType="end"/>
      </w:r>
      <w:r>
        <w:fldChar w:fldCharType="end"/>
      </w:r>
    </w:p>
    <w:p w14:paraId="5A40D634">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7547E5A7">
      <w:pPr>
        <w:pStyle w:val="89"/>
        <w:spacing w:after="468"/>
      </w:pPr>
      <w:bookmarkStart w:id="20" w:name="_Toc131518003"/>
      <w:bookmarkStart w:id="21" w:name="BookMark2"/>
      <w:r>
        <w:rPr>
          <w:spacing w:val="320"/>
        </w:rPr>
        <w:t>前</w:t>
      </w:r>
      <w:r>
        <w:t>言</w:t>
      </w:r>
      <w:bookmarkEnd w:id="20"/>
    </w:p>
    <w:p w14:paraId="45B13774">
      <w:pPr>
        <w:pStyle w:val="56"/>
        <w:ind w:firstLine="420"/>
      </w:pPr>
      <w:r>
        <w:rPr>
          <w:rFonts w:hint="eastAsia"/>
        </w:rPr>
        <w:t>本文件按照GB/T 1.1—2020《标准化工作导则  第1部分：标准化文件的结构和起草规则》的规定起草。</w:t>
      </w:r>
    </w:p>
    <w:p w14:paraId="1497FFFA">
      <w:pPr>
        <w:pStyle w:val="56"/>
        <w:ind w:firstLine="420"/>
      </w:pPr>
      <w:r>
        <w:rPr>
          <w:rFonts w:hint="eastAsia"/>
        </w:rPr>
        <w:t>请注意本文件的某些内容可能涉及专利。本文件的发布机构不承担识别专利的责任。</w:t>
      </w:r>
    </w:p>
    <w:p w14:paraId="3147DBA0">
      <w:pPr>
        <w:pStyle w:val="56"/>
        <w:ind w:firstLine="420"/>
      </w:pPr>
      <w:r>
        <w:rPr>
          <w:rFonts w:hint="eastAsia"/>
        </w:rPr>
        <w:t>本文件计划发布以下部分。</w:t>
      </w:r>
    </w:p>
    <w:p w14:paraId="0B566022">
      <w:pPr>
        <w:pStyle w:val="56"/>
        <w:ind w:firstLine="420"/>
      </w:pPr>
      <w:r>
        <w:rPr>
          <w:rFonts w:hint="eastAsia"/>
        </w:rPr>
        <w:t>第1部分：出行；</w:t>
      </w:r>
    </w:p>
    <w:p w14:paraId="1D2D0BAA">
      <w:pPr>
        <w:pStyle w:val="56"/>
        <w:ind w:firstLine="420"/>
      </w:pPr>
      <w:r>
        <w:rPr>
          <w:rFonts w:hint="eastAsia"/>
        </w:rPr>
        <w:t>第2部分：办公；</w:t>
      </w:r>
    </w:p>
    <w:p w14:paraId="0DC99AF9">
      <w:pPr>
        <w:pStyle w:val="56"/>
        <w:ind w:firstLine="420"/>
      </w:pPr>
      <w:r>
        <w:rPr>
          <w:rFonts w:hint="eastAsia"/>
        </w:rPr>
        <w:t>第3部分：采购；</w:t>
      </w:r>
    </w:p>
    <w:p w14:paraId="3F169C1D">
      <w:pPr>
        <w:pStyle w:val="56"/>
        <w:ind w:firstLine="420"/>
      </w:pPr>
      <w:r>
        <w:rPr>
          <w:rFonts w:hint="eastAsia"/>
        </w:rPr>
        <w:t>…</w:t>
      </w:r>
      <w:r>
        <w:t xml:space="preserve"> … …</w:t>
      </w:r>
    </w:p>
    <w:p w14:paraId="28AE99BF">
      <w:pPr>
        <w:pStyle w:val="56"/>
        <w:ind w:firstLine="420"/>
      </w:pPr>
      <w:r>
        <w:rPr>
          <w:rFonts w:hint="eastAsia"/>
        </w:rPr>
        <w:t xml:space="preserve">本文件由全国环境管理标准化技术委员会（TC </w:t>
      </w:r>
      <w:r>
        <w:t>207</w:t>
      </w:r>
      <w:r>
        <w:rPr>
          <w:rFonts w:hint="eastAsia"/>
        </w:rPr>
        <w:t>）提出并归口。</w:t>
      </w:r>
    </w:p>
    <w:p w14:paraId="6ACC12CD">
      <w:pPr>
        <w:pStyle w:val="56"/>
        <w:ind w:firstLine="420"/>
      </w:pPr>
      <w:r>
        <w:rPr>
          <w:rFonts w:hint="eastAsia"/>
        </w:rPr>
        <w:t>本文件起草单位：中国标准化研究院</w:t>
      </w:r>
    </w:p>
    <w:p w14:paraId="00985536">
      <w:pPr>
        <w:pStyle w:val="56"/>
        <w:ind w:firstLine="420"/>
      </w:pPr>
      <w:r>
        <w:rPr>
          <w:rFonts w:hint="eastAsia"/>
        </w:rPr>
        <w:t>本文件主要起草人：略</w:t>
      </w:r>
    </w:p>
    <w:p w14:paraId="7E7F323B">
      <w:pPr>
        <w:pStyle w:val="56"/>
        <w:ind w:firstLine="420"/>
      </w:pPr>
    </w:p>
    <w:p w14:paraId="56C6FBFB">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14:paraId="103DBF5E">
      <w:pPr>
        <w:spacing w:line="20" w:lineRule="exact"/>
        <w:jc w:val="center"/>
        <w:rPr>
          <w:rFonts w:ascii="黑体" w:hAnsi="黑体" w:eastAsia="黑体"/>
          <w:sz w:val="32"/>
          <w:szCs w:val="32"/>
        </w:rPr>
      </w:pPr>
      <w:bookmarkStart w:id="22" w:name="BookMark4"/>
    </w:p>
    <w:p w14:paraId="50F24220">
      <w:pPr>
        <w:spacing w:line="20" w:lineRule="exact"/>
        <w:jc w:val="center"/>
        <w:rPr>
          <w:rFonts w:ascii="黑体" w:hAnsi="黑体" w:eastAsia="黑体"/>
          <w:sz w:val="32"/>
          <w:szCs w:val="32"/>
        </w:rPr>
      </w:pPr>
    </w:p>
    <w:sdt>
      <w:sdtPr>
        <w:tag w:val="NEW_STAND_NAME"/>
        <w:id w:val="595910757"/>
        <w:lock w:val="sdtLocked"/>
        <w:placeholder>
          <w:docPart w:val="0E5CC64C6DEB48D7BFCA000915F1FB59"/>
        </w:placeholder>
      </w:sdtPr>
      <w:sdtContent>
        <w:p w14:paraId="3F899A70">
          <w:pPr>
            <w:pStyle w:val="177"/>
            <w:spacing w:before="312" w:beforeLines="100" w:after="3" w:afterLines="1"/>
          </w:pPr>
          <w:bookmarkStart w:id="23" w:name="NEW_STAND_NAME"/>
          <w:r>
            <w:rPr>
              <w:rFonts w:hint="eastAsia"/>
            </w:rPr>
            <w:t>减排效果评估技术要求</w:t>
          </w:r>
          <w:r>
            <w:t xml:space="preserve"> 第1部分：出行</w:t>
          </w:r>
        </w:p>
      </w:sdtContent>
    </w:sdt>
    <w:bookmarkEnd w:id="23"/>
    <w:p w14:paraId="76143755">
      <w:pPr>
        <w:pStyle w:val="104"/>
        <w:spacing w:before="312" w:after="312"/>
      </w:pPr>
      <w:bookmarkStart w:id="24" w:name="_Toc24884218"/>
      <w:bookmarkStart w:id="25" w:name="_Toc26648465"/>
      <w:bookmarkStart w:id="26" w:name="_Toc17233333"/>
      <w:bookmarkStart w:id="27" w:name="_Toc131518004"/>
      <w:bookmarkStart w:id="28" w:name="_Toc26986771"/>
      <w:bookmarkStart w:id="29" w:name="_Toc17233325"/>
      <w:bookmarkStart w:id="30" w:name="_Toc97190718"/>
      <w:bookmarkStart w:id="31" w:name="_Toc24884211"/>
      <w:bookmarkStart w:id="32" w:name="_Toc26986530"/>
      <w:bookmarkStart w:id="33" w:name="_Toc26718930"/>
      <w:r>
        <w:rPr>
          <w:rFonts w:hint="eastAsia"/>
        </w:rPr>
        <w:t>范围</w:t>
      </w:r>
      <w:bookmarkEnd w:id="24"/>
      <w:bookmarkEnd w:id="25"/>
      <w:bookmarkEnd w:id="26"/>
      <w:bookmarkEnd w:id="27"/>
      <w:bookmarkEnd w:id="28"/>
      <w:bookmarkEnd w:id="29"/>
      <w:bookmarkEnd w:id="30"/>
      <w:bookmarkEnd w:id="31"/>
      <w:bookmarkEnd w:id="32"/>
      <w:bookmarkEnd w:id="33"/>
    </w:p>
    <w:p w14:paraId="1AF78C78">
      <w:pPr>
        <w:pStyle w:val="56"/>
        <w:ind w:firstLine="420"/>
      </w:pPr>
      <w:bookmarkStart w:id="34" w:name="_Toc26648466"/>
      <w:bookmarkStart w:id="35" w:name="_Toc24884219"/>
      <w:bookmarkStart w:id="36" w:name="_Toc24884212"/>
      <w:bookmarkStart w:id="37" w:name="_Toc17233334"/>
      <w:bookmarkStart w:id="38" w:name="_Toc17233326"/>
      <w:r>
        <w:rPr>
          <w:rFonts w:hint="eastAsia"/>
        </w:rPr>
        <w:t>本文件规定了减排效果评估的程序、识别绿色出行行为、识别核算边界和基准线情景、评估减排量、数据来源等。</w:t>
      </w:r>
    </w:p>
    <w:p w14:paraId="0E0B10C9">
      <w:pPr>
        <w:pStyle w:val="56"/>
        <w:ind w:firstLine="420"/>
      </w:pPr>
      <w:r>
        <w:rPr>
          <w:rFonts w:hint="eastAsia"/>
        </w:rPr>
        <w:t>本文件适用绿色出行行为的减排效果评估，不涉及绿色出行行为所使用的相关载体产品生命周期减排效果评估。</w:t>
      </w:r>
    </w:p>
    <w:p w14:paraId="48AB1B52">
      <w:pPr>
        <w:pStyle w:val="104"/>
        <w:spacing w:before="312" w:after="312"/>
      </w:pPr>
      <w:bookmarkStart w:id="39" w:name="_Toc26986772"/>
      <w:bookmarkStart w:id="40" w:name="_Toc26718931"/>
      <w:bookmarkStart w:id="41" w:name="_Toc131518005"/>
      <w:bookmarkStart w:id="42" w:name="_Toc97190719"/>
      <w:bookmarkStart w:id="43" w:name="_Toc269865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F6F18B982C14E128A98A8B439823B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16A70A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2EB976">
      <w:pPr>
        <w:pStyle w:val="56"/>
        <w:ind w:firstLine="420"/>
      </w:pPr>
      <w:r>
        <w:rPr>
          <w:rFonts w:hint="eastAsia"/>
        </w:rPr>
        <w:t>GB/T 32150  工业企业温室气体排放核算和报告通则</w:t>
      </w:r>
    </w:p>
    <w:p w14:paraId="031C4D0D">
      <w:pPr>
        <w:pStyle w:val="104"/>
        <w:spacing w:before="312" w:after="312"/>
      </w:pPr>
      <w:bookmarkStart w:id="44" w:name="_Toc97190720"/>
      <w:bookmarkStart w:id="45" w:name="_Toc131518006"/>
      <w:r>
        <w:rPr>
          <w:rFonts w:hint="eastAsia"/>
          <w:szCs w:val="21"/>
        </w:rPr>
        <w:t>术语和定义</w:t>
      </w:r>
      <w:bookmarkEnd w:id="44"/>
      <w:bookmarkEnd w:id="45"/>
    </w:p>
    <w:sdt>
      <w:sdtPr>
        <w:id w:val="-1909835108"/>
        <w:placeholder>
          <w:docPart w:val="6F6F18B982C14E128A98A8B439823B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6FAEA5E">
          <w:pPr>
            <w:pStyle w:val="56"/>
            <w:ind w:firstLine="420"/>
          </w:pPr>
          <w:bookmarkStart w:id="46" w:name="_Toc26986532"/>
          <w:bookmarkEnd w:id="46"/>
          <w:r>
            <w:t>GB/T 32150界定的术语和定义适用于本文件。</w:t>
          </w:r>
        </w:p>
      </w:sdtContent>
    </w:sdt>
    <w:p w14:paraId="2CA8975C">
      <w:pPr>
        <w:pStyle w:val="105"/>
        <w:spacing w:before="156" w:after="156"/>
      </w:pPr>
      <w:bookmarkStart w:id="47" w:name="_Toc130559685"/>
      <w:bookmarkEnd w:id="47"/>
      <w:bookmarkStart w:id="48" w:name="_Toc131518007"/>
      <w:bookmarkEnd w:id="48"/>
      <w:bookmarkStart w:id="49" w:name="_Toc130559553"/>
      <w:bookmarkEnd w:id="49"/>
    </w:p>
    <w:p w14:paraId="67F774C6">
      <w:pPr>
        <w:pStyle w:val="223"/>
        <w:numPr>
          <w:ilvl w:val="0"/>
          <w:numId w:val="0"/>
        </w:numPr>
        <w:ind w:left="420"/>
        <w:rPr>
          <w:rFonts w:ascii="黑体" w:hAnsi="黑体" w:eastAsia="黑体"/>
        </w:rPr>
      </w:pPr>
      <w:bookmarkStart w:id="50" w:name="_Toc130559554"/>
      <w:bookmarkEnd w:id="50"/>
      <w:bookmarkStart w:id="51" w:name="_Toc130559686"/>
      <w:bookmarkEnd w:id="51"/>
      <w:r>
        <w:rPr>
          <w:rFonts w:hint="eastAsia" w:ascii="黑体" w:hAnsi="黑体" w:eastAsia="黑体"/>
        </w:rPr>
        <w:t xml:space="preserve">高排放出行 </w:t>
      </w:r>
      <w:r>
        <w:rPr>
          <w:rFonts w:ascii="黑体" w:hAnsi="黑体" w:eastAsia="黑体"/>
        </w:rPr>
        <w:t>H</w:t>
      </w:r>
      <w:r>
        <w:rPr>
          <w:rFonts w:hint="eastAsia" w:ascii="黑体" w:hAnsi="黑体" w:eastAsia="黑体"/>
        </w:rPr>
        <w:t>igh-carbon travel</w:t>
      </w:r>
    </w:p>
    <w:p w14:paraId="5AFC5E1D">
      <w:pPr>
        <w:pStyle w:val="56"/>
        <w:ind w:firstLine="420"/>
        <w:rPr>
          <w:rFonts w:eastAsia="新宋体"/>
          <w:szCs w:val="32"/>
        </w:rPr>
      </w:pPr>
      <w:r>
        <w:rPr>
          <w:rFonts w:hint="eastAsia" w:eastAsia="新宋体"/>
          <w:szCs w:val="32"/>
        </w:rPr>
        <w:t>个人驾驶小微型客车或使用巡游出租车、网约出租车等乘用车出行方式在社会道路上从出发地向目的地移动的交通行为。</w:t>
      </w:r>
    </w:p>
    <w:p w14:paraId="55108E54">
      <w:pPr>
        <w:pStyle w:val="56"/>
        <w:ind w:firstLine="420"/>
      </w:pPr>
      <w:r>
        <w:rPr>
          <w:rFonts w:hint="eastAsia" w:eastAsia="新宋体"/>
          <w:szCs w:val="32"/>
        </w:rPr>
        <w:t>注： GA 802 中小微型客车指车长小于或等于3500mm且内燃机气缸总排量小于或等于1000mL（对纯电动汽车为驱动电机总峰值功率小于或等于15kW）的微型载客汽车和车长小于6000mm且乘坐人数小于或等于9人的小型载客汽车。</w:t>
      </w:r>
    </w:p>
    <w:p w14:paraId="39DBB324">
      <w:pPr>
        <w:pStyle w:val="105"/>
        <w:spacing w:before="156" w:after="156"/>
      </w:pPr>
      <w:bookmarkStart w:id="52" w:name="_Toc130559555"/>
      <w:bookmarkEnd w:id="52"/>
      <w:bookmarkStart w:id="53" w:name="_Toc131518008"/>
      <w:bookmarkEnd w:id="53"/>
      <w:bookmarkStart w:id="54" w:name="_Toc130559687"/>
      <w:bookmarkEnd w:id="54"/>
    </w:p>
    <w:p w14:paraId="4CC5818B">
      <w:pPr>
        <w:pStyle w:val="223"/>
        <w:numPr>
          <w:ilvl w:val="0"/>
          <w:numId w:val="0"/>
        </w:numPr>
        <w:ind w:left="420"/>
        <w:rPr>
          <w:rFonts w:ascii="黑体" w:hAnsi="黑体" w:eastAsia="黑体"/>
        </w:rPr>
      </w:pPr>
      <w:r>
        <w:rPr>
          <w:rFonts w:hint="eastAsia" w:ascii="黑体" w:hAnsi="黑体" w:eastAsia="黑体"/>
        </w:rPr>
        <w:t>绿色出行 green travel</w:t>
      </w:r>
    </w:p>
    <w:p w14:paraId="1F4B5294">
      <w:pPr>
        <w:pStyle w:val="56"/>
        <w:ind w:firstLine="420"/>
        <w:rPr>
          <w:rFonts w:eastAsia="新宋体"/>
          <w:szCs w:val="32"/>
        </w:rPr>
      </w:pPr>
      <w:r>
        <w:rPr>
          <w:rFonts w:hint="eastAsia" w:eastAsia="新宋体"/>
          <w:szCs w:val="32"/>
        </w:rPr>
        <w:t>个人使用公共汽电车、城市轨道交通、骑行、步行、新能源小客车以及燃油/新能源小微型客车合乘等出行方式在道路上从出发地向目的地移动的交通行为和小微型客车停驶的行为。</w:t>
      </w:r>
    </w:p>
    <w:p w14:paraId="58AFC40D">
      <w:pPr>
        <w:pStyle w:val="105"/>
        <w:spacing w:before="156" w:after="156"/>
      </w:pPr>
      <w:bookmarkStart w:id="55" w:name="_Toc130559556"/>
      <w:bookmarkEnd w:id="55"/>
      <w:bookmarkStart w:id="56" w:name="_Toc131518009"/>
      <w:bookmarkEnd w:id="56"/>
      <w:bookmarkStart w:id="57" w:name="_Toc130559688"/>
      <w:bookmarkEnd w:id="57"/>
    </w:p>
    <w:p w14:paraId="39EA6919">
      <w:pPr>
        <w:pStyle w:val="223"/>
        <w:numPr>
          <w:ilvl w:val="0"/>
          <w:numId w:val="0"/>
        </w:numPr>
        <w:ind w:left="420"/>
        <w:rPr>
          <w:rFonts w:ascii="黑体" w:hAnsi="黑体" w:eastAsia="黑体"/>
        </w:rPr>
      </w:pPr>
      <w:r>
        <w:rPr>
          <w:rFonts w:hint="eastAsia" w:ascii="黑体" w:hAnsi="黑体" w:eastAsia="黑体"/>
        </w:rPr>
        <w:t>新能源小客车</w:t>
      </w:r>
    </w:p>
    <w:p w14:paraId="2B34A91D">
      <w:pPr>
        <w:pStyle w:val="56"/>
        <w:ind w:firstLine="420"/>
        <w:rPr>
          <w:rFonts w:hAnsi="宋体" w:cs="Arial"/>
          <w:szCs w:val="22"/>
        </w:rPr>
      </w:pPr>
      <w:r>
        <w:rPr>
          <w:rFonts w:hint="eastAsia" w:hAnsi="宋体" w:cs="Arial"/>
          <w:szCs w:val="22"/>
        </w:rPr>
        <w:t>指在已完成备案的小型、微型，以混合动力、插电式混合动力、纯电动、增程式和燃料电池等方式驱动的私人载客汽车。</w:t>
      </w:r>
    </w:p>
    <w:p w14:paraId="71114EB3">
      <w:pPr>
        <w:pStyle w:val="105"/>
        <w:spacing w:before="156" w:after="156"/>
      </w:pPr>
      <w:bookmarkStart w:id="58" w:name="_Toc130559557"/>
      <w:bookmarkEnd w:id="58"/>
      <w:bookmarkStart w:id="59" w:name="_Toc131518010"/>
      <w:bookmarkEnd w:id="59"/>
      <w:bookmarkStart w:id="60" w:name="_Toc130559689"/>
      <w:bookmarkEnd w:id="60"/>
    </w:p>
    <w:p w14:paraId="0C264889">
      <w:pPr>
        <w:pStyle w:val="223"/>
        <w:numPr>
          <w:ilvl w:val="0"/>
          <w:numId w:val="0"/>
        </w:numPr>
        <w:ind w:left="420"/>
        <w:rPr>
          <w:rFonts w:ascii="黑体" w:hAnsi="黑体" w:eastAsia="黑体"/>
        </w:rPr>
      </w:pPr>
      <w:r>
        <w:rPr>
          <w:rFonts w:hint="eastAsia" w:ascii="黑体" w:hAnsi="黑体" w:eastAsia="黑体"/>
        </w:rPr>
        <w:t>基准线情景</w:t>
      </w:r>
    </w:p>
    <w:p w14:paraId="06463609">
      <w:pPr>
        <w:pStyle w:val="56"/>
        <w:ind w:firstLine="420"/>
        <w:rPr>
          <w:rFonts w:hAnsi="宋体" w:cs="Arial"/>
          <w:szCs w:val="22"/>
        </w:rPr>
      </w:pPr>
      <w:r>
        <w:rPr>
          <w:rFonts w:hint="eastAsia" w:hAnsi="宋体" w:cs="Arial"/>
          <w:szCs w:val="22"/>
        </w:rPr>
        <w:t>用来提供参照的，和绿色出行行为同一发生条件（起讫地点、时长、距离等），但未采取节能降碳措施的假定出行行为。</w:t>
      </w:r>
    </w:p>
    <w:p w14:paraId="6005DAC6">
      <w:pPr>
        <w:pStyle w:val="56"/>
        <w:ind w:firstLine="420"/>
        <w:rPr>
          <w:rFonts w:hAnsi="宋体" w:cs="Arial"/>
          <w:szCs w:val="22"/>
        </w:rPr>
      </w:pPr>
      <w:r>
        <w:rPr>
          <w:rFonts w:hint="eastAsia" w:ascii="黑体" w:hAnsi="黑体" w:eastAsia="黑体" w:cs="黑体"/>
          <w:szCs w:val="22"/>
        </w:rPr>
        <w:t>注：</w:t>
      </w:r>
      <w:r>
        <w:rPr>
          <w:rFonts w:hint="eastAsia" w:hAnsi="宋体" w:cs="Arial"/>
          <w:szCs w:val="22"/>
        </w:rPr>
        <w:t>本文件基准线情景指个人独自驾驶燃油小型或微型客车的出行行为。</w:t>
      </w:r>
    </w:p>
    <w:p w14:paraId="5E61C561">
      <w:pPr>
        <w:pStyle w:val="105"/>
        <w:spacing w:before="156" w:after="156"/>
      </w:pPr>
      <w:bookmarkStart w:id="61" w:name="_Toc131518011"/>
      <w:bookmarkEnd w:id="61"/>
      <w:bookmarkStart w:id="62" w:name="_Toc130559558"/>
      <w:bookmarkEnd w:id="62"/>
      <w:bookmarkStart w:id="63" w:name="_Toc130559690"/>
      <w:bookmarkEnd w:id="63"/>
    </w:p>
    <w:p w14:paraId="191B97FC">
      <w:pPr>
        <w:pStyle w:val="56"/>
        <w:ind w:firstLine="420"/>
        <w:rPr>
          <w:rFonts w:ascii="黑体" w:hAnsi="黑体" w:eastAsia="黑体"/>
        </w:rPr>
      </w:pPr>
      <w:r>
        <w:rPr>
          <w:rFonts w:hint="eastAsia" w:ascii="黑体" w:hAnsi="黑体" w:eastAsia="黑体"/>
        </w:rPr>
        <w:t>减排量</w:t>
      </w:r>
    </w:p>
    <w:p w14:paraId="31838296">
      <w:pPr>
        <w:pStyle w:val="56"/>
        <w:ind w:firstLine="420"/>
      </w:pPr>
      <w:r>
        <w:rPr>
          <w:rFonts w:hint="eastAsia"/>
        </w:rPr>
        <w:t>在相同单位行为活动量或同一行为目的情况下，相对于基准线情景带来的二氧化碳排放量，绿色出行行为通过降低碳排放的行为和停止碳排放的行为而避免的二氧化碳排放量。</w:t>
      </w:r>
    </w:p>
    <w:p w14:paraId="546DD9F2">
      <w:pPr>
        <w:pStyle w:val="104"/>
        <w:spacing w:before="312" w:after="312"/>
      </w:pPr>
      <w:bookmarkStart w:id="64" w:name="_Toc131518014"/>
      <w:r>
        <w:rPr>
          <w:rFonts w:hint="eastAsia"/>
        </w:rPr>
        <w:t>程序</w:t>
      </w:r>
      <w:bookmarkEnd w:id="64"/>
    </w:p>
    <w:p w14:paraId="277B4923">
      <w:pPr>
        <w:pStyle w:val="56"/>
        <w:ind w:firstLine="420"/>
        <w:rPr>
          <w:szCs w:val="21"/>
        </w:rPr>
      </w:pPr>
      <w:r>
        <w:rPr>
          <w:rFonts w:hint="eastAsia"/>
        </w:rPr>
        <w:t>绿色出行减排量评估程序包括：</w:t>
      </w:r>
    </w:p>
    <w:p w14:paraId="0E170600">
      <w:pPr>
        <w:pStyle w:val="174"/>
      </w:pPr>
      <w:r>
        <w:rPr>
          <w:rFonts w:hint="eastAsia"/>
        </w:rPr>
        <w:t>识别绿色出行行为；</w:t>
      </w:r>
    </w:p>
    <w:p w14:paraId="413A1D6B">
      <w:pPr>
        <w:pStyle w:val="174"/>
      </w:pPr>
      <w:r>
        <w:rPr>
          <w:rFonts w:hint="eastAsia"/>
        </w:rPr>
        <w:t>识别核算边界；</w:t>
      </w:r>
    </w:p>
    <w:p w14:paraId="68D6DCDA">
      <w:pPr>
        <w:pStyle w:val="174"/>
      </w:pPr>
      <w:r>
        <w:rPr>
          <w:rFonts w:hint="eastAsia"/>
        </w:rPr>
        <w:t>评估减排量。</w:t>
      </w:r>
    </w:p>
    <w:p w14:paraId="10DCF857">
      <w:pPr>
        <w:pStyle w:val="56"/>
        <w:ind w:firstLine="420"/>
      </w:pPr>
      <w:r>
        <w:rPr>
          <w:rFonts w:hint="eastAsia"/>
        </w:rPr>
        <w:t>评估程序见图1。</w:t>
      </w:r>
    </w:p>
    <w:p w14:paraId="3FA431D3">
      <w:pPr>
        <w:pStyle w:val="56"/>
        <w:ind w:firstLine="0" w:firstLineChars="0"/>
        <w:jc w:val="center"/>
      </w:pPr>
      <w:r>
        <w:drawing>
          <wp:inline distT="0" distB="0" distL="0" distR="0">
            <wp:extent cx="3728720" cy="1837690"/>
            <wp:effectExtent l="0" t="0" r="508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8720" cy="1837690"/>
                    </a:xfrm>
                    <a:prstGeom prst="rect">
                      <a:avLst/>
                    </a:prstGeom>
                    <a:noFill/>
                  </pic:spPr>
                </pic:pic>
              </a:graphicData>
            </a:graphic>
          </wp:inline>
        </w:drawing>
      </w:r>
    </w:p>
    <w:p w14:paraId="2A306F0B">
      <w:pPr>
        <w:pStyle w:val="114"/>
        <w:spacing w:before="156" w:after="156"/>
      </w:pPr>
      <w:r>
        <w:rPr>
          <w:rFonts w:hint="eastAsia"/>
        </w:rPr>
        <w:t>减排量评估程序</w:t>
      </w:r>
    </w:p>
    <w:p w14:paraId="01DEA51F">
      <w:pPr>
        <w:pStyle w:val="104"/>
        <w:spacing w:before="312" w:after="312"/>
      </w:pPr>
      <w:bookmarkStart w:id="65" w:name="_Toc131518015"/>
      <w:r>
        <w:rPr>
          <w:rFonts w:hint="eastAsia"/>
        </w:rPr>
        <w:t>识别绿色出行行为</w:t>
      </w:r>
      <w:bookmarkEnd w:id="65"/>
    </w:p>
    <w:p w14:paraId="2A8FC2CF">
      <w:pPr>
        <w:pStyle w:val="56"/>
        <w:ind w:firstLine="420"/>
      </w:pPr>
      <w:r>
        <w:rPr>
          <w:rFonts w:hint="eastAsia"/>
        </w:rPr>
        <w:t>绿色出行行为见表1。</w:t>
      </w:r>
    </w:p>
    <w:p w14:paraId="1ED0A2FA">
      <w:pPr>
        <w:pStyle w:val="112"/>
        <w:spacing w:before="156" w:after="156"/>
      </w:pPr>
      <w:r>
        <w:rPr>
          <w:rFonts w:hint="eastAsia"/>
        </w:rPr>
        <w:t>绿色出行行为类别</w:t>
      </w:r>
    </w:p>
    <w:tbl>
      <w:tblPr>
        <w:tblStyle w:val="27"/>
        <w:tblW w:w="501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74"/>
        <w:gridCol w:w="3563"/>
        <w:gridCol w:w="5056"/>
      </w:tblGrid>
      <w:tr w14:paraId="0E64A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2" w:type="pct"/>
            <w:tcBorders>
              <w:top w:val="single" w:color="auto" w:sz="8" w:space="0"/>
              <w:bottom w:val="single" w:color="auto" w:sz="8" w:space="0"/>
            </w:tcBorders>
            <w:shd w:val="clear" w:color="auto" w:fill="auto"/>
            <w:vAlign w:val="center"/>
          </w:tcPr>
          <w:p w14:paraId="524B65D3">
            <w:pPr>
              <w:pStyle w:val="178"/>
            </w:pPr>
            <w:r>
              <w:rPr>
                <w:rFonts w:hint="eastAsia"/>
              </w:rPr>
              <w:t>序号</w:t>
            </w:r>
          </w:p>
        </w:tc>
        <w:tc>
          <w:tcPr>
            <w:tcW w:w="1896" w:type="pct"/>
            <w:tcBorders>
              <w:top w:val="single" w:color="auto" w:sz="8" w:space="0"/>
              <w:bottom w:val="single" w:color="auto" w:sz="8" w:space="0"/>
            </w:tcBorders>
            <w:shd w:val="clear" w:color="auto" w:fill="auto"/>
            <w:vAlign w:val="center"/>
          </w:tcPr>
          <w:p w14:paraId="02571306">
            <w:pPr>
              <w:pStyle w:val="178"/>
            </w:pPr>
            <w:r>
              <w:rPr>
                <w:rFonts w:hint="eastAsia"/>
              </w:rPr>
              <w:t>类别</w:t>
            </w:r>
          </w:p>
        </w:tc>
        <w:tc>
          <w:tcPr>
            <w:tcW w:w="2690" w:type="pct"/>
            <w:tcBorders>
              <w:top w:val="single" w:color="auto" w:sz="8" w:space="0"/>
              <w:bottom w:val="single" w:color="auto" w:sz="8" w:space="0"/>
            </w:tcBorders>
            <w:shd w:val="clear" w:color="auto" w:fill="auto"/>
            <w:vAlign w:val="center"/>
          </w:tcPr>
          <w:p w14:paraId="099A0D24">
            <w:pPr>
              <w:pStyle w:val="178"/>
            </w:pPr>
            <w:r>
              <w:rPr>
                <w:rFonts w:hint="eastAsia"/>
              </w:rPr>
              <w:t>具体行为描述</w:t>
            </w:r>
          </w:p>
        </w:tc>
      </w:tr>
      <w:tr w14:paraId="339D0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2" w:type="pct"/>
            <w:tcBorders>
              <w:top w:val="single" w:color="auto" w:sz="8" w:space="0"/>
            </w:tcBorders>
            <w:shd w:val="clear" w:color="auto" w:fill="auto"/>
            <w:vAlign w:val="center"/>
          </w:tcPr>
          <w:p w14:paraId="77DC941E">
            <w:pPr>
              <w:pStyle w:val="178"/>
            </w:pPr>
            <w:r>
              <w:rPr>
                <w:rFonts w:hint="eastAsia"/>
              </w:rPr>
              <w:t>1</w:t>
            </w:r>
          </w:p>
        </w:tc>
        <w:tc>
          <w:tcPr>
            <w:tcW w:w="1896" w:type="pct"/>
            <w:tcBorders>
              <w:top w:val="single" w:color="auto" w:sz="8" w:space="0"/>
            </w:tcBorders>
            <w:shd w:val="clear" w:color="auto" w:fill="auto"/>
            <w:vAlign w:val="center"/>
          </w:tcPr>
          <w:p w14:paraId="45138EB5">
            <w:pPr>
              <w:pStyle w:val="178"/>
            </w:pPr>
            <w:r>
              <w:rPr>
                <w:rFonts w:hint="eastAsia"/>
              </w:rPr>
              <w:t>使用绿色交通工具</w:t>
            </w:r>
          </w:p>
        </w:tc>
        <w:tc>
          <w:tcPr>
            <w:tcW w:w="2690" w:type="pct"/>
            <w:tcBorders>
              <w:top w:val="single" w:color="auto" w:sz="8" w:space="0"/>
            </w:tcBorders>
            <w:shd w:val="clear" w:color="auto" w:fill="auto"/>
            <w:vAlign w:val="center"/>
          </w:tcPr>
          <w:p w14:paraId="6DBA551C">
            <w:pPr>
              <w:pStyle w:val="178"/>
            </w:pPr>
            <w:r>
              <w:rPr>
                <w:rFonts w:hint="eastAsia"/>
              </w:rPr>
              <w:t>乘坐公共汽电车</w:t>
            </w:r>
          </w:p>
        </w:tc>
      </w:tr>
      <w:tr w14:paraId="475F4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2" w:type="pct"/>
            <w:shd w:val="clear" w:color="auto" w:fill="auto"/>
            <w:vAlign w:val="center"/>
          </w:tcPr>
          <w:p w14:paraId="2B81132B">
            <w:pPr>
              <w:pStyle w:val="178"/>
            </w:pPr>
            <w:r>
              <w:rPr>
                <w:rFonts w:hint="eastAsia"/>
              </w:rPr>
              <w:t>2</w:t>
            </w:r>
          </w:p>
        </w:tc>
        <w:tc>
          <w:tcPr>
            <w:tcW w:w="1896" w:type="pct"/>
            <w:shd w:val="clear" w:color="auto" w:fill="auto"/>
            <w:vAlign w:val="center"/>
          </w:tcPr>
          <w:p w14:paraId="1FE1ACA2">
            <w:pPr>
              <w:pStyle w:val="178"/>
            </w:pPr>
            <w:r>
              <w:rPr>
                <w:rFonts w:hint="eastAsia"/>
              </w:rPr>
              <w:t>使用绿色交通工具</w:t>
            </w:r>
          </w:p>
        </w:tc>
        <w:tc>
          <w:tcPr>
            <w:tcW w:w="2690" w:type="pct"/>
            <w:shd w:val="clear" w:color="auto" w:fill="auto"/>
            <w:vAlign w:val="center"/>
          </w:tcPr>
          <w:p w14:paraId="698D5E2D">
            <w:pPr>
              <w:pStyle w:val="178"/>
            </w:pPr>
            <w:r>
              <w:rPr>
                <w:rFonts w:hint="eastAsia"/>
              </w:rPr>
              <w:t>乘坐城市轨道交通</w:t>
            </w:r>
          </w:p>
        </w:tc>
      </w:tr>
      <w:tr w14:paraId="36A35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2" w:type="pct"/>
            <w:shd w:val="clear" w:color="auto" w:fill="auto"/>
            <w:vAlign w:val="center"/>
          </w:tcPr>
          <w:p w14:paraId="4B7B3CB1">
            <w:pPr>
              <w:pStyle w:val="178"/>
            </w:pPr>
            <w:r>
              <w:rPr>
                <w:rFonts w:hint="eastAsia"/>
              </w:rPr>
              <w:t>3</w:t>
            </w:r>
          </w:p>
        </w:tc>
        <w:tc>
          <w:tcPr>
            <w:tcW w:w="1896" w:type="pct"/>
            <w:shd w:val="clear" w:color="auto" w:fill="auto"/>
            <w:vAlign w:val="center"/>
          </w:tcPr>
          <w:p w14:paraId="1241A7C2">
            <w:pPr>
              <w:pStyle w:val="178"/>
            </w:pPr>
            <w:r>
              <w:rPr>
                <w:rFonts w:hint="eastAsia"/>
              </w:rPr>
              <w:t>使用绿色交通工具</w:t>
            </w:r>
          </w:p>
        </w:tc>
        <w:tc>
          <w:tcPr>
            <w:tcW w:w="2690" w:type="pct"/>
            <w:shd w:val="clear" w:color="auto" w:fill="auto"/>
            <w:vAlign w:val="center"/>
          </w:tcPr>
          <w:p w14:paraId="6288C1CF">
            <w:pPr>
              <w:pStyle w:val="178"/>
            </w:pPr>
            <w:r>
              <w:rPr>
                <w:rFonts w:hint="eastAsia"/>
              </w:rPr>
              <w:t>骑行</w:t>
            </w:r>
          </w:p>
        </w:tc>
      </w:tr>
      <w:tr w14:paraId="3B38F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2" w:type="pct"/>
            <w:shd w:val="clear" w:color="auto" w:fill="auto"/>
            <w:vAlign w:val="center"/>
          </w:tcPr>
          <w:p w14:paraId="0AED579A">
            <w:pPr>
              <w:pStyle w:val="178"/>
            </w:pPr>
            <w:r>
              <w:rPr>
                <w:rFonts w:hint="eastAsia"/>
              </w:rPr>
              <w:t>4</w:t>
            </w:r>
          </w:p>
        </w:tc>
        <w:tc>
          <w:tcPr>
            <w:tcW w:w="1896" w:type="pct"/>
            <w:shd w:val="clear" w:color="auto" w:fill="auto"/>
            <w:vAlign w:val="center"/>
          </w:tcPr>
          <w:p w14:paraId="12FEF37B">
            <w:pPr>
              <w:pStyle w:val="178"/>
            </w:pPr>
            <w:r>
              <w:rPr>
                <w:rFonts w:hint="eastAsia"/>
              </w:rPr>
              <w:t>使用绿色交通工具</w:t>
            </w:r>
          </w:p>
        </w:tc>
        <w:tc>
          <w:tcPr>
            <w:tcW w:w="2690" w:type="pct"/>
            <w:shd w:val="clear" w:color="auto" w:fill="auto"/>
            <w:vAlign w:val="center"/>
          </w:tcPr>
          <w:p w14:paraId="1614622F">
            <w:pPr>
              <w:pStyle w:val="178"/>
            </w:pPr>
            <w:r>
              <w:rPr>
                <w:rFonts w:hint="eastAsia"/>
              </w:rPr>
              <w:t>步行</w:t>
            </w:r>
          </w:p>
        </w:tc>
      </w:tr>
      <w:tr w14:paraId="105A4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2" w:type="pct"/>
            <w:shd w:val="clear" w:color="auto" w:fill="auto"/>
            <w:vAlign w:val="center"/>
          </w:tcPr>
          <w:p w14:paraId="1CDDF106">
            <w:pPr>
              <w:pStyle w:val="178"/>
            </w:pPr>
            <w:r>
              <w:rPr>
                <w:rFonts w:hint="eastAsia"/>
              </w:rPr>
              <w:t>5</w:t>
            </w:r>
          </w:p>
        </w:tc>
        <w:tc>
          <w:tcPr>
            <w:tcW w:w="1896" w:type="pct"/>
            <w:shd w:val="clear" w:color="auto" w:fill="auto"/>
            <w:vAlign w:val="center"/>
          </w:tcPr>
          <w:p w14:paraId="733145AE">
            <w:pPr>
              <w:pStyle w:val="178"/>
            </w:pPr>
            <w:r>
              <w:rPr>
                <w:rFonts w:hint="eastAsia"/>
              </w:rPr>
              <w:t>使用绿色交通工具</w:t>
            </w:r>
          </w:p>
        </w:tc>
        <w:tc>
          <w:tcPr>
            <w:tcW w:w="2690" w:type="pct"/>
            <w:shd w:val="clear" w:color="auto" w:fill="auto"/>
            <w:vAlign w:val="center"/>
          </w:tcPr>
          <w:p w14:paraId="51308289">
            <w:pPr>
              <w:pStyle w:val="178"/>
            </w:pPr>
            <w:r>
              <w:rPr>
                <w:rFonts w:hint="eastAsia"/>
              </w:rPr>
              <w:t>驾乘新能源小客车</w:t>
            </w:r>
          </w:p>
        </w:tc>
      </w:tr>
      <w:tr w14:paraId="2D3F6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2" w:type="pct"/>
            <w:tcBorders>
              <w:bottom w:val="single" w:color="auto" w:sz="8" w:space="0"/>
            </w:tcBorders>
            <w:shd w:val="clear" w:color="auto" w:fill="auto"/>
            <w:vAlign w:val="center"/>
          </w:tcPr>
          <w:p w14:paraId="26B34C75">
            <w:pPr>
              <w:pStyle w:val="178"/>
            </w:pPr>
            <w:r>
              <w:t>6</w:t>
            </w:r>
          </w:p>
        </w:tc>
        <w:tc>
          <w:tcPr>
            <w:tcW w:w="1896" w:type="pct"/>
            <w:tcBorders>
              <w:bottom w:val="single" w:color="auto" w:sz="8" w:space="0"/>
            </w:tcBorders>
            <w:shd w:val="clear" w:color="auto" w:fill="auto"/>
            <w:vAlign w:val="center"/>
          </w:tcPr>
          <w:p w14:paraId="2AE7F5BC">
            <w:pPr>
              <w:pStyle w:val="178"/>
            </w:pPr>
            <w:r>
              <w:rPr>
                <w:rFonts w:hint="eastAsia"/>
              </w:rPr>
              <w:t>采用交通工具绿色使用模式</w:t>
            </w:r>
          </w:p>
        </w:tc>
        <w:tc>
          <w:tcPr>
            <w:tcW w:w="2690" w:type="pct"/>
            <w:tcBorders>
              <w:bottom w:val="single" w:color="auto" w:sz="8" w:space="0"/>
            </w:tcBorders>
            <w:shd w:val="clear" w:color="auto" w:fill="auto"/>
            <w:vAlign w:val="center"/>
          </w:tcPr>
          <w:p w14:paraId="0BDFD1C8">
            <w:pPr>
              <w:pStyle w:val="178"/>
            </w:pPr>
            <w:bookmarkStart w:id="66" w:name="_Hlk116414717"/>
            <w:r>
              <w:rPr>
                <w:rFonts w:hint="eastAsia"/>
              </w:rPr>
              <w:t>合乘燃油/新能源汽车</w:t>
            </w:r>
            <w:bookmarkEnd w:id="66"/>
          </w:p>
        </w:tc>
      </w:tr>
    </w:tbl>
    <w:p w14:paraId="32787F73">
      <w:pPr>
        <w:pStyle w:val="104"/>
        <w:spacing w:before="312" w:after="312"/>
      </w:pPr>
      <w:bookmarkStart w:id="67" w:name="_Toc131518016"/>
      <w:r>
        <w:rPr>
          <w:rFonts w:hint="eastAsia"/>
        </w:rPr>
        <w:t>识别核算边界和基准线情景</w:t>
      </w:r>
      <w:bookmarkEnd w:id="67"/>
    </w:p>
    <w:p w14:paraId="2964651D">
      <w:pPr>
        <w:pStyle w:val="56"/>
        <w:ind w:firstLine="420"/>
      </w:pPr>
      <w:r>
        <w:rPr>
          <w:rFonts w:hint="eastAsia"/>
        </w:rPr>
        <w:t>应核算基准线情景和绿色出行行为发生时涉及或使用的载体产品消耗的化石燃料和电力等产生的碳排放量，制冷剂泄漏量等产生的碳排放量可不计。</w:t>
      </w:r>
    </w:p>
    <w:p w14:paraId="63D9B711">
      <w:pPr>
        <w:pStyle w:val="56"/>
        <w:ind w:firstLine="420"/>
      </w:pPr>
      <w:r>
        <w:rPr>
          <w:rFonts w:hint="eastAsia"/>
        </w:rPr>
        <w:t>基准线情景和绿色出行行为涉及或使用载体产品制造、运输、回收以及处置阶段的碳排放量不包括在内。</w:t>
      </w:r>
    </w:p>
    <w:p w14:paraId="58519A46">
      <w:pPr>
        <w:pStyle w:val="56"/>
        <w:ind w:firstLine="420"/>
      </w:pPr>
      <w:r>
        <w:rPr>
          <w:rFonts w:hint="eastAsia"/>
        </w:rPr>
        <w:t>基准线情景为高排放行为的情景。</w:t>
      </w:r>
    </w:p>
    <w:p w14:paraId="70882E7D">
      <w:pPr>
        <w:pStyle w:val="56"/>
        <w:ind w:firstLine="420"/>
      </w:pPr>
      <w:r>
        <w:rPr>
          <w:rFonts w:hint="eastAsia"/>
        </w:rPr>
        <w:t>情景应划分为三类，即情景A，情景B和情景C。</w:t>
      </w:r>
    </w:p>
    <w:p w14:paraId="611DAEC2">
      <w:pPr>
        <w:pStyle w:val="179"/>
      </w:pPr>
      <w:r>
        <w:rPr>
          <w:rFonts w:hint="eastAsia"/>
        </w:rPr>
        <w:t>全国情景选值原则参考附录</w:t>
      </w:r>
      <w:r>
        <w:t>A</w:t>
      </w:r>
      <w:r>
        <w:rPr>
          <w:rFonts w:hint="eastAsia"/>
        </w:rPr>
        <w:t>。</w:t>
      </w:r>
    </w:p>
    <w:p w14:paraId="1BBF0C98">
      <w:pPr>
        <w:pStyle w:val="104"/>
        <w:spacing w:before="312" w:after="312"/>
      </w:pPr>
      <w:bookmarkStart w:id="68" w:name="_Toc131518017"/>
      <w:r>
        <w:rPr>
          <w:rFonts w:hint="eastAsia"/>
        </w:rPr>
        <w:t>评估减排量</w:t>
      </w:r>
      <w:bookmarkEnd w:id="68"/>
    </w:p>
    <w:p w14:paraId="3FD35224">
      <w:pPr>
        <w:pStyle w:val="105"/>
        <w:spacing w:before="156" w:after="156"/>
      </w:pPr>
      <w:bookmarkStart w:id="69" w:name="_Toc130559565"/>
      <w:bookmarkStart w:id="70" w:name="_Toc130559697"/>
      <w:bookmarkStart w:id="71" w:name="_Toc131518018"/>
      <w:r>
        <w:rPr>
          <w:rFonts w:hint="eastAsia"/>
        </w:rPr>
        <w:t>高排放行为</w:t>
      </w:r>
      <w:bookmarkEnd w:id="69"/>
      <w:bookmarkEnd w:id="70"/>
      <w:bookmarkEnd w:id="71"/>
    </w:p>
    <w:p w14:paraId="0FD28DFA">
      <w:pPr>
        <w:pStyle w:val="65"/>
        <w:spacing w:before="156" w:after="156"/>
      </w:pPr>
      <w:r>
        <w:rPr>
          <w:rFonts w:hint="eastAsia"/>
        </w:rPr>
        <w:t>碳排放量计算公式</w:t>
      </w:r>
    </w:p>
    <w:p w14:paraId="7A293C78">
      <w:pPr>
        <w:pStyle w:val="56"/>
        <w:ind w:firstLine="420"/>
      </w:pPr>
      <w:bookmarkStart w:id="72" w:name="_Hlk117031975"/>
      <w:r>
        <w:rPr>
          <w:rFonts w:hint="eastAsia"/>
        </w:rPr>
        <w:t>基准高排放行为碳排放量计算公式</w:t>
      </w:r>
      <w:bookmarkEnd w:id="72"/>
      <w:r>
        <w:rPr>
          <w:rFonts w:hint="eastAsia"/>
        </w:rPr>
        <w:t>见（1）。</w:t>
      </w:r>
    </w:p>
    <w:p w14:paraId="0242513D">
      <w:pPr>
        <w:pStyle w:val="113"/>
        <w:jc w:val="right"/>
      </w:pPr>
      <w:r>
        <w:tab/>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hint="eastAsia"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hint="eastAsia"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PKM,</m:t>
                </m:r>
                <m:r>
                  <m:rPr/>
                  <w:rPr>
                    <w:rFonts w:hint="eastAsia" w:ascii="Cambria Math" w:hAnsi="Cambria Math"/>
                  </w:rPr>
                  <m:t>i</m:t>
                </m:r>
                <m:r>
                  <m:rPr/>
                  <w:rPr>
                    <w:rFonts w:ascii="Cambria Math" w:hAnsi="Cambria Math"/>
                  </w:rPr>
                  <m:t>,BL</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m:t>
            </m:r>
            <m:sSub>
              <m:sSubPr>
                <m:ctrlPr>
                  <w:rPr>
                    <w:rFonts w:ascii="Cambria Math" w:hAnsi="Cambria Math"/>
                    <w:i/>
                    <w:kern w:val="0"/>
                    <w:szCs w:val="20"/>
                  </w:rPr>
                </m:ctrlPr>
              </m:sSubPr>
              <m:e>
                <m:r>
                  <m:rPr/>
                  <w:rPr>
                    <w:rFonts w:hint="eastAsia" w:ascii="Cambria Math" w:hAnsi="Cambria Math"/>
                  </w:rPr>
                  <m:t>m</m:t>
                </m:r>
                <m:ctrlPr>
                  <w:rPr>
                    <w:rFonts w:ascii="Cambria Math" w:hAnsi="Cambria Math"/>
                    <w:i/>
                    <w:kern w:val="0"/>
                    <w:szCs w:val="20"/>
                  </w:rPr>
                </m:ctrlPr>
              </m:e>
              <m:sub>
                <m:r>
                  <m:rPr/>
                  <w:rPr>
                    <w:rFonts w:ascii="Cambria Math" w:hAnsi="Cambria Math"/>
                  </w:rPr>
                  <m:t>k</m:t>
                </m:r>
                <m:ctrlPr>
                  <w:rPr>
                    <w:rFonts w:ascii="Cambria Math" w:hAnsi="Cambria Math"/>
                    <w:i/>
                    <w:kern w:val="0"/>
                    <w:szCs w:val="20"/>
                  </w:rPr>
                </m:ctrlPr>
              </m:sub>
            </m:sSub>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Cambria Math" w:hAnsi="Cambria Math"/>
        </w:rPr>
        <w:t>)</w:t>
      </w:r>
      <w:r>
        <w:rPr>
          <w:rFonts w:ascii="微软雅黑" w:hAnsi="微软雅黑" w:eastAsia="微软雅黑"/>
        </w:rPr>
        <w:t xml:space="preserve"> ………………………………..</w:t>
      </w:r>
      <w:r>
        <w:t>(1)</w:t>
      </w:r>
    </w:p>
    <w:p w14:paraId="68D67DC1">
      <w:pPr>
        <w:pStyle w:val="55"/>
        <w:ind w:firstLine="420"/>
      </w:pPr>
      <w:r>
        <w:rPr>
          <w:rFonts w:hint="eastAsia"/>
        </w:rPr>
        <w:t>式中：</w:t>
      </w:r>
    </w:p>
    <w:p w14:paraId="72200D6D">
      <w:pPr>
        <w:pStyle w:val="229"/>
        <w:ind w:firstLineChars="0"/>
        <w:rPr>
          <w:rFonts w:ascii="Cambria Math" w:hAnsi="Cambria Math"/>
        </w:rPr>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hAnsi="宋体"/>
        </w:rPr>
        <w:t>——</w:t>
      </w:r>
      <w:r>
        <w:rPr>
          <w:rFonts w:hint="eastAsia" w:ascii="Cambria Math" w:hAnsi="Cambria Math"/>
        </w:rPr>
        <w:t>第</w:t>
      </w:r>
      <w:r>
        <w:rPr>
          <w:rFonts w:ascii="Cambria Math" w:hAnsi="Cambria Math"/>
        </w:rPr>
        <w:t>y</w:t>
      </w:r>
      <w:r>
        <w:rPr>
          <w:rFonts w:hint="eastAsia" w:ascii="Cambria Math" w:hAnsi="Cambria Math"/>
        </w:rPr>
        <w:t>年基准高排放行为碳排放量，单位为吨二氧化碳（</w:t>
      </w:r>
      <w:r>
        <w:rPr>
          <w:rFonts w:ascii="Times New Roman"/>
          <w:lang w:val="en-AU"/>
        </w:rPr>
        <w:t>tCO</w:t>
      </w:r>
      <w:r>
        <w:rPr>
          <w:rFonts w:ascii="Times New Roman"/>
          <w:vertAlign w:val="subscript"/>
          <w:lang w:val="en-AU"/>
        </w:rPr>
        <w:t>2</w:t>
      </w:r>
      <w:r>
        <w:rPr>
          <w:rFonts w:hint="eastAsia" w:ascii="Cambria Math" w:hAnsi="Cambria Math"/>
        </w:rPr>
        <w:t>）；</w:t>
      </w:r>
    </w:p>
    <w:p w14:paraId="1DDE2B03">
      <w:pPr>
        <w:pStyle w:val="229"/>
        <w:ind w:firstLineChars="0"/>
        <w:rPr>
          <w:rFonts w:ascii="Cambria Math" w:hAnsi="Cambria Math"/>
        </w:rPr>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m:t>
            </m:r>
            <m:r>
              <m:rPr>
                <m:sty m:val="p"/>
              </m:rPr>
              <w:rPr>
                <w:rFonts w:ascii="Cambria Math" w:hAnsi="Cambria Math"/>
              </w:rPr>
              <m:t>,</m:t>
            </m:r>
            <m:r>
              <m:rPr/>
              <w:rPr>
                <w:rFonts w:hint="eastAsia" w:ascii="Cambria Math" w:hAnsi="Cambria Math"/>
              </w:rPr>
              <m:t>i</m:t>
            </m:r>
            <m:r>
              <m:rPr>
                <m:sty m:val="p"/>
              </m:rPr>
              <w:rPr>
                <w:rFonts w:ascii="Cambria Math" w:hAnsi="Cambria Math"/>
              </w:rPr>
              <m:t>,</m:t>
            </m:r>
            <m:r>
              <m:rPr/>
              <w:rPr>
                <w:rFonts w:ascii="Cambria Math" w:hAnsi="Cambria Math"/>
              </w:rPr>
              <m:t>BL</m:t>
            </m:r>
            <m:ctrlPr>
              <w:rPr>
                <w:rFonts w:ascii="Cambria Math" w:hAnsi="Cambria Math"/>
              </w:rPr>
            </m:ctrlPr>
          </m:sub>
        </m:sSub>
      </m:oMath>
      <w:r>
        <w:rPr>
          <w:rFonts w:hint="eastAsia" w:hAnsi="宋体"/>
        </w:rPr>
        <w:t>——</w:t>
      </w:r>
      <w:r>
        <w:rPr>
          <w:rFonts w:hint="eastAsia" w:ascii="Cambria Math" w:hAnsi="Cambria Math"/>
        </w:rPr>
        <w:t>第i次出行基准线人公里速度排放因子，单位为吨二氧化碳每人公里（</w:t>
      </w:r>
      <w:r>
        <w:rPr>
          <w:rFonts w:ascii="Cambria Math" w:hAnsi="Cambria Math"/>
        </w:rPr>
        <w:t>tCO</w:t>
      </w:r>
      <w:r>
        <w:rPr>
          <w:rFonts w:ascii="Cambria Math" w:hAnsi="Cambria Math"/>
          <w:vertAlign w:val="subscript"/>
        </w:rPr>
        <w:t>2</w:t>
      </w:r>
      <w:r>
        <w:rPr>
          <w:rFonts w:hint="eastAsia" w:ascii="Cambria Math" w:hAnsi="Cambria Math"/>
        </w:rPr>
        <w:t>/</w:t>
      </w:r>
      <w:r>
        <w:rPr>
          <w:rFonts w:ascii="Cambria Math" w:hAnsi="Cambria Math"/>
        </w:rPr>
        <w:t>PKM</w:t>
      </w:r>
      <w:r>
        <w:rPr>
          <w:rFonts w:hint="eastAsia" w:ascii="Cambria Math" w:hAnsi="Cambria Math"/>
        </w:rPr>
        <w:t>）；</w:t>
      </w:r>
    </w:p>
    <w:p w14:paraId="280B0D33">
      <w:pPr>
        <w:pStyle w:val="229"/>
        <w:ind w:firstLineChars="0"/>
        <w:rPr>
          <w:rFonts w:ascii="Cambria Math" w:hAnsi="Cambria Math"/>
        </w:rPr>
      </w:pPr>
      <m:oMath>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k</m:t>
            </m:r>
            <m:ctrlPr>
              <w:rPr>
                <w:rFonts w:ascii="Cambria Math" w:hAnsi="Cambria Math"/>
                <w:i/>
              </w:rPr>
            </m:ctrlPr>
          </m:sub>
        </m:sSub>
        <m:r>
          <m:rPr/>
          <w:rPr>
            <w:rFonts w:hint="eastAsia" w:ascii="Cambria Math" w:hAnsi="Cambria Math"/>
          </w:rPr>
          <m:t>——</m:t>
        </m:r>
      </m:oMath>
      <w:r>
        <w:rPr>
          <w:rFonts w:hint="eastAsia" w:ascii="Cambria Math" w:hAnsi="Cambria Math"/>
        </w:rPr>
        <w:t>在基础年城市路网条件下，相同起讫点下小微型客车最短出行距离与绿色出行方式的出行距离比值的平均值，在无法获取平均值时，则默认为1。当k为驾乘新能源小客车时，则结合城市对燃油车与新能源小客车的差异化通行政策分别对燃油车和新能源车行驶强度的影响来取值。</w:t>
      </w:r>
    </w:p>
    <w:p w14:paraId="73497320">
      <w:pPr>
        <w:pStyle w:val="229"/>
        <w:ind w:firstLineChars="0"/>
        <w:rPr>
          <w:rFonts w:ascii="Cambria Math" w:hAnsi="Cambria Math"/>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hAnsi="宋体"/>
        </w:rPr>
        <w:t>——</w:t>
      </w:r>
      <w:r>
        <w:rPr>
          <w:rFonts w:hint="eastAsia" w:ascii="Cambria Math" w:hAnsi="Cambria Math"/>
        </w:rPr>
        <w:t>第i次出行基准线情景被替代的高排放出行里程，单位为公里（k</w:t>
      </w:r>
      <w:r>
        <w:rPr>
          <w:rFonts w:ascii="Cambria Math" w:hAnsi="Cambria Math"/>
        </w:rPr>
        <w:t>m</w:t>
      </w:r>
      <w:r>
        <w:rPr>
          <w:rFonts w:hint="eastAsia" w:ascii="Cambria Math" w:hAnsi="Cambria Math"/>
        </w:rPr>
        <w:t>）。</w:t>
      </w:r>
    </w:p>
    <w:p w14:paraId="1A04B42C">
      <w:pPr>
        <w:pStyle w:val="65"/>
        <w:spacing w:before="156" w:after="156"/>
      </w:pPr>
      <w:r>
        <w:rPr>
          <w:rFonts w:hint="eastAsia"/>
        </w:rPr>
        <w:t>基准线人公里速度排放因子</w:t>
      </w:r>
    </w:p>
    <w:p w14:paraId="3452E764">
      <w:pPr>
        <w:ind w:firstLine="420" w:firstLineChars="200"/>
        <w:rPr>
          <w:rFonts w:asciiTheme="minorEastAsia" w:hAnsiTheme="minorEastAsia" w:eastAsiaTheme="minorEastAsia"/>
        </w:rPr>
      </w:pPr>
      <w:r>
        <w:rPr>
          <w:rFonts w:hint="eastAsia"/>
        </w:rPr>
        <w:t>在情景A时，</w:t>
      </w:r>
      <w:bookmarkStart w:id="73" w:name="_Hlk117033207"/>
      <w:r>
        <w:rPr>
          <w:rFonts w:hint="eastAsia"/>
        </w:rPr>
        <w:t>基准线人公里速度排放因子</w:t>
      </w:r>
      <w:bookmarkEnd w:id="73"/>
      <w:r>
        <w:rPr>
          <w:rFonts w:hint="eastAsia"/>
        </w:rPr>
        <w:t>计算公式见（</w:t>
      </w:r>
      <w:r>
        <w:t>2</w:t>
      </w:r>
      <w:r>
        <w:rPr>
          <w:rFonts w:hint="eastAsia"/>
        </w:rPr>
        <w:t>）。</w:t>
      </w:r>
    </w:p>
    <w:p w14:paraId="08C9318D">
      <w:pPr>
        <w:jc w:val="right"/>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m:t>
            </m:r>
            <m:r>
              <m:rPr>
                <m:sty m:val="p"/>
              </m:rPr>
              <w:rPr>
                <w:rFonts w:ascii="Cambria Math" w:hAnsi="Cambria Math"/>
              </w:rPr>
              <m:t>,</m:t>
            </m:r>
            <m:r>
              <m:rPr/>
              <w:rPr>
                <w:rFonts w:ascii="Cambria Math" w:hAnsi="Cambria Math"/>
              </w:rPr>
              <m:t>i</m:t>
            </m:r>
            <m:r>
              <m:rPr>
                <m:sty m:val="p"/>
              </m:rPr>
              <w:rPr>
                <w:rFonts w:ascii="Cambria Math" w:hAnsi="Cambria Math"/>
              </w:rPr>
              <m:t>,</m:t>
            </m:r>
            <m:r>
              <m:rPr/>
              <w:rPr>
                <w:rFonts w:ascii="Cambria Math" w:hAnsi="Cambria Math"/>
              </w:rPr>
              <m:t>BL</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sSub>
              <m:sSubPr>
                <m:ctrlPr>
                  <w:rPr>
                    <w:rFonts w:ascii="Cambria Math" w:hAnsi="Cambria Math"/>
                  </w:rPr>
                </m:ctrlPr>
              </m:sSubPr>
              <m:e>
                <m:r>
                  <m:rPr/>
                  <w:rPr>
                    <w:rFonts w:hint="eastAsia" w:ascii="Cambria Math" w:hAnsi="Cambria Math"/>
                  </w:rPr>
                  <m:t>v</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sub>
        </m:sSub>
      </m:oMath>
      <w:r>
        <w:rPr>
          <w:rFonts w:ascii="微软雅黑" w:hAnsi="微软雅黑" w:eastAsia="微软雅黑"/>
        </w:rPr>
        <w:t>………………………………………………..</w:t>
      </w:r>
      <w:r>
        <w:t>(2)</w:t>
      </w:r>
    </w:p>
    <w:p w14:paraId="2CB0AC55">
      <w:pPr>
        <w:ind w:firstLine="420" w:firstLineChars="200"/>
      </w:pPr>
      <w:r>
        <w:rPr>
          <w:rFonts w:hint="eastAsia"/>
        </w:rPr>
        <w:t>式中：</w:t>
      </w:r>
    </w:p>
    <w:p w14:paraId="32D1F470">
      <w:pPr>
        <w:ind w:firstLine="420" w:firstLineChars="200"/>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oMath>
      <w:r>
        <w:rPr>
          <w:rFonts w:hint="eastAsia" w:hAnsi="宋体"/>
        </w:rPr>
        <w:t>——</w:t>
      </w:r>
      <w:r>
        <w:rPr>
          <w:rFonts w:hint="eastAsia"/>
        </w:rPr>
        <w:t>基础年基准线人公里碳排放因子,单位为吨二氧化碳每人公里（</w:t>
      </w:r>
      <w:r>
        <w:t>tCO</w:t>
      </w:r>
      <w:r>
        <w:rPr>
          <w:vertAlign w:val="subscript"/>
        </w:rPr>
        <w:t>2</w:t>
      </w:r>
      <w:r>
        <w:rPr>
          <w:rFonts w:hint="eastAsia"/>
        </w:rPr>
        <w:t>/</w:t>
      </w:r>
      <w:r>
        <w:t>PKM</w:t>
      </w:r>
      <w:r>
        <w:rPr>
          <w:rFonts w:hint="eastAsia"/>
        </w:rPr>
        <w:t>）；</w:t>
      </w:r>
    </w:p>
    <w:p w14:paraId="11D10D27">
      <w:pPr>
        <w:ind w:firstLine="420" w:firstLineChars="200"/>
      </w:pPr>
      <w:r>
        <w:rPr>
          <w:i/>
          <w:iCs/>
        </w:rPr>
        <w:t>i</w:t>
      </w:r>
      <w:r>
        <w:t>——第y年</w:t>
      </w:r>
      <w:r>
        <w:rPr>
          <w:rFonts w:hint="eastAsia"/>
        </w:rPr>
        <w:t>出行</w:t>
      </w:r>
      <w:r>
        <w:t>次数，单位为次（次）；</w:t>
      </w:r>
    </w:p>
    <w:p w14:paraId="61F3DF2A">
      <w:pPr>
        <w:ind w:firstLine="420" w:firstLineChars="200"/>
      </w:pPr>
      <w:r>
        <w:rPr>
          <w:rFonts w:ascii="Times New Roman"/>
          <w:i/>
          <w:iCs/>
        </w:rPr>
        <w:t>v</w:t>
      </w:r>
      <w:r>
        <w:rPr>
          <w:rFonts w:ascii="Times New Roman"/>
          <w:i/>
          <w:iCs/>
          <w:vertAlign w:val="subscript"/>
        </w:rPr>
        <w:t>0</w:t>
      </w:r>
      <w:r>
        <w:rPr>
          <w:rFonts w:hint="eastAsia" w:hAnsi="宋体"/>
        </w:rPr>
        <w:t>——</w:t>
      </w:r>
      <w:r>
        <w:rPr>
          <w:rFonts w:hint="eastAsia"/>
        </w:rPr>
        <w:t>出行时段路网平均运行速度，单位为公里每小时</w:t>
      </w:r>
      <w:r>
        <w:rPr>
          <w:rFonts w:ascii="Times New Roman"/>
        </w:rPr>
        <w:t>（km/h）</w:t>
      </w:r>
      <w:r>
        <w:rPr>
          <w:rFonts w:hint="eastAsia"/>
        </w:rPr>
        <w:t>；</w:t>
      </w:r>
    </w:p>
    <w:p w14:paraId="2A4F2661">
      <w:pPr>
        <w:ind w:firstLine="420" w:firstLineChars="200"/>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hint="eastAsia" w:ascii="Cambria Math" w:hAnsi="Cambria Math"/>
                  </w:rPr>
                  <m:t>v</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sub>
        </m:sSub>
      </m:oMath>
      <w:r>
        <w:rPr>
          <w:rFonts w:hint="eastAsia" w:hAnsi="宋体"/>
        </w:rPr>
        <w:t>——</w:t>
      </w:r>
      <w:r>
        <w:rPr>
          <w:rFonts w:hint="eastAsia"/>
        </w:rPr>
        <w:t>运行速度v取</w:t>
      </w:r>
      <w:r>
        <w:rPr>
          <w:rFonts w:ascii="Times New Roman"/>
          <w:lang w:val="en-AU"/>
        </w:rPr>
        <w:t>v</w:t>
      </w:r>
      <w:r>
        <w:rPr>
          <w:rFonts w:ascii="Times New Roman"/>
          <w:vertAlign w:val="subscript"/>
          <w:lang w:val="en-AU"/>
        </w:rPr>
        <w:t>0</w:t>
      </w:r>
      <w:r>
        <w:rPr>
          <w:rFonts w:hint="eastAsia"/>
        </w:rPr>
        <w:t>时的</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v</m:t>
            </m:r>
            <m:ctrlPr>
              <w:rPr>
                <w:rFonts w:ascii="Cambria Math" w:hAnsi="Cambria Math"/>
                <w:i/>
              </w:rPr>
            </m:ctrlPr>
          </m:sub>
        </m:sSub>
      </m:oMath>
      <w:r>
        <w:rPr>
          <w:rFonts w:hint="eastAsia"/>
        </w:rPr>
        <w:t>的取值，单位为吨二氧化碳每人公里（</w:t>
      </w:r>
      <w:r>
        <w:t>tCO</w:t>
      </w:r>
      <w:r>
        <w:rPr>
          <w:vertAlign w:val="subscript"/>
        </w:rPr>
        <w:t>2</w:t>
      </w:r>
      <w:r>
        <w:rPr>
          <w:rFonts w:hint="eastAsia"/>
        </w:rPr>
        <w:t>/</w:t>
      </w:r>
      <w:r>
        <w:t>PKM</w:t>
      </w:r>
      <w:r>
        <w:rPr>
          <w:rFonts w:hint="eastAsia"/>
        </w:rPr>
        <w:t>）。</w:t>
      </w:r>
    </w:p>
    <w:p w14:paraId="679B6E76">
      <w:pPr>
        <w:ind w:firstLine="420" w:firstLineChars="200"/>
      </w:pPr>
      <w:r>
        <w:rPr>
          <w:rFonts w:hint="eastAsia"/>
        </w:rPr>
        <w:t>在情景B时，</w:t>
      </w:r>
      <w:r>
        <w:rPr>
          <w:rFonts w:hint="eastAsia" w:ascii="宋体" w:hAnsi="黑体"/>
          <w:kern w:val="0"/>
          <w:szCs w:val="52"/>
        </w:rPr>
        <w:t>基准线人公里速度排放因子计算公式见（</w:t>
      </w:r>
      <w:r>
        <w:rPr>
          <w:rFonts w:ascii="宋体" w:hAnsi="黑体"/>
          <w:kern w:val="0"/>
          <w:szCs w:val="52"/>
        </w:rPr>
        <w:t>3</w:t>
      </w:r>
      <w:r>
        <w:rPr>
          <w:rFonts w:hint="eastAsia" w:ascii="宋体" w:hAnsi="黑体"/>
          <w:kern w:val="0"/>
          <w:szCs w:val="52"/>
        </w:rPr>
        <w:t>）。</w:t>
      </w:r>
    </w:p>
    <w:p w14:paraId="36C684EA">
      <w:pPr>
        <w:widowControl/>
        <w:autoSpaceDE w:val="0"/>
        <w:autoSpaceDN w:val="0"/>
        <w:adjustRightInd/>
        <w:spacing w:line="240" w:lineRule="auto"/>
        <w:ind w:firstLine="420" w:firstLineChars="200"/>
        <w:jc w:val="right"/>
        <w:rPr>
          <w:rFonts w:ascii="宋体" w:hAnsi="Times New Roman"/>
          <w:kern w:val="0"/>
          <w:szCs w:val="20"/>
        </w:rPr>
      </w:pPr>
      <m:oMath>
        <m:sSub>
          <m:sSubPr>
            <m:ctrlPr>
              <w:rPr>
                <w:rFonts w:ascii="Cambria Math" w:hAnsi="Cambria Math"/>
                <w:kern w:val="0"/>
                <w:szCs w:val="20"/>
              </w:rPr>
            </m:ctrlPr>
          </m:sSubPr>
          <m:e>
            <m:r>
              <m:rPr/>
              <w:rPr>
                <w:rFonts w:ascii="Cambria Math" w:hAnsi="Cambria Math"/>
                <w:kern w:val="0"/>
                <w:szCs w:val="20"/>
              </w:rPr>
              <m:t>EF</m:t>
            </m:r>
            <m:ctrlPr>
              <w:rPr>
                <w:rFonts w:ascii="Cambria Math" w:hAnsi="Cambria Math"/>
                <w:kern w:val="0"/>
                <w:szCs w:val="20"/>
              </w:rPr>
            </m:ctrlPr>
          </m:e>
          <m:sub>
            <m:r>
              <m:rPr/>
              <w:rPr>
                <w:rFonts w:ascii="Cambria Math" w:hAnsi="Cambria Math"/>
                <w:kern w:val="0"/>
                <w:szCs w:val="20"/>
              </w:rPr>
              <m:t>PKM,i,BL</m:t>
            </m:r>
            <m:ctrlPr>
              <w:rPr>
                <w:rFonts w:ascii="Cambria Math" w:hAnsi="Cambria Math"/>
                <w:kern w:val="0"/>
                <w:szCs w:val="20"/>
              </w:rPr>
            </m:ctrlPr>
          </m:sub>
        </m:sSub>
        <m:r>
          <m:rPr/>
          <w:rPr>
            <w:rFonts w:ascii="Cambria Math" w:hAnsi="Cambria Math"/>
            <w:kern w:val="0"/>
            <w:szCs w:val="20"/>
          </w:rPr>
          <m:t>=</m:t>
        </m:r>
        <m:sSub>
          <m:sSubPr>
            <m:ctrlPr>
              <w:rPr>
                <w:rFonts w:ascii="Cambria Math" w:hAnsi="Cambria Math"/>
                <w:i/>
                <w:kern w:val="0"/>
                <w:szCs w:val="20"/>
              </w:rPr>
            </m:ctrlPr>
          </m:sSubPr>
          <m:e>
            <m:r>
              <m:rPr/>
              <w:rPr>
                <w:rFonts w:ascii="Cambria Math" w:hAnsi="Cambria Math"/>
                <w:kern w:val="0"/>
                <w:szCs w:val="20"/>
              </w:rPr>
              <m:t>EF</m:t>
            </m:r>
            <m:ctrlPr>
              <w:rPr>
                <w:rFonts w:ascii="Cambria Math" w:hAnsi="Cambria Math"/>
                <w:i/>
                <w:kern w:val="0"/>
                <w:szCs w:val="20"/>
              </w:rPr>
            </m:ctrlPr>
          </m:e>
          <m:sub>
            <m:acc>
              <m:accPr>
                <m:chr m:val="̅"/>
                <m:ctrlPr>
                  <w:rPr>
                    <w:rFonts w:ascii="Cambria Math" w:hAnsi="Cambria Math"/>
                    <w:i/>
                    <w:kern w:val="0"/>
                    <w:szCs w:val="20"/>
                  </w:rPr>
                </m:ctrlPr>
              </m:accPr>
              <m:e>
                <m:sSub>
                  <m:sSubPr>
                    <m:ctrlPr>
                      <w:rPr>
                        <w:rFonts w:ascii="Cambria Math" w:hAnsi="Cambria Math"/>
                        <w:i/>
                        <w:kern w:val="0"/>
                        <w:szCs w:val="20"/>
                      </w:rPr>
                    </m:ctrlPr>
                  </m:sSubPr>
                  <m:e>
                    <m:r>
                      <m:rPr/>
                      <w:rPr>
                        <w:rFonts w:ascii="Cambria Math" w:hAnsi="Cambria Math"/>
                        <w:kern w:val="0"/>
                        <w:szCs w:val="20"/>
                      </w:rPr>
                      <m:t>V</m:t>
                    </m:r>
                    <m:ctrlPr>
                      <w:rPr>
                        <w:rFonts w:ascii="Cambria Math" w:hAnsi="Cambria Math"/>
                        <w:i/>
                        <w:kern w:val="0"/>
                        <w:szCs w:val="20"/>
                      </w:rPr>
                    </m:ctrlPr>
                  </m:e>
                  <m:sub>
                    <m:sSub>
                      <m:sSubPr>
                        <m:ctrlPr>
                          <w:rPr>
                            <w:rFonts w:ascii="Cambria Math" w:hAnsi="Cambria Math"/>
                            <w:i/>
                            <w:kern w:val="0"/>
                            <w:szCs w:val="20"/>
                          </w:rPr>
                        </m:ctrlPr>
                      </m:sSubPr>
                      <m:e>
                        <m:r>
                          <m:rPr/>
                          <w:rPr>
                            <w:rFonts w:ascii="Cambria Math" w:hAnsi="Cambria Math"/>
                            <w:kern w:val="0"/>
                            <w:szCs w:val="20"/>
                          </w:rPr>
                          <m:t>T</m:t>
                        </m:r>
                        <m:ctrlPr>
                          <w:rPr>
                            <w:rFonts w:ascii="Cambria Math" w:hAnsi="Cambria Math"/>
                            <w:i/>
                            <w:kern w:val="0"/>
                            <w:szCs w:val="20"/>
                          </w:rPr>
                        </m:ctrlPr>
                      </m:e>
                      <m:sub>
                        <m:r>
                          <m:rPr/>
                          <w:rPr>
                            <w:rFonts w:ascii="Cambria Math" w:hAnsi="Cambria Math"/>
                            <w:kern w:val="0"/>
                            <w:szCs w:val="20"/>
                          </w:rPr>
                          <m:t>i</m:t>
                        </m:r>
                        <m:ctrlPr>
                          <w:rPr>
                            <w:rFonts w:ascii="Cambria Math" w:hAnsi="Cambria Math"/>
                            <w:i/>
                            <w:kern w:val="0"/>
                            <w:szCs w:val="20"/>
                          </w:rPr>
                        </m:ctrlPr>
                      </m:sub>
                    </m:sSub>
                    <m:ctrlPr>
                      <w:rPr>
                        <w:rFonts w:ascii="Cambria Math" w:hAnsi="Cambria Math"/>
                        <w:i/>
                        <w:kern w:val="0"/>
                        <w:szCs w:val="20"/>
                      </w:rPr>
                    </m:ctrlPr>
                  </m:sub>
                </m:sSub>
                <m:ctrlPr>
                  <w:rPr>
                    <w:rFonts w:ascii="Cambria Math" w:hAnsi="Cambria Math"/>
                    <w:i/>
                    <w:kern w:val="0"/>
                    <w:szCs w:val="20"/>
                  </w:rPr>
                </m:ctrlPr>
              </m:e>
            </m:acc>
            <m:ctrlPr>
              <w:rPr>
                <w:rFonts w:ascii="Cambria Math" w:hAnsi="Cambria Math"/>
                <w:i/>
                <w:kern w:val="0"/>
                <w:szCs w:val="20"/>
              </w:rPr>
            </m:ctrlPr>
          </m:sub>
        </m:sSub>
      </m:oMath>
      <w:r>
        <w:rPr>
          <w:rFonts w:ascii="微软雅黑" w:hAnsi="微软雅黑" w:eastAsia="微软雅黑"/>
          <w:kern w:val="0"/>
          <w:szCs w:val="20"/>
        </w:rPr>
        <w:t>………………………………………………..</w:t>
      </w:r>
      <w:r>
        <w:rPr>
          <w:rFonts w:ascii="宋体" w:hAnsi="Times New Roman"/>
          <w:kern w:val="0"/>
          <w:szCs w:val="20"/>
        </w:rPr>
        <w:t>(3)</w:t>
      </w:r>
    </w:p>
    <w:p w14:paraId="33B8F88E">
      <w:pPr>
        <w:widowControl/>
        <w:tabs>
          <w:tab w:val="center" w:pos="4201"/>
          <w:tab w:val="right" w:leader="dot" w:pos="9298"/>
        </w:tabs>
        <w:autoSpaceDE w:val="0"/>
        <w:autoSpaceDN w:val="0"/>
        <w:adjustRightInd/>
        <w:spacing w:line="240" w:lineRule="auto"/>
        <w:ind w:firstLine="420" w:firstLineChars="200"/>
        <w:jc w:val="left"/>
        <w:rPr>
          <w:rFonts w:ascii="宋体" w:hAnsi="Times New Roman"/>
          <w:kern w:val="0"/>
          <w:szCs w:val="20"/>
        </w:rPr>
      </w:pPr>
      <w:r>
        <w:rPr>
          <w:rFonts w:hint="eastAsia" w:ascii="宋体" w:hAnsi="Times New Roman"/>
          <w:kern w:val="0"/>
          <w:szCs w:val="20"/>
        </w:rPr>
        <w:t>式中：</w:t>
      </w:r>
    </w:p>
    <w:p w14:paraId="42BFCF83">
      <w:pPr>
        <w:widowControl/>
        <w:tabs>
          <w:tab w:val="center" w:pos="4201"/>
          <w:tab w:val="right" w:leader="dot" w:pos="9298"/>
        </w:tabs>
        <w:autoSpaceDE w:val="0"/>
        <w:autoSpaceDN w:val="0"/>
        <w:adjustRightInd/>
        <w:spacing w:line="240" w:lineRule="auto"/>
        <w:ind w:firstLine="420" w:firstLineChars="200"/>
        <w:jc w:val="left"/>
        <w:rPr>
          <w:rFonts w:ascii="Times New Roman" w:hAnsi="Times New Roman"/>
          <w:kern w:val="0"/>
          <w:szCs w:val="20"/>
        </w:rPr>
      </w:pPr>
      <m:oMath>
        <m:sSub>
          <m:sSubPr>
            <m:ctrlPr>
              <w:rPr>
                <w:rFonts w:ascii="Cambria Math" w:hAnsi="Cambria Math"/>
                <w:i/>
                <w:kern w:val="0"/>
                <w:szCs w:val="20"/>
              </w:rPr>
            </m:ctrlPr>
          </m:sSubPr>
          <m:e>
            <m:r>
              <m:rPr/>
              <w:rPr>
                <w:rFonts w:ascii="Cambria Math" w:hAnsi="Cambria Math"/>
                <w:kern w:val="0"/>
                <w:szCs w:val="20"/>
              </w:rPr>
              <m:t>EF</m:t>
            </m:r>
            <m:ctrlPr>
              <w:rPr>
                <w:rFonts w:ascii="Cambria Math" w:hAnsi="Cambria Math"/>
                <w:i/>
                <w:kern w:val="0"/>
                <w:szCs w:val="20"/>
              </w:rPr>
            </m:ctrlPr>
          </m:e>
          <m:sub>
            <m:r>
              <m:rPr/>
              <w:rPr>
                <w:rFonts w:ascii="Cambria Math" w:hAnsi="Cambria Math"/>
                <w:kern w:val="0"/>
                <w:szCs w:val="20"/>
              </w:rPr>
              <m:t>PKM,i,BL</m:t>
            </m:r>
            <m:ctrlPr>
              <w:rPr>
                <w:rFonts w:ascii="Cambria Math" w:hAnsi="Cambria Math"/>
                <w:i/>
                <w:kern w:val="0"/>
                <w:szCs w:val="20"/>
              </w:rPr>
            </m:ctrlPr>
          </m:sub>
        </m:sSub>
      </m:oMath>
      <w:r>
        <w:rPr>
          <w:rFonts w:hint="eastAsia" w:ascii="宋体" w:hAnsi="宋体"/>
          <w:kern w:val="0"/>
          <w:szCs w:val="20"/>
        </w:rPr>
        <w:t>——</w:t>
      </w:r>
      <w:r>
        <w:rPr>
          <w:rFonts w:hint="eastAsia" w:ascii="宋体" w:hAnsi="Times New Roman"/>
          <w:kern w:val="0"/>
          <w:szCs w:val="20"/>
        </w:rPr>
        <w:t>基础年基准线人公里碳排放因子，</w:t>
      </w:r>
      <w:r>
        <w:rPr>
          <w:rFonts w:hint="eastAsia" w:ascii="Cambria Math" w:hAnsi="Cambria Math"/>
          <w:kern w:val="0"/>
          <w:szCs w:val="20"/>
        </w:rPr>
        <w:t>单位为吨二氧化碳每人公里（</w:t>
      </w:r>
      <w:r>
        <w:rPr>
          <w:rFonts w:ascii="Cambria Math" w:hAnsi="Cambria Math"/>
          <w:kern w:val="0"/>
          <w:szCs w:val="20"/>
        </w:rPr>
        <w:t>tCO</w:t>
      </w:r>
      <w:r>
        <w:rPr>
          <w:rFonts w:ascii="Cambria Math" w:hAnsi="Cambria Math"/>
          <w:kern w:val="0"/>
          <w:szCs w:val="20"/>
          <w:vertAlign w:val="subscript"/>
        </w:rPr>
        <w:t>2</w:t>
      </w:r>
      <w:r>
        <w:rPr>
          <w:rFonts w:hint="eastAsia" w:ascii="Cambria Math" w:hAnsi="Cambria Math"/>
          <w:kern w:val="0"/>
          <w:szCs w:val="20"/>
        </w:rPr>
        <w:t>/</w:t>
      </w:r>
      <w:r>
        <w:rPr>
          <w:rFonts w:ascii="Cambria Math" w:hAnsi="Cambria Math"/>
          <w:kern w:val="0"/>
          <w:szCs w:val="20"/>
        </w:rPr>
        <w:t>PKM</w:t>
      </w:r>
      <w:r>
        <w:rPr>
          <w:rFonts w:hint="eastAsia" w:ascii="Cambria Math" w:hAnsi="Cambria Math"/>
          <w:kern w:val="0"/>
          <w:szCs w:val="20"/>
        </w:rPr>
        <w:t>）</w:t>
      </w:r>
      <w:r>
        <w:rPr>
          <w:rFonts w:ascii="Times New Roman" w:hAnsi="Times New Roman"/>
          <w:kern w:val="0"/>
          <w:szCs w:val="20"/>
        </w:rPr>
        <w:t>；</w:t>
      </w:r>
    </w:p>
    <w:p w14:paraId="7C0CE40A">
      <w:pPr>
        <w:widowControl/>
        <w:tabs>
          <w:tab w:val="center" w:pos="4201"/>
          <w:tab w:val="right" w:leader="dot" w:pos="9298"/>
        </w:tabs>
        <w:autoSpaceDE w:val="0"/>
        <w:autoSpaceDN w:val="0"/>
        <w:adjustRightInd/>
        <w:spacing w:line="240" w:lineRule="auto"/>
        <w:ind w:firstLine="420" w:firstLineChars="200"/>
        <w:jc w:val="left"/>
        <w:rPr>
          <w:rFonts w:ascii="Times New Roman" w:hAnsi="Times New Roman"/>
          <w:kern w:val="0"/>
          <w:szCs w:val="20"/>
        </w:rPr>
      </w:pPr>
      <w:r>
        <w:rPr>
          <w:rFonts w:ascii="Times New Roman" w:hAnsi="Times New Roman"/>
          <w:i/>
          <w:iCs/>
          <w:kern w:val="0"/>
          <w:szCs w:val="20"/>
        </w:rPr>
        <w:t>T</w:t>
      </w:r>
      <w:r>
        <w:rPr>
          <w:rFonts w:ascii="Times New Roman" w:hAnsi="Times New Roman"/>
          <w:i/>
          <w:iCs/>
          <w:kern w:val="0"/>
          <w:szCs w:val="20"/>
          <w:vertAlign w:val="subscript"/>
        </w:rPr>
        <w:t>i</w:t>
      </w:r>
      <w:r>
        <w:rPr>
          <w:rFonts w:ascii="Times New Roman" w:hAnsi="Times New Roman"/>
          <w:kern w:val="0"/>
          <w:szCs w:val="20"/>
        </w:rPr>
        <w:t>——第i次出行所处的时段对应的基础年特定时段</w:t>
      </w:r>
      <w:r>
        <w:rPr>
          <w:rFonts w:hint="eastAsia" w:ascii="Times New Roman" w:hAnsi="Times New Roman"/>
          <w:kern w:val="0"/>
          <w:szCs w:val="20"/>
        </w:rPr>
        <w:t>，特定时间段的划分可按照月、日期属性（工作日、非工作日、小长假、长假、春节）、时间属性（1天24小时）分类</w:t>
      </w:r>
      <w:r>
        <w:rPr>
          <w:rFonts w:ascii="Times New Roman" w:hAnsi="Times New Roman"/>
          <w:kern w:val="0"/>
          <w:szCs w:val="20"/>
        </w:rPr>
        <w:t>；</w:t>
      </w:r>
    </w:p>
    <w:p w14:paraId="1F1CD5F2">
      <w:pPr>
        <w:widowControl/>
        <w:tabs>
          <w:tab w:val="center" w:pos="4201"/>
          <w:tab w:val="right" w:leader="dot" w:pos="9298"/>
        </w:tabs>
        <w:autoSpaceDE w:val="0"/>
        <w:autoSpaceDN w:val="0"/>
        <w:adjustRightInd/>
        <w:spacing w:line="240" w:lineRule="auto"/>
        <w:ind w:firstLine="420" w:firstLineChars="200"/>
        <w:jc w:val="left"/>
        <w:rPr>
          <w:rFonts w:ascii="Times New Roman" w:hAnsi="Times New Roman"/>
          <w:kern w:val="0"/>
          <w:szCs w:val="20"/>
        </w:rPr>
      </w:pPr>
      <m:oMath>
        <m:acc>
          <m:accPr>
            <m:chr m:val="̅"/>
            <m:ctrlPr>
              <w:rPr>
                <w:rFonts w:ascii="Cambria Math" w:hAnsi="Cambria Math"/>
                <w:i/>
                <w:kern w:val="0"/>
                <w:szCs w:val="20"/>
              </w:rPr>
            </m:ctrlPr>
          </m:accPr>
          <m:e>
            <m:sSub>
              <m:sSubPr>
                <m:ctrlPr>
                  <w:rPr>
                    <w:rFonts w:ascii="Cambria Math" w:hAnsi="Cambria Math"/>
                    <w:i/>
                    <w:kern w:val="0"/>
                    <w:szCs w:val="20"/>
                  </w:rPr>
                </m:ctrlPr>
              </m:sSubPr>
              <m:e>
                <m:r>
                  <m:rPr/>
                  <w:rPr>
                    <w:rFonts w:ascii="Cambria Math" w:hAnsi="Cambria Math"/>
                    <w:kern w:val="0"/>
                    <w:szCs w:val="20"/>
                  </w:rPr>
                  <m:t>V</m:t>
                </m:r>
                <m:ctrlPr>
                  <w:rPr>
                    <w:rFonts w:ascii="Cambria Math" w:hAnsi="Cambria Math"/>
                    <w:i/>
                    <w:kern w:val="0"/>
                    <w:szCs w:val="20"/>
                  </w:rPr>
                </m:ctrlPr>
              </m:e>
              <m:sub>
                <m:sSub>
                  <m:sSubPr>
                    <m:ctrlPr>
                      <w:rPr>
                        <w:rFonts w:ascii="Cambria Math" w:hAnsi="Cambria Math"/>
                        <w:i/>
                        <w:kern w:val="0"/>
                        <w:szCs w:val="20"/>
                      </w:rPr>
                    </m:ctrlPr>
                  </m:sSubPr>
                  <m:e>
                    <m:r>
                      <m:rPr/>
                      <w:rPr>
                        <w:rFonts w:ascii="Cambria Math" w:hAnsi="Cambria Math"/>
                        <w:kern w:val="0"/>
                        <w:szCs w:val="20"/>
                      </w:rPr>
                      <m:t>T</m:t>
                    </m:r>
                    <m:ctrlPr>
                      <w:rPr>
                        <w:rFonts w:ascii="Cambria Math" w:hAnsi="Cambria Math"/>
                        <w:i/>
                        <w:kern w:val="0"/>
                        <w:szCs w:val="20"/>
                      </w:rPr>
                    </m:ctrlPr>
                  </m:e>
                  <m:sub>
                    <m:r>
                      <m:rPr/>
                      <w:rPr>
                        <w:rFonts w:ascii="Cambria Math" w:hAnsi="Cambria Math"/>
                        <w:kern w:val="0"/>
                        <w:szCs w:val="20"/>
                      </w:rPr>
                      <m:t>i</m:t>
                    </m:r>
                    <m:ctrlPr>
                      <w:rPr>
                        <w:rFonts w:ascii="Cambria Math" w:hAnsi="Cambria Math"/>
                        <w:i/>
                        <w:kern w:val="0"/>
                        <w:szCs w:val="20"/>
                      </w:rPr>
                    </m:ctrlPr>
                  </m:sub>
                </m:sSub>
                <m:ctrlPr>
                  <w:rPr>
                    <w:rFonts w:ascii="Cambria Math" w:hAnsi="Cambria Math"/>
                    <w:i/>
                    <w:kern w:val="0"/>
                    <w:szCs w:val="20"/>
                  </w:rPr>
                </m:ctrlPr>
              </m:sub>
            </m:sSub>
            <m:ctrlPr>
              <w:rPr>
                <w:rFonts w:ascii="Cambria Math" w:hAnsi="Cambria Math"/>
                <w:i/>
                <w:kern w:val="0"/>
                <w:szCs w:val="20"/>
              </w:rPr>
            </m:ctrlPr>
          </m:e>
        </m:acc>
      </m:oMath>
      <w:r>
        <w:rPr>
          <w:rFonts w:ascii="Times New Roman" w:hAnsi="Times New Roman"/>
          <w:kern w:val="0"/>
          <w:szCs w:val="20"/>
        </w:rPr>
        <w:t>——</w:t>
      </w:r>
      <w:bookmarkStart w:id="74" w:name="_Hlk117100772"/>
      <w:r>
        <w:rPr>
          <w:rFonts w:ascii="Times New Roman" w:hAnsi="Times New Roman"/>
          <w:kern w:val="0"/>
          <w:szCs w:val="20"/>
        </w:rPr>
        <w:t>基础年特定时间段Ti的路网平均运行速度</w:t>
      </w:r>
      <w:bookmarkEnd w:id="74"/>
      <w:r>
        <w:rPr>
          <w:rFonts w:ascii="Times New Roman" w:hAnsi="Times New Roman"/>
          <w:kern w:val="0"/>
          <w:szCs w:val="20"/>
        </w:rPr>
        <w:t>，单位为公里每小时（km/h）；</w:t>
      </w:r>
    </w:p>
    <w:p w14:paraId="03197B91">
      <w:pPr>
        <w:widowControl/>
        <w:autoSpaceDE w:val="0"/>
        <w:autoSpaceDN w:val="0"/>
        <w:adjustRightInd/>
        <w:spacing w:line="240" w:lineRule="auto"/>
        <w:ind w:firstLine="420" w:firstLineChars="200"/>
        <w:rPr>
          <w:rFonts w:ascii="Cambria Math" w:hAnsi="Cambria Math"/>
          <w:kern w:val="0"/>
          <w:szCs w:val="20"/>
        </w:rPr>
      </w:pPr>
      <m:oMath>
        <m:sSub>
          <m:sSubPr>
            <m:ctrlPr>
              <w:rPr>
                <w:rFonts w:ascii="Cambria Math" w:hAnsi="Cambria Math"/>
                <w:kern w:val="0"/>
                <w:szCs w:val="20"/>
              </w:rPr>
            </m:ctrlPr>
          </m:sSubPr>
          <m:e>
            <m:r>
              <m:rPr/>
              <w:rPr>
                <w:rFonts w:ascii="Cambria Math" w:hAnsi="Cambria Math"/>
                <w:kern w:val="0"/>
                <w:szCs w:val="20"/>
              </w:rPr>
              <m:t>EF</m:t>
            </m:r>
            <m:ctrlPr>
              <w:rPr>
                <w:rFonts w:ascii="Cambria Math" w:hAnsi="Cambria Math"/>
                <w:kern w:val="0"/>
                <w:szCs w:val="20"/>
              </w:rPr>
            </m:ctrlPr>
          </m:e>
          <m:sub>
            <m:acc>
              <m:accPr>
                <m:chr m:val="̅"/>
                <m:ctrlPr>
                  <w:rPr>
                    <w:rFonts w:ascii="Cambria Math" w:hAnsi="Cambria Math"/>
                    <w:kern w:val="0"/>
                    <w:szCs w:val="20"/>
                  </w:rPr>
                </m:ctrlPr>
              </m:accPr>
              <m:e>
                <m:sSub>
                  <m:sSubPr>
                    <m:ctrlPr>
                      <w:rPr>
                        <w:rFonts w:ascii="Cambria Math" w:hAnsi="Cambria Math"/>
                        <w:kern w:val="0"/>
                        <w:szCs w:val="20"/>
                      </w:rPr>
                    </m:ctrlPr>
                  </m:sSubPr>
                  <m:e>
                    <m:r>
                      <m:rPr/>
                      <w:rPr>
                        <w:rFonts w:ascii="Cambria Math" w:hAnsi="Cambria Math"/>
                        <w:kern w:val="0"/>
                        <w:szCs w:val="20"/>
                      </w:rPr>
                      <m:t>V</m:t>
                    </m:r>
                    <m:ctrlPr>
                      <w:rPr>
                        <w:rFonts w:ascii="Cambria Math" w:hAnsi="Cambria Math"/>
                        <w:kern w:val="0"/>
                        <w:szCs w:val="20"/>
                      </w:rPr>
                    </m:ctrlPr>
                  </m:e>
                  <m:sub>
                    <m:sSub>
                      <m:sSubPr>
                        <m:ctrlPr>
                          <w:rPr>
                            <w:rFonts w:ascii="Cambria Math" w:hAnsi="Cambria Math"/>
                            <w:kern w:val="0"/>
                            <w:szCs w:val="20"/>
                          </w:rPr>
                        </m:ctrlPr>
                      </m:sSubPr>
                      <m:e>
                        <m:r>
                          <m:rPr/>
                          <w:rPr>
                            <w:rFonts w:ascii="Cambria Math" w:hAnsi="Cambria Math"/>
                            <w:kern w:val="0"/>
                            <w:szCs w:val="20"/>
                          </w:rPr>
                          <m:t>T</m:t>
                        </m:r>
                        <m:ctrlPr>
                          <w:rPr>
                            <w:rFonts w:ascii="Cambria Math" w:hAnsi="Cambria Math"/>
                            <w:kern w:val="0"/>
                            <w:szCs w:val="20"/>
                          </w:rPr>
                        </m:ctrlPr>
                      </m:e>
                      <m:sub>
                        <m:r>
                          <m:rPr/>
                          <w:rPr>
                            <w:rFonts w:ascii="Cambria Math" w:hAnsi="Cambria Math"/>
                            <w:kern w:val="0"/>
                            <w:szCs w:val="20"/>
                          </w:rPr>
                          <m:t>i</m:t>
                        </m:r>
                        <m:ctrlPr>
                          <w:rPr>
                            <w:rFonts w:ascii="Cambria Math" w:hAnsi="Cambria Math"/>
                            <w:kern w:val="0"/>
                            <w:szCs w:val="20"/>
                          </w:rPr>
                        </m:ctrlPr>
                      </m:sub>
                    </m:sSub>
                    <m:ctrlPr>
                      <w:rPr>
                        <w:rFonts w:ascii="Cambria Math" w:hAnsi="Cambria Math"/>
                        <w:kern w:val="0"/>
                        <w:szCs w:val="20"/>
                      </w:rPr>
                    </m:ctrlPr>
                  </m:sub>
                </m:sSub>
                <m:ctrlPr>
                  <w:rPr>
                    <w:rFonts w:ascii="Cambria Math" w:hAnsi="Cambria Math"/>
                    <w:kern w:val="0"/>
                    <w:szCs w:val="20"/>
                  </w:rPr>
                </m:ctrlPr>
              </m:e>
            </m:acc>
            <m:ctrlPr>
              <w:rPr>
                <w:rFonts w:ascii="Cambria Math" w:hAnsi="Cambria Math"/>
                <w:kern w:val="0"/>
                <w:szCs w:val="20"/>
              </w:rPr>
            </m:ctrlPr>
          </m:sub>
        </m:sSub>
      </m:oMath>
      <w:r>
        <w:rPr>
          <w:rFonts w:ascii="Times New Roman" w:hAnsi="Times New Roman"/>
          <w:kern w:val="0"/>
          <w:szCs w:val="20"/>
        </w:rPr>
        <w:t>——速度为</w:t>
      </w:r>
      <m:oMath>
        <m:sSub>
          <m:sSubPr>
            <m:ctrlPr>
              <w:rPr>
                <w:rFonts w:ascii="Cambria Math" w:hAnsi="Cambria Math"/>
                <w:kern w:val="0"/>
                <w:szCs w:val="20"/>
              </w:rPr>
            </m:ctrlPr>
          </m:sSubPr>
          <m:e>
            <m:r>
              <m:rPr/>
              <w:rPr>
                <w:rFonts w:ascii="Cambria Math" w:hAnsi="Cambria Math"/>
                <w:kern w:val="0"/>
                <w:szCs w:val="20"/>
              </w:rPr>
              <m:t>V</m:t>
            </m:r>
            <m:ctrlPr>
              <w:rPr>
                <w:rFonts w:ascii="Cambria Math" w:hAnsi="Cambria Math"/>
                <w:kern w:val="0"/>
                <w:szCs w:val="20"/>
              </w:rPr>
            </m:ctrlPr>
          </m:e>
          <m:sub>
            <m:sSub>
              <m:sSubPr>
                <m:ctrlPr>
                  <w:rPr>
                    <w:rFonts w:ascii="Cambria Math" w:hAnsi="Cambria Math"/>
                    <w:kern w:val="0"/>
                    <w:szCs w:val="20"/>
                  </w:rPr>
                </m:ctrlPr>
              </m:sSubPr>
              <m:e>
                <m:r>
                  <m:rPr/>
                  <w:rPr>
                    <w:rFonts w:ascii="Cambria Math" w:hAnsi="Cambria Math"/>
                    <w:kern w:val="0"/>
                    <w:szCs w:val="20"/>
                  </w:rPr>
                  <m:t>T</m:t>
                </m:r>
                <m:ctrlPr>
                  <w:rPr>
                    <w:rFonts w:ascii="Cambria Math" w:hAnsi="Cambria Math"/>
                    <w:kern w:val="0"/>
                    <w:szCs w:val="20"/>
                  </w:rPr>
                </m:ctrlPr>
              </m:e>
              <m:sub>
                <m:r>
                  <m:rPr/>
                  <w:rPr>
                    <w:rFonts w:ascii="Cambria Math" w:hAnsi="Cambria Math"/>
                    <w:kern w:val="0"/>
                    <w:szCs w:val="20"/>
                  </w:rPr>
                  <m:t>i</m:t>
                </m:r>
                <m:ctrlPr>
                  <w:rPr>
                    <w:rFonts w:ascii="Cambria Math" w:hAnsi="Cambria Math"/>
                    <w:kern w:val="0"/>
                    <w:szCs w:val="20"/>
                  </w:rPr>
                </m:ctrlPr>
              </m:sub>
            </m:sSub>
            <m:ctrlPr>
              <w:rPr>
                <w:rFonts w:ascii="Cambria Math" w:hAnsi="Cambria Math"/>
                <w:kern w:val="0"/>
                <w:szCs w:val="20"/>
              </w:rPr>
            </m:ctrlPr>
          </m:sub>
        </m:sSub>
      </m:oMath>
      <w:r>
        <w:rPr>
          <w:rFonts w:ascii="Times New Roman" w:hAnsi="Times New Roman"/>
          <w:kern w:val="0"/>
          <w:szCs w:val="20"/>
        </w:rPr>
        <w:t>时</w:t>
      </w:r>
      <m:oMath>
        <m:sSub>
          <m:sSubPr>
            <m:ctrlPr>
              <w:rPr>
                <w:rFonts w:ascii="Cambria Math" w:hAnsi="Cambria Math"/>
                <w:i/>
                <w:kern w:val="0"/>
                <w:szCs w:val="20"/>
              </w:rPr>
            </m:ctrlPr>
          </m:sSubPr>
          <m:e>
            <m:r>
              <m:rPr/>
              <w:rPr>
                <w:rFonts w:ascii="Cambria Math" w:hAnsi="Cambria Math"/>
                <w:kern w:val="0"/>
                <w:szCs w:val="20"/>
              </w:rPr>
              <m:t>EF</m:t>
            </m:r>
            <m:ctrlPr>
              <w:rPr>
                <w:rFonts w:ascii="Cambria Math" w:hAnsi="Cambria Math"/>
                <w:i/>
                <w:kern w:val="0"/>
                <w:szCs w:val="20"/>
              </w:rPr>
            </m:ctrlPr>
          </m:e>
          <m:sub>
            <m:r>
              <m:rPr/>
              <w:rPr>
                <w:rFonts w:hint="eastAsia" w:ascii="Cambria Math" w:hAnsi="Cambria Math"/>
                <w:kern w:val="0"/>
                <w:szCs w:val="20"/>
              </w:rPr>
              <m:t>v</m:t>
            </m:r>
            <m:ctrlPr>
              <w:rPr>
                <w:rFonts w:ascii="Cambria Math" w:hAnsi="Cambria Math"/>
                <w:i/>
                <w:kern w:val="0"/>
                <w:szCs w:val="20"/>
              </w:rPr>
            </m:ctrlPr>
          </m:sub>
        </m:sSub>
      </m:oMath>
      <w:r>
        <w:rPr>
          <w:rFonts w:ascii="Times New Roman" w:hAnsi="Times New Roman"/>
          <w:kern w:val="0"/>
          <w:szCs w:val="20"/>
        </w:rPr>
        <w:t>的取值，</w:t>
      </w:r>
      <w:r>
        <w:rPr>
          <w:rFonts w:hint="eastAsia" w:ascii="Cambria Math" w:hAnsi="Cambria Math"/>
          <w:kern w:val="0"/>
          <w:szCs w:val="20"/>
        </w:rPr>
        <w:t>单位为吨二氧化碳每人公里（</w:t>
      </w:r>
      <w:r>
        <w:rPr>
          <w:rFonts w:ascii="Cambria Math" w:hAnsi="Cambria Math"/>
          <w:kern w:val="0"/>
          <w:szCs w:val="20"/>
        </w:rPr>
        <w:t>tCO</w:t>
      </w:r>
      <w:r>
        <w:rPr>
          <w:rFonts w:ascii="Cambria Math" w:hAnsi="Cambria Math"/>
          <w:kern w:val="0"/>
          <w:szCs w:val="20"/>
          <w:vertAlign w:val="subscript"/>
        </w:rPr>
        <w:t>2</w:t>
      </w:r>
      <w:r>
        <w:rPr>
          <w:rFonts w:hint="eastAsia" w:ascii="Cambria Math" w:hAnsi="Cambria Math"/>
          <w:kern w:val="0"/>
          <w:szCs w:val="20"/>
        </w:rPr>
        <w:t>/</w:t>
      </w:r>
      <w:r>
        <w:rPr>
          <w:rFonts w:ascii="Cambria Math" w:hAnsi="Cambria Math"/>
          <w:kern w:val="0"/>
          <w:szCs w:val="20"/>
        </w:rPr>
        <w:t>PKM</w:t>
      </w:r>
      <w:r>
        <w:rPr>
          <w:rFonts w:hint="eastAsia" w:ascii="Cambria Math" w:hAnsi="Cambria Math"/>
          <w:kern w:val="0"/>
          <w:szCs w:val="20"/>
        </w:rPr>
        <w:t>）。</w:t>
      </w:r>
    </w:p>
    <w:p w14:paraId="64943B3B">
      <w:pPr>
        <w:widowControl/>
        <w:autoSpaceDE w:val="0"/>
        <w:autoSpaceDN w:val="0"/>
        <w:adjustRightInd/>
        <w:spacing w:line="240" w:lineRule="auto"/>
        <w:ind w:firstLine="420" w:firstLineChars="200"/>
        <w:rPr>
          <w:rFonts w:ascii="宋体" w:hAnsi="Times New Roman"/>
          <w:kern w:val="0"/>
          <w:szCs w:val="20"/>
        </w:rPr>
      </w:pPr>
      <w:r>
        <w:rPr>
          <w:rFonts w:hint="eastAsia" w:ascii="Cambria Math" w:hAnsi="Cambria Math"/>
          <w:kern w:val="0"/>
          <w:szCs w:val="20"/>
        </w:rPr>
        <w:t>在情景</w:t>
      </w:r>
      <w:r>
        <w:rPr>
          <w:rFonts w:ascii="Cambria Math" w:hAnsi="Cambria Math"/>
          <w:kern w:val="0"/>
          <w:szCs w:val="20"/>
        </w:rPr>
        <w:t>C</w:t>
      </w:r>
      <w:r>
        <w:rPr>
          <w:rFonts w:hint="eastAsia" w:ascii="Cambria Math" w:hAnsi="Cambria Math"/>
          <w:kern w:val="0"/>
          <w:szCs w:val="20"/>
        </w:rPr>
        <w:t>时，</w:t>
      </w:r>
      <w:r>
        <w:rPr>
          <w:rFonts w:hint="eastAsia"/>
        </w:rPr>
        <w:t>基准线人公里速度排放因子采用缺省值法，具体取值见附录</w:t>
      </w:r>
      <w:r>
        <w:t>B</w:t>
      </w:r>
      <w:r>
        <w:rPr>
          <w:rFonts w:hint="eastAsia"/>
        </w:rPr>
        <w:t>。</w:t>
      </w:r>
    </w:p>
    <w:p w14:paraId="64F11F73">
      <w:pPr>
        <w:pStyle w:val="65"/>
        <w:spacing w:before="156" w:after="156"/>
      </w:pPr>
      <w:r>
        <w:rPr>
          <w:rFonts w:hint="eastAsia"/>
        </w:rPr>
        <w:t>基础年基准线人公里速度排放因子</w:t>
      </w:r>
    </w:p>
    <w:p w14:paraId="4546C29F">
      <w:pPr>
        <w:pStyle w:val="56"/>
        <w:ind w:firstLine="420"/>
      </w:pPr>
      <w:r>
        <w:rPr>
          <w:rFonts w:hint="eastAsia"/>
        </w:rPr>
        <w:t>在情景A时，基础年基准线人公里速度排放因子计算公式见（</w:t>
      </w:r>
      <w:r>
        <w:t>4</w:t>
      </w:r>
      <w:r>
        <w:rPr>
          <w:rFonts w:hint="eastAsia"/>
        </w:rPr>
        <w:t>）。</w:t>
      </w:r>
    </w:p>
    <w:p w14:paraId="067DB98F">
      <w:pPr>
        <w:pStyle w:val="113"/>
        <w:jc w:val="right"/>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v</m:t>
            </m:r>
            <m:ctrlPr>
              <w:rPr>
                <w:rFonts w:ascii="Cambria Math" w:hAnsi="Cambria Math"/>
                <w:i/>
              </w:rPr>
            </m:ctrlPr>
          </m:sub>
        </m:sSub>
        <m:r>
          <m:rPr>
            <m:sty m:val="p"/>
          </m:rPr>
          <w:rPr>
            <w:rFonts w:ascii="Cambria Math" w:hAnsi="Cambria Math"/>
          </w:rPr>
          <m:t>=</m:t>
        </m:r>
        <m:d>
          <m:dPr>
            <m:ctrlPr>
              <w:rPr>
                <w:rFonts w:ascii="Cambria Math" w:hAnsi="Cambria Math"/>
              </w:rPr>
            </m:ctrlPr>
          </m:dPr>
          <m:e>
            <m:nary>
              <m:naryPr>
                <m:chr m:val="∑"/>
                <m:limLoc m:val="subSup"/>
                <m:supHide m:val="1"/>
                <m:ctrlPr>
                  <w:rPr>
                    <w:rFonts w:ascii="Cambria Math" w:hAnsi="Cambria Math"/>
                  </w:rPr>
                </m:ctrlPr>
              </m:naryPr>
              <m:sub>
                <m:r>
                  <m:rPr/>
                  <w:rPr>
                    <w:rFonts w:ascii="Cambria Math" w:hAnsi="Cambria Math"/>
                  </w:rPr>
                  <m:t>x</m:t>
                </m:r>
                <m:ctrlPr>
                  <w:rPr>
                    <w:rFonts w:ascii="Cambria Math" w:hAnsi="Cambria Math"/>
                  </w:rPr>
                </m:ctrlPr>
              </m:sub>
              <m:sup>
                <m:ctrlPr>
                  <w:rPr>
                    <w:rFonts w:ascii="Cambria Math" w:hAnsi="Cambria Math"/>
                  </w:rPr>
                </m:ctrlPr>
              </m:sup>
              <m:e>
                <m:nary>
                  <m:naryPr>
                    <m:chr m:val="∑"/>
                    <m:limLoc m:val="subSup"/>
                    <m:supHide m:val="1"/>
                    <m:ctrlPr>
                      <w:rPr>
                        <w:rFonts w:ascii="Cambria Math" w:hAnsi="Cambria Math"/>
                      </w:rPr>
                    </m:ctrlPr>
                  </m:naryPr>
                  <m:sub>
                    <m:r>
                      <m:rPr/>
                      <w:rPr>
                        <w:rFonts w:ascii="Cambria Math" w:hAnsi="Cambria Math"/>
                      </w:rPr>
                      <m:t>j</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x</m:t>
                        </m:r>
                        <m:r>
                          <m:rPr>
                            <m:sty m:val="p"/>
                          </m:rPr>
                          <w:rPr>
                            <w:rFonts w:ascii="Cambria Math" w:hAnsi="Cambria Math"/>
                          </w:rPr>
                          <m:t>,</m:t>
                        </m:r>
                        <m:r>
                          <m:rPr/>
                          <w:rPr>
                            <w:rFonts w:hint="eastAsia" w:ascii="Cambria Math" w:hAnsi="Cambria Math"/>
                          </w:rPr>
                          <m:t>j</m:t>
                        </m:r>
                        <m:r>
                          <m:rPr>
                            <m:sty m:val="p"/>
                          </m:rPr>
                          <w:rPr>
                            <w:rFonts w:ascii="Cambria Math" w:hAnsi="Cambria Math"/>
                          </w:rPr>
                          <m:t>,</m:t>
                        </m:r>
                        <m:r>
                          <m:rPr/>
                          <w:rPr>
                            <w:rFonts w:ascii="Cambria Math" w:hAnsi="Cambria Math"/>
                          </w:rPr>
                          <m:t>v</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ctrlPr>
                          <w:rPr>
                            <w:rFonts w:ascii="Cambria Math" w:hAnsi="Cambria Math"/>
                          </w:rPr>
                        </m:ctrlPr>
                      </m:sub>
                    </m:sSub>
                    <m:ctrlPr>
                      <w:rPr>
                        <w:rFonts w:ascii="Cambria Math" w:hAnsi="Cambria Math"/>
                      </w:rPr>
                    </m:ctrlPr>
                  </m:e>
                </m:nary>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ctrlPr>
                  <w:rPr>
                    <w:rFonts w:ascii="Cambria Math" w:hAnsi="Cambria Math"/>
                  </w:rPr>
                </m:ctrlPr>
              </m:sub>
            </m:sSub>
            <m:ctrlPr>
              <w:rPr>
                <w:rFonts w:ascii="Cambria Math" w:hAnsi="Cambria Math"/>
              </w:rPr>
            </m:ctrlPr>
          </m:e>
        </m:d>
        <m:r>
          <m:rPr>
            <m:sty m:val="p"/>
          </m:rPr>
          <w:rPr>
            <w:rFonts w:ascii="Cambria Math" w:hAnsi="Cambria Math"/>
          </w:rPr>
          <m:t>/</m:t>
        </m:r>
        <m:nary>
          <m:naryPr>
            <m:chr m:val="∑"/>
            <m:limLoc m:val="subSup"/>
            <m:supHide m:val="1"/>
            <m:ctrlPr>
              <w:rPr>
                <w:rFonts w:ascii="Cambria Math" w:hAnsi="Cambria Math"/>
              </w:rPr>
            </m:ctrlPr>
          </m:naryPr>
          <m:sub>
            <m:r>
              <m:rPr/>
              <w:rPr>
                <w:rFonts w:ascii="Cambria Math" w:hAnsi="Cambria Math"/>
              </w:rPr>
              <m:t>x</m:t>
            </m:r>
            <m:ctrlPr>
              <w:rPr>
                <w:rFonts w:ascii="Cambria Math" w:hAnsi="Cambria Math"/>
              </w:rPr>
            </m:ctrlPr>
          </m:sub>
          <m:sup>
            <m:ctrlPr>
              <w:rPr>
                <w:rFonts w:ascii="Cambria Math" w:hAnsi="Cambria Math"/>
              </w:rPr>
            </m:ctrlPr>
          </m:sup>
          <m:e>
            <m:nary>
              <m:naryPr>
                <m:chr m:val="∑"/>
                <m:limLoc m:val="subSup"/>
                <m:supHide m:val="1"/>
                <m:ctrlPr>
                  <w:rPr>
                    <w:rFonts w:ascii="Cambria Math" w:hAnsi="Cambria Math"/>
                  </w:rPr>
                </m:ctrlPr>
              </m:naryPr>
              <m:sub>
                <m:r>
                  <m:rPr/>
                  <w:rPr>
                    <w:rFonts w:ascii="Cambria Math" w:hAnsi="Cambria Math"/>
                  </w:rPr>
                  <m:t>j</m:t>
                </m:r>
                <m:ctrlPr>
                  <w:rPr>
                    <w:rFonts w:ascii="Cambria Math" w:hAnsi="Cambria Math"/>
                  </w:rPr>
                </m:ctrlPr>
              </m:sub>
              <m:sup>
                <m:ctrlPr>
                  <w:rPr>
                    <w:rFonts w:ascii="Cambria Math" w:hAnsi="Cambria Math"/>
                  </w:rPr>
                </m:ctrlPr>
              </m:sup>
              <m:e>
                <m:r>
                  <m:rPr>
                    <m:sty m:val="p"/>
                  </m:rPr>
                  <w:rPr>
                    <w:rFonts w:hint="eastAsia"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ctrlPr>
                      <w:rPr>
                        <w:rFonts w:ascii="Cambria Math" w:hAnsi="Cambria Math"/>
                      </w:rPr>
                    </m:ctrlPr>
                  </m:sub>
                </m:sSub>
                <m:ctrlPr>
                  <w:rPr>
                    <w:rFonts w:ascii="Cambria Math" w:hAnsi="Cambria Math"/>
                  </w:rPr>
                </m:ctrlPr>
              </m:e>
            </m:nary>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ctrlPr>
              <w:rPr>
                <w:rFonts w:ascii="Cambria Math" w:hAnsi="Cambria Math"/>
              </w:rPr>
            </m:ctrlPr>
          </m:sub>
        </m:sSub>
      </m:oMath>
      <w:r>
        <w:rPr>
          <w:rFonts w:hint="eastAsia"/>
        </w:rPr>
        <w:t>)</w:t>
      </w:r>
      <w:r>
        <w:t xml:space="preserve"> </w:t>
      </w:r>
      <w:r>
        <w:rPr>
          <w:rFonts w:ascii="微软雅黑" w:hAnsi="微软雅黑" w:eastAsia="微软雅黑"/>
        </w:rPr>
        <w:t>………………………………..</w:t>
      </w:r>
      <w:r>
        <w:t>(4)</w:t>
      </w:r>
    </w:p>
    <w:p w14:paraId="655CD09E">
      <w:pPr>
        <w:pStyle w:val="229"/>
        <w:jc w:val="left"/>
        <w:rPr>
          <w:rFonts w:ascii="Cambria Math" w:hAnsi="Cambria Math"/>
        </w:rPr>
      </w:pPr>
      <w:r>
        <w:rPr>
          <w:rFonts w:ascii="Cambria Math" w:hAnsi="Cambria Math"/>
        </w:rPr>
        <w:t>式中：</w:t>
      </w:r>
    </w:p>
    <w:p w14:paraId="7FBE797B">
      <w:pPr>
        <w:pStyle w:val="229"/>
        <w:rPr>
          <w:rFonts w:ascii="Cambria Math" w:hAnsi="Cambria Math"/>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v</m:t>
            </m:r>
            <m:ctrlPr>
              <w:rPr>
                <w:rFonts w:ascii="Cambria Math" w:hAnsi="Cambria Math"/>
                <w:i/>
              </w:rPr>
            </m:ctrlPr>
          </m:sub>
        </m:sSub>
      </m:oMath>
      <w:r>
        <w:rPr>
          <w:rFonts w:ascii="Cambria Math" w:hAnsi="Cambria Math"/>
        </w:rPr>
        <w:t>——基准线人公里速度排放因子，</w:t>
      </w:r>
      <w:r>
        <w:rPr>
          <w:rFonts w:hint="eastAsia" w:ascii="Cambria Math" w:hAnsi="Cambria Math"/>
        </w:rPr>
        <w:t>单位为吨二氧化碳每人公里（</w:t>
      </w:r>
      <w:r>
        <w:rPr>
          <w:rFonts w:ascii="Cambria Math" w:hAnsi="Cambria Math"/>
        </w:rPr>
        <w:t>tCO</w:t>
      </w:r>
      <w:r>
        <w:rPr>
          <w:rFonts w:ascii="Cambria Math" w:hAnsi="Cambria Math"/>
          <w:vertAlign w:val="subscript"/>
        </w:rPr>
        <w:t>2</w:t>
      </w:r>
      <w:r>
        <w:rPr>
          <w:rFonts w:hint="eastAsia" w:ascii="Cambria Math" w:hAnsi="Cambria Math"/>
        </w:rPr>
        <w:t>/</w:t>
      </w:r>
      <w:r>
        <w:rPr>
          <w:rFonts w:ascii="Cambria Math" w:hAnsi="Cambria Math"/>
        </w:rPr>
        <w:t>PKM</w:t>
      </w:r>
      <w:r>
        <w:rPr>
          <w:rFonts w:hint="eastAsia" w:ascii="Cambria Math" w:hAnsi="Cambria Math"/>
        </w:rPr>
        <w:t>）</w:t>
      </w:r>
      <w:r>
        <w:rPr>
          <w:rFonts w:ascii="Cambria Math" w:hAnsi="Cambria Math"/>
        </w:rPr>
        <w:t>；</w:t>
      </w:r>
    </w:p>
    <w:p w14:paraId="55D4C96E">
      <w:pPr>
        <w:pStyle w:val="229"/>
        <w:jc w:val="left"/>
        <w:rPr>
          <w:rFonts w:ascii="Cambria Math" w:hAnsi="Cambria Math"/>
        </w:rPr>
      </w:pPr>
      <w:r>
        <w:rPr>
          <w:rFonts w:ascii="Cambria Math" w:hAnsi="Cambria Math"/>
        </w:rPr>
        <w:t>x——能源类型，可取汽油，天然气，柴油；</w:t>
      </w:r>
    </w:p>
    <w:p w14:paraId="1A77BEE0">
      <w:pPr>
        <w:pStyle w:val="229"/>
        <w:jc w:val="left"/>
        <w:rPr>
          <w:rFonts w:ascii="Cambria Math" w:hAnsi="Cambria Math"/>
        </w:rPr>
      </w:pPr>
      <w:r>
        <w:rPr>
          <w:rFonts w:ascii="Cambria Math" w:hAnsi="Cambria Math"/>
        </w:rPr>
        <w:t>j——</w:t>
      </w:r>
      <w:r>
        <w:rPr>
          <w:rFonts w:hint="eastAsia" w:ascii="Cambria Math" w:hAnsi="Cambria Math"/>
        </w:rPr>
        <w:t>小微型燃油客车</w:t>
      </w:r>
      <w:r>
        <w:rPr>
          <w:rFonts w:ascii="Cambria Math" w:hAnsi="Cambria Math"/>
        </w:rPr>
        <w:t>排量，取值为1.0L以下、1.0L~1.8L、1.8L~2.4L、2.4L以上，单位为升(L)；</w:t>
      </w:r>
    </w:p>
    <w:p w14:paraId="0508C2ED">
      <w:pPr>
        <w:pStyle w:val="229"/>
        <w:jc w:val="left"/>
        <w:rPr>
          <w:rFonts w:ascii="Cambria Math" w:hAnsi="Cambria Math"/>
        </w:rPr>
      </w:pPr>
      <w:r>
        <w:rPr>
          <w:rFonts w:ascii="Cambria Math" w:hAnsi="Cambria Math"/>
        </w:rPr>
        <w:t>v——</w:t>
      </w:r>
      <w:r>
        <w:rPr>
          <w:rFonts w:hint="eastAsia" w:ascii="Cambria Math" w:hAnsi="Cambria Math"/>
        </w:rPr>
        <w:t>小微型燃油客车</w:t>
      </w:r>
      <w:r>
        <w:rPr>
          <w:rFonts w:ascii="Cambria Math" w:hAnsi="Cambria Math"/>
        </w:rPr>
        <w:t>行驶速度，取0~120，单位为</w:t>
      </w:r>
      <w:r>
        <w:rPr>
          <w:rFonts w:hint="eastAsia" w:ascii="Cambria Math" w:hAnsi="Cambria Math"/>
        </w:rPr>
        <w:t>每小时</w:t>
      </w:r>
      <w:r>
        <w:rPr>
          <w:rFonts w:ascii="Cambria Math" w:hAnsi="Cambria Math"/>
        </w:rPr>
        <w:t>公里（km/h）；</w:t>
      </w:r>
    </w:p>
    <w:p w14:paraId="74F0EC3B">
      <w:pPr>
        <w:pStyle w:val="229"/>
        <w:jc w:val="left"/>
        <w:rPr>
          <w:rFonts w:ascii="Cambria Math" w:hAnsi="Cambria Math"/>
        </w:rPr>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r>
              <m:rPr>
                <m:sty m:val="p"/>
              </m:rPr>
              <w:rPr>
                <w:rFonts w:ascii="Cambria Math" w:hAnsi="Cambria Math"/>
              </w:rPr>
              <m:t>,</m:t>
            </m:r>
            <m:r>
              <m:rPr/>
              <w:rPr>
                <w:rFonts w:ascii="Cambria Math" w:hAnsi="Cambria Math"/>
              </w:rPr>
              <m:t>v</m:t>
            </m:r>
            <m:ctrlPr>
              <w:rPr>
                <w:rFonts w:ascii="Cambria Math" w:hAnsi="Cambria Math"/>
              </w:rPr>
            </m:ctrlPr>
          </m:sub>
        </m:sSub>
      </m:oMath>
      <w:r>
        <w:rPr>
          <w:rFonts w:ascii="Cambria Math" w:hAnsi="Cambria Math"/>
        </w:rPr>
        <w:t>——能源类型为x，排量为j的</w:t>
      </w:r>
      <w:r>
        <w:rPr>
          <w:rFonts w:hint="eastAsia" w:ascii="Cambria Math" w:hAnsi="Cambria Math"/>
        </w:rPr>
        <w:t>小微型燃油客车</w:t>
      </w:r>
      <w:r>
        <w:rPr>
          <w:rFonts w:ascii="Cambria Math" w:hAnsi="Cambria Math"/>
        </w:rPr>
        <w:t>在速度为v时的人公里排放因子，</w:t>
      </w:r>
      <w:r>
        <w:rPr>
          <w:rFonts w:hint="eastAsia" w:ascii="Cambria Math" w:hAnsi="Cambria Math"/>
        </w:rPr>
        <w:t>单位为吨二氧化碳每人公里（</w:t>
      </w:r>
      <w:r>
        <w:rPr>
          <w:rFonts w:ascii="Cambria Math" w:hAnsi="Cambria Math"/>
        </w:rPr>
        <w:t>tCO</w:t>
      </w:r>
      <w:r>
        <w:rPr>
          <w:rFonts w:ascii="Cambria Math" w:hAnsi="Cambria Math"/>
          <w:vertAlign w:val="subscript"/>
        </w:rPr>
        <w:t>2</w:t>
      </w:r>
      <w:r>
        <w:rPr>
          <w:rFonts w:hint="eastAsia" w:ascii="Cambria Math" w:hAnsi="Cambria Math"/>
        </w:rPr>
        <w:t>/</w:t>
      </w:r>
      <w:r>
        <w:rPr>
          <w:rFonts w:ascii="Cambria Math" w:hAnsi="Cambria Math"/>
        </w:rPr>
        <w:t>PKM</w:t>
      </w:r>
      <w:r>
        <w:rPr>
          <w:rFonts w:hint="eastAsia" w:ascii="Cambria Math" w:hAnsi="Cambria Math"/>
        </w:rPr>
        <w:t>）</w:t>
      </w:r>
      <w:r>
        <w:rPr>
          <w:rFonts w:ascii="Cambria Math" w:hAnsi="Cambria Math"/>
        </w:rPr>
        <w:t>；</w:t>
      </w:r>
    </w:p>
    <w:p w14:paraId="18AD2C8A">
      <w:pPr>
        <w:pStyle w:val="229"/>
        <w:jc w:val="left"/>
        <w:rPr>
          <w:rFonts w:ascii="Cambria Math" w:hAnsi="Cambria Math"/>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ctrlPr>
              <w:rPr>
                <w:rFonts w:ascii="Cambria Math" w:hAnsi="Cambria Math"/>
              </w:rPr>
            </m:ctrlPr>
          </m:sub>
        </m:sSub>
      </m:oMath>
      <w:r>
        <w:rPr>
          <w:rFonts w:ascii="Cambria Math" w:hAnsi="Cambria Math"/>
        </w:rPr>
        <w:t>——基础年能源类型为x，排量为j的</w:t>
      </w:r>
      <w:r>
        <w:rPr>
          <w:rFonts w:hint="eastAsia" w:ascii="Cambria Math" w:hAnsi="Cambria Math"/>
        </w:rPr>
        <w:t>小微型燃油客车</w:t>
      </w:r>
      <w:r>
        <w:rPr>
          <w:rFonts w:ascii="Cambria Math" w:hAnsi="Cambria Math"/>
        </w:rPr>
        <w:t>的总数量，单位为辆（辆）；</w:t>
      </w:r>
    </w:p>
    <w:p w14:paraId="2C15D278">
      <w:pPr>
        <w:pStyle w:val="229"/>
        <w:jc w:val="left"/>
        <w:rPr>
          <w:rFonts w:ascii="Cambria Math" w:hAnsi="Cambria Math"/>
        </w:rPr>
      </w:pP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ctrlPr>
              <w:rPr>
                <w:rFonts w:ascii="Cambria Math" w:hAnsi="Cambria Math"/>
              </w:rPr>
            </m:ctrlPr>
          </m:sub>
        </m:sSub>
      </m:oMath>
      <w:r>
        <w:rPr>
          <w:rFonts w:ascii="Cambria Math" w:hAnsi="Cambria Math"/>
        </w:rPr>
        <w:t>——基础年能源类型为x，排量为j的</w:t>
      </w:r>
      <w:r>
        <w:rPr>
          <w:rFonts w:hint="eastAsia" w:ascii="Cambria Math" w:hAnsi="Cambria Math"/>
        </w:rPr>
        <w:t>小微型燃油客车</w:t>
      </w:r>
      <w:r>
        <w:rPr>
          <w:rFonts w:ascii="Cambria Math" w:hAnsi="Cambria Math"/>
        </w:rPr>
        <w:t>的年均行驶里程，单位为公里（km）</w:t>
      </w:r>
      <w:r>
        <w:rPr>
          <w:rFonts w:hint="eastAsia" w:ascii="Cambria Math" w:hAnsi="Cambria Math"/>
        </w:rPr>
        <w:t>。</w:t>
      </w:r>
    </w:p>
    <w:p w14:paraId="371C4560">
      <w:pPr>
        <w:pStyle w:val="229"/>
        <w:jc w:val="left"/>
        <w:rPr>
          <w:rFonts w:ascii="Cambria Math" w:hAnsi="Cambria Math"/>
        </w:rPr>
      </w:pPr>
      <w:r>
        <w:rPr>
          <w:rFonts w:hint="eastAsia" w:ascii="Cambria Math" w:hAnsi="Cambria Math"/>
        </w:rPr>
        <w:t>在情景B时，</w:t>
      </w:r>
      <w:r>
        <w:rPr>
          <w:rFonts w:hint="eastAsia"/>
        </w:rPr>
        <w:t>基础年基准线人公里速度排放因子计算公式见（5）。</w:t>
      </w:r>
    </w:p>
    <w:p w14:paraId="2D2484DC">
      <w:pPr>
        <w:pStyle w:val="229"/>
        <w:jc w:val="right"/>
        <w:rPr>
          <w:rFonts w:ascii="Cambria Math" w:hAnsi="Cambria Math"/>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v</m:t>
            </m:r>
            <m:ctrlPr>
              <w:rPr>
                <w:rFonts w:ascii="Cambria Math" w:hAnsi="Cambria Math"/>
                <w:i/>
              </w:rPr>
            </m:ctrlPr>
          </m:sub>
        </m:sSub>
        <m:r>
          <m:rPr>
            <m:sty m:val="p"/>
          </m:rPr>
          <w:rPr>
            <w:rFonts w:ascii="Cambria Math" w:hAnsi="Cambria Math"/>
          </w:rPr>
          <m:t>=</m:t>
        </m:r>
        <m:d>
          <m:dPr>
            <m:ctrlPr>
              <w:rPr>
                <w:rFonts w:ascii="Cambria Math" w:hAnsi="Cambria Math"/>
              </w:rPr>
            </m:ctrlPr>
          </m:dPr>
          <m:e>
            <m:nary>
              <m:naryPr>
                <m:chr m:val="∑"/>
                <m:limLoc m:val="subSup"/>
                <m:supHide m:val="1"/>
                <m:ctrlPr>
                  <w:rPr>
                    <w:rFonts w:ascii="Cambria Math" w:hAnsi="Cambria Math"/>
                  </w:rPr>
                </m:ctrlPr>
              </m:naryPr>
              <m:sub>
                <m:r>
                  <m:rPr/>
                  <w:rPr>
                    <w:rFonts w:ascii="Cambria Math" w:hAnsi="Cambria Math"/>
                  </w:rPr>
                  <m:t>x</m:t>
                </m:r>
                <m:ctrlPr>
                  <w:rPr>
                    <w:rFonts w:ascii="Cambria Math" w:hAnsi="Cambria Math"/>
                  </w:rPr>
                </m:ctrlPr>
              </m:sub>
              <m:sup>
                <m:ctrlPr>
                  <w:rPr>
                    <w:rFonts w:ascii="Cambria Math" w:hAnsi="Cambria Math"/>
                  </w:rPr>
                </m:ctrlPr>
              </m:sup>
              <m:e>
                <m:nary>
                  <m:naryPr>
                    <m:chr m:val="∑"/>
                    <m:limLoc m:val="subSup"/>
                    <m:supHide m:val="1"/>
                    <m:ctrlPr>
                      <w:rPr>
                        <w:rFonts w:ascii="Cambria Math" w:hAnsi="Cambria Math"/>
                      </w:rPr>
                    </m:ctrlPr>
                  </m:naryPr>
                  <m:sub>
                    <m:r>
                      <m:rPr/>
                      <w:rPr>
                        <w:rFonts w:ascii="Cambria Math" w:hAnsi="Cambria Math"/>
                      </w:rPr>
                      <m:t>j</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x</m:t>
                        </m:r>
                        <m:r>
                          <m:rPr>
                            <m:sty m:val="p"/>
                          </m:rPr>
                          <w:rPr>
                            <w:rFonts w:ascii="Cambria Math" w:hAnsi="Cambria Math"/>
                          </w:rPr>
                          <m:t>,</m:t>
                        </m:r>
                        <m:r>
                          <m:rPr/>
                          <w:rPr>
                            <w:rFonts w:hint="eastAsia" w:ascii="Cambria Math" w:hAnsi="Cambria Math"/>
                          </w:rPr>
                          <m:t>j</m:t>
                        </m:r>
                        <m:r>
                          <m:rPr>
                            <m:sty m:val="p"/>
                          </m:rPr>
                          <w:rPr>
                            <w:rFonts w:ascii="Cambria Math" w:hAnsi="Cambria Math"/>
                          </w:rPr>
                          <m:t>,</m:t>
                        </m:r>
                        <m:r>
                          <m:rPr/>
                          <w:rPr>
                            <w:rFonts w:ascii="Cambria Math" w:hAnsi="Cambria Math"/>
                          </w:rPr>
                          <m:t>v</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ctrlPr>
                          <w:rPr>
                            <w:rFonts w:ascii="Cambria Math" w:hAnsi="Cambria Math"/>
                          </w:rPr>
                        </m:ctrlPr>
                      </m:sub>
                    </m:sSub>
                    <m:ctrlPr>
                      <w:rPr>
                        <w:rFonts w:ascii="Cambria Math" w:hAnsi="Cambria Math"/>
                      </w:rPr>
                    </m:ctrlPr>
                  </m:e>
                </m:nary>
                <m:ctrlPr>
                  <w:rPr>
                    <w:rFonts w:ascii="Cambria Math" w:hAnsi="Cambria Math"/>
                  </w:rPr>
                </m:ctrlPr>
              </m:e>
            </m:nary>
            <m:ctrlPr>
              <w:rPr>
                <w:rFonts w:ascii="Cambria Math" w:hAnsi="Cambria Math"/>
              </w:rPr>
            </m:ctrlPr>
          </m:e>
        </m:d>
        <m:r>
          <m:rPr>
            <m:sty m:val="p"/>
          </m:rPr>
          <w:rPr>
            <w:rFonts w:ascii="Cambria Math" w:hAnsi="Cambria Math"/>
          </w:rPr>
          <m:t>/</m:t>
        </m:r>
        <m:nary>
          <m:naryPr>
            <m:chr m:val="∑"/>
            <m:limLoc m:val="subSup"/>
            <m:supHide m:val="1"/>
            <m:ctrlPr>
              <w:rPr>
                <w:rFonts w:ascii="Cambria Math" w:hAnsi="Cambria Math"/>
              </w:rPr>
            </m:ctrlPr>
          </m:naryPr>
          <m:sub>
            <m:r>
              <m:rPr/>
              <w:rPr>
                <w:rFonts w:ascii="Cambria Math" w:hAnsi="Cambria Math"/>
              </w:rPr>
              <m:t>x</m:t>
            </m:r>
            <m:ctrlPr>
              <w:rPr>
                <w:rFonts w:ascii="Cambria Math" w:hAnsi="Cambria Math"/>
              </w:rPr>
            </m:ctrlPr>
          </m:sub>
          <m:sup>
            <m:ctrlPr>
              <w:rPr>
                <w:rFonts w:ascii="Cambria Math" w:hAnsi="Cambria Math"/>
              </w:rPr>
            </m:ctrlPr>
          </m:sup>
          <m:e>
            <m:nary>
              <m:naryPr>
                <m:chr m:val="∑"/>
                <m:limLoc m:val="subSup"/>
                <m:supHide m:val="1"/>
                <m:ctrlPr>
                  <w:rPr>
                    <w:rFonts w:ascii="Cambria Math" w:hAnsi="Cambria Math"/>
                  </w:rPr>
                </m:ctrlPr>
              </m:naryPr>
              <m:sub>
                <m:r>
                  <m:rPr/>
                  <w:rPr>
                    <w:rFonts w:ascii="Cambria Math" w:hAnsi="Cambria Math"/>
                  </w:rPr>
                  <m:t>j</m:t>
                </m:r>
                <m:ctrlPr>
                  <w:rPr>
                    <w:rFonts w:ascii="Cambria Math" w:hAnsi="Cambria Math"/>
                  </w:rPr>
                </m:ctrlPr>
              </m:sub>
              <m:sup>
                <m:ctrlPr>
                  <w:rPr>
                    <w:rFonts w:ascii="Cambria Math" w:hAnsi="Cambria Math"/>
                  </w:rPr>
                </m:ctrlPr>
              </m:sup>
              <m:e>
                <m:r>
                  <m:rPr>
                    <m:sty m:val="p"/>
                  </m:rPr>
                  <w:rPr>
                    <w:rFonts w:hint="eastAsia"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x</m:t>
                    </m:r>
                    <m:r>
                      <m:rPr>
                        <m:sty m:val="p"/>
                      </m:rPr>
                      <w:rPr>
                        <w:rFonts w:ascii="Cambria Math" w:hAnsi="Cambria Math"/>
                      </w:rPr>
                      <m:t>,</m:t>
                    </m:r>
                    <m:r>
                      <m:rPr/>
                      <w:rPr>
                        <w:rFonts w:ascii="Cambria Math" w:hAnsi="Cambria Math"/>
                      </w:rPr>
                      <m:t>j</m:t>
                    </m:r>
                    <m:ctrlPr>
                      <w:rPr>
                        <w:rFonts w:ascii="Cambria Math" w:hAnsi="Cambria Math"/>
                      </w:rPr>
                    </m:ctrlPr>
                  </m:sub>
                </m:sSub>
                <m:ctrlPr>
                  <w:rPr>
                    <w:rFonts w:ascii="Cambria Math" w:hAnsi="Cambria Math"/>
                  </w:rPr>
                </m:ctrlPr>
              </m:e>
            </m:nary>
            <m:ctrlPr>
              <w:rPr>
                <w:rFonts w:ascii="Cambria Math" w:hAnsi="Cambria Math"/>
              </w:rPr>
            </m:ctrlPr>
          </m:e>
        </m:nary>
      </m:oMath>
      <w:r>
        <w:rPr>
          <w:rFonts w:hint="eastAsia"/>
        </w:rPr>
        <w:t>)</w:t>
      </w:r>
      <w:r>
        <w:rPr>
          <w:rFonts w:ascii="微软雅黑" w:hAnsi="微软雅黑" w:eastAsia="微软雅黑"/>
        </w:rPr>
        <w:t xml:space="preserve"> ………………………………..</w:t>
      </w:r>
      <w:r>
        <w:t>(5)</w:t>
      </w:r>
    </w:p>
    <w:p w14:paraId="5CAE6CF7">
      <w:pPr>
        <w:pStyle w:val="105"/>
        <w:spacing w:before="156" w:after="156"/>
      </w:pPr>
      <w:bookmarkStart w:id="75" w:name="_Toc130559698"/>
      <w:bookmarkStart w:id="76" w:name="_Toc130559566"/>
      <w:bookmarkStart w:id="77" w:name="_Toc131518019"/>
      <w:r>
        <w:rPr>
          <w:rFonts w:hint="eastAsia"/>
        </w:rPr>
        <w:t>绿色出行行为</w:t>
      </w:r>
      <w:bookmarkEnd w:id="75"/>
      <w:bookmarkEnd w:id="76"/>
      <w:bookmarkEnd w:id="77"/>
    </w:p>
    <w:p w14:paraId="3C0AB038">
      <w:pPr>
        <w:pStyle w:val="65"/>
        <w:spacing w:before="156" w:after="156"/>
      </w:pPr>
      <w:r>
        <w:rPr>
          <w:rFonts w:hint="eastAsia"/>
        </w:rPr>
        <w:t>碳排放量计算公式</w:t>
      </w:r>
    </w:p>
    <w:p w14:paraId="48310BB3">
      <w:pPr>
        <w:pStyle w:val="56"/>
        <w:ind w:firstLine="420"/>
      </w:pPr>
      <w:r>
        <w:rPr>
          <w:rFonts w:hint="eastAsia"/>
        </w:rPr>
        <w:t>绿色出行行为碳排放量计算公式见（</w:t>
      </w:r>
      <w:r>
        <w:t>6</w:t>
      </w:r>
      <w:r>
        <w:rPr>
          <w:rFonts w:hint="eastAsia"/>
        </w:rPr>
        <w:t>）。</w:t>
      </w:r>
    </w:p>
    <w:p w14:paraId="3854194C">
      <w:pPr>
        <w:pStyle w:val="113"/>
        <w:spacing w:before="120" w:after="120"/>
      </w:pPr>
      <w:r>
        <w:tab/>
      </w: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nary>
              <m:naryPr>
                <m:chr m:val="∑"/>
                <m:limLoc m:val="subSup"/>
                <m:supHide m:val="1"/>
                <m:ctrlPr>
                  <w:rPr>
                    <w:rFonts w:ascii="Cambria Math" w:hAnsi="Cambria Math"/>
                    <w:i/>
                  </w:rPr>
                </m:ctrlPr>
              </m:naryPr>
              <m:sub>
                <m:r>
                  <m:rPr/>
                  <w:rPr>
                    <w:rFonts w:hint="eastAsia" w:ascii="Cambria Math" w:hAnsi="Cambria Math"/>
                  </w:rPr>
                  <m:t>k</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PKM,k</m:t>
                    </m:r>
                    <m:ctrlPr>
                      <w:rPr>
                        <w:rFonts w:ascii="Cambria Math" w:hAnsi="Cambria Math"/>
                        <w:i/>
                      </w:rPr>
                    </m:ctrlPr>
                  </m:sub>
                </m:sSub>
                <m:r>
                  <m:rPr/>
                  <w:rPr>
                    <w:rFonts w:ascii="Cambria Math" w:hAnsi="Cambria Math"/>
                  </w:rPr>
                  <m:t>×</m:t>
                </m:r>
                <m:ctrlPr>
                  <w:rPr>
                    <w:rFonts w:ascii="Cambria Math" w:hAnsi="Cambria Math"/>
                    <w:i/>
                  </w:rPr>
                </m:ctrlPr>
              </m:e>
            </m:nary>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r>
              <m:rPr/>
              <w:rPr>
                <w:rFonts w:ascii="Cambria Math" w:hAnsi="Cambria Math"/>
              </w:rPr>
              <m:t>)</m:t>
            </m:r>
            <m:ctrlPr>
              <w:rPr>
                <w:rFonts w:ascii="Cambria Math" w:hAnsi="Cambria Math"/>
                <w:i/>
              </w:rPr>
            </m:ctrlPr>
          </m:e>
        </m:nary>
      </m:oMath>
      <w:r>
        <w:rPr>
          <w:rFonts w:ascii="微软雅黑" w:hAnsi="微软雅黑" w:eastAsia="微软雅黑"/>
        </w:rPr>
        <w:tab/>
      </w:r>
      <w:r>
        <w:t>(6)</w:t>
      </w:r>
    </w:p>
    <w:p w14:paraId="4366B50E">
      <w:pPr>
        <w:pStyle w:val="55"/>
        <w:ind w:firstLine="420"/>
      </w:pPr>
      <w:r>
        <w:rPr>
          <w:rFonts w:hint="eastAsia"/>
        </w:rPr>
        <w:t>式中：</w:t>
      </w:r>
    </w:p>
    <w:p w14:paraId="2C1ECD91">
      <w:pPr>
        <w:pStyle w:val="229"/>
        <w:jc w:val="left"/>
        <w:rPr>
          <w:rFonts w:ascii="Times New Roman"/>
          <w:lang w:val="en-AU"/>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ascii="Times New Roman"/>
        </w:rPr>
        <w:t>——</w:t>
      </w:r>
      <w:r>
        <w:rPr>
          <w:rFonts w:ascii="Times New Roman"/>
          <w:lang w:val="en-AU"/>
        </w:rPr>
        <w:t>第y年</w:t>
      </w:r>
      <w:r>
        <w:rPr>
          <w:rFonts w:hint="eastAsia" w:ascii="Times New Roman"/>
          <w:lang w:val="en-AU"/>
        </w:rPr>
        <w:t>绿色出行行为</w:t>
      </w:r>
      <w:r>
        <w:rPr>
          <w:rFonts w:ascii="Times New Roman"/>
          <w:lang w:val="en-AU"/>
        </w:rPr>
        <w:t>碳排放量，单位为吨二氧化碳（tCO</w:t>
      </w:r>
      <w:r>
        <w:rPr>
          <w:rFonts w:ascii="Times New Roman"/>
          <w:vertAlign w:val="subscript"/>
          <w:lang w:val="en-AU"/>
        </w:rPr>
        <w:t>2</w:t>
      </w:r>
      <w:r>
        <w:rPr>
          <w:rFonts w:ascii="Times New Roman"/>
          <w:lang w:val="en-AU"/>
        </w:rPr>
        <w:t>）；</w:t>
      </w:r>
    </w:p>
    <w:p w14:paraId="3C636E10">
      <w:pPr>
        <w:pStyle w:val="229"/>
        <w:rPr>
          <w:rFonts w:ascii="Times New Roman"/>
          <w:lang w:val="en-AU"/>
        </w:rPr>
      </w:pPr>
      <m:oMath>
        <m:sSub>
          <m:sSubPr>
            <m:ctrlPr>
              <w:rPr>
                <w:rFonts w:ascii="Cambria Math" w:hAnsi="Cambria Math"/>
                <w:i/>
              </w:rPr>
            </m:ctrlPr>
          </m:sSubPr>
          <w:bookmarkStart w:id="78" w:name="_Hlk116373014"/>
          <m:e>
            <m:r>
              <m:rPr/>
              <w:rPr>
                <w:rFonts w:ascii="Cambria Math" w:hAnsi="Cambria Math"/>
              </w:rPr>
              <m:t>EF</m:t>
            </m:r>
            <m:ctrlPr>
              <w:rPr>
                <w:rFonts w:ascii="Cambria Math" w:hAnsi="Cambria Math"/>
                <w:i/>
              </w:rPr>
            </m:ctrlPr>
          </m:e>
          <m:sub>
            <m:r>
              <m:rPr/>
              <w:rPr>
                <w:rFonts w:ascii="Cambria Math" w:hAnsi="Cambria Math"/>
              </w:rPr>
              <m:t>PKM,k</m:t>
            </m:r>
            <w:bookmarkEnd w:id="78"/>
            <m:ctrlPr>
              <w:rPr>
                <w:rFonts w:ascii="Cambria Math" w:hAnsi="Cambria Math"/>
                <w:i/>
              </w:rPr>
            </m:ctrlPr>
          </m:sub>
        </m:sSub>
      </m:oMath>
      <w:r>
        <w:rPr>
          <w:rFonts w:ascii="Times New Roman"/>
        </w:rPr>
        <w:t>——</w:t>
      </w:r>
      <w:r>
        <w:rPr>
          <w:rFonts w:ascii="Times New Roman"/>
          <w:lang w:val="en-AU"/>
        </w:rPr>
        <w:t>基础年</w:t>
      </w:r>
      <w:r>
        <w:rPr>
          <w:rFonts w:hint="eastAsia" w:ascii="Times New Roman"/>
          <w:lang w:val="en-AU"/>
        </w:rPr>
        <w:t>绿色出行</w:t>
      </w:r>
      <w:r>
        <w:rPr>
          <w:rFonts w:ascii="Times New Roman"/>
          <w:lang w:val="en-AU"/>
        </w:rPr>
        <w:t>k方式人公里排放因子，单位为</w:t>
      </w:r>
      <w:r>
        <w:rPr>
          <w:rFonts w:hint="eastAsia" w:ascii="Cambria Math" w:hAnsi="Cambria Math"/>
        </w:rPr>
        <w:t>吨二氧化碳每人公里</w:t>
      </w:r>
      <w:r>
        <w:rPr>
          <w:rFonts w:ascii="Times New Roman"/>
          <w:lang w:val="en-AU"/>
        </w:rPr>
        <w:t>（tCO</w:t>
      </w:r>
      <w:r>
        <w:rPr>
          <w:rFonts w:ascii="Times New Roman"/>
          <w:vertAlign w:val="subscript"/>
          <w:lang w:val="en-AU"/>
        </w:rPr>
        <w:t>2</w:t>
      </w:r>
      <w:r>
        <w:rPr>
          <w:rFonts w:ascii="Times New Roman"/>
          <w:lang w:val="en-AU"/>
        </w:rPr>
        <w:t>/PKM）；</w:t>
      </w:r>
    </w:p>
    <w:p w14:paraId="312ED9F6">
      <w:pPr>
        <w:pStyle w:val="229"/>
        <w:jc w:val="left"/>
        <w:rPr>
          <w:rFonts w:ascii="Times New Roman"/>
          <w:lang w:val="en-AU"/>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r>
        <w:rPr>
          <w:rFonts w:ascii="Times New Roman"/>
        </w:rPr>
        <w:t>——</w:t>
      </w:r>
      <w:r>
        <w:rPr>
          <w:rFonts w:ascii="Times New Roman"/>
          <w:lang w:val="en-AU"/>
        </w:rPr>
        <w:t>第y年第</w:t>
      </w:r>
      <w:r>
        <w:rPr>
          <w:rFonts w:hint="eastAsia" w:ascii="Times New Roman"/>
          <w:lang w:val="en-AU"/>
        </w:rPr>
        <w:t>i</w:t>
      </w:r>
      <w:r>
        <w:rPr>
          <w:rFonts w:ascii="Times New Roman"/>
          <w:lang w:val="en-AU"/>
        </w:rPr>
        <w:t>次</w:t>
      </w:r>
      <w:r>
        <w:rPr>
          <w:rFonts w:hint="eastAsia" w:ascii="Times New Roman"/>
          <w:lang w:val="en-AU"/>
        </w:rPr>
        <w:t>使用绿色出行</w:t>
      </w:r>
      <w:r>
        <w:rPr>
          <w:rFonts w:ascii="Times New Roman"/>
          <w:lang w:val="en-AU"/>
        </w:rPr>
        <w:t>k方式替代高排放出行的里程，单位为公里（km）</w:t>
      </w:r>
      <w:r>
        <w:rPr>
          <w:rFonts w:hint="eastAsia" w:ascii="Times New Roman"/>
          <w:lang w:val="en-AU"/>
        </w:rPr>
        <w:t>；</w:t>
      </w:r>
    </w:p>
    <w:p w14:paraId="22D7B9E1">
      <w:pPr>
        <w:pStyle w:val="229"/>
        <w:ind w:firstLineChars="0"/>
        <w:jc w:val="left"/>
        <w:rPr>
          <w:rFonts w:ascii="Times New Roman"/>
        </w:rPr>
      </w:pPr>
      <w:r>
        <w:rPr>
          <w:rFonts w:ascii="Times New Roman"/>
          <w:i/>
          <w:iCs/>
        </w:rPr>
        <w:t>k</w:t>
      </w:r>
      <w:r>
        <w:rPr>
          <w:rFonts w:ascii="Times New Roman"/>
        </w:rPr>
        <w:t>——</w:t>
      </w:r>
      <w:r>
        <w:rPr>
          <w:rFonts w:hint="eastAsia" w:ascii="Times New Roman"/>
        </w:rPr>
        <w:t>绿色出行</w:t>
      </w:r>
      <w:r>
        <w:rPr>
          <w:rFonts w:ascii="Times New Roman"/>
        </w:rPr>
        <w:t>方式</w:t>
      </w:r>
      <w:r>
        <w:rPr>
          <w:rFonts w:hint="eastAsia" w:ascii="Times New Roman"/>
        </w:rPr>
        <w:t>，可选乘坐公共汽电车、乘坐城市轨道交通、骑行、步行、驾乘新能源小客车和合乘及自愿停驶等方式。</w:t>
      </w:r>
    </w:p>
    <w:p w14:paraId="2F8D99E0">
      <w:pPr>
        <w:pStyle w:val="65"/>
        <w:spacing w:before="156" w:after="156"/>
      </w:pPr>
      <w:r>
        <w:rPr>
          <w:rFonts w:hint="eastAsia"/>
        </w:rPr>
        <w:t>绿色出行方式的人公里排放因子</w:t>
      </w:r>
    </w:p>
    <w:p w14:paraId="7A19CF9A">
      <w:pPr>
        <w:pStyle w:val="94"/>
        <w:spacing w:before="156" w:after="156"/>
      </w:pPr>
      <w:r>
        <w:rPr>
          <w:rFonts w:hint="eastAsia"/>
        </w:rPr>
        <w:t>乘坐公共汽电车、城市轨道交通人公里排放因子</w:t>
      </w:r>
    </w:p>
    <w:p w14:paraId="6CEF1CF5">
      <w:pPr>
        <w:pStyle w:val="56"/>
        <w:ind w:firstLine="420"/>
        <w:rPr>
          <w:lang w:val="en-AU"/>
        </w:rPr>
      </w:pPr>
      <w:r>
        <w:rPr>
          <w:rFonts w:hint="eastAsia"/>
          <w:lang w:val="en-AU"/>
        </w:rPr>
        <w:t>在情景A时，</w:t>
      </w:r>
      <w:bookmarkStart w:id="79" w:name="_Hlk117033370"/>
      <w:r>
        <w:rPr>
          <w:rFonts w:hint="eastAsia"/>
          <w:lang w:val="en-AU"/>
        </w:rPr>
        <w:t>乘坐公共汽电车、城市轨道交通绿色出行的人公里排放因子计算公式见（</w:t>
      </w:r>
      <w:r>
        <w:rPr>
          <w:lang w:val="en-AU"/>
        </w:rPr>
        <w:t>7</w:t>
      </w:r>
      <w:r>
        <w:rPr>
          <w:rFonts w:hint="eastAsia"/>
          <w:lang w:val="en-AU"/>
        </w:rPr>
        <w:t>）。</w:t>
      </w:r>
    </w:p>
    <w:bookmarkEnd w:id="79"/>
    <w:p w14:paraId="7EE922B5">
      <w:pPr>
        <w:pStyle w:val="229"/>
        <w:ind w:firstLine="0" w:firstLineChars="0"/>
        <w:jc w:val="right"/>
        <w:rPr>
          <w:rFonts w:ascii="Times New Roman"/>
        </w:rPr>
      </w:pPr>
      <m:oMath>
        <m:sSub>
          <m:sSubPr>
            <m:ctrlPr>
              <w:rPr>
                <w:rFonts w:ascii="Cambria Math" w:hAnsi="Cambria Math"/>
                <w:szCs w:val="24"/>
              </w:rPr>
            </m:ctrlPr>
          </m:sSubPr>
          <m:e>
            <m:r>
              <m:rPr/>
              <w:rPr>
                <w:rFonts w:ascii="Cambria Math" w:hAnsi="Cambria Math"/>
              </w:rPr>
              <m:t>EF</m:t>
            </m:r>
            <m:ctrlPr>
              <w:rPr>
                <w:rFonts w:ascii="Cambria Math" w:hAnsi="Cambria Math"/>
                <w:szCs w:val="24"/>
              </w:rPr>
            </m:ctrlPr>
          </m:e>
          <m:sub>
            <m:r>
              <m:rPr/>
              <w:rPr>
                <w:rFonts w:ascii="Cambria Math" w:hAnsi="Cambria Math"/>
              </w:rPr>
              <m:t>PKM,k</m:t>
            </m:r>
            <m:ctrlPr>
              <w:rPr>
                <w:rFonts w:ascii="Cambria Math" w:hAnsi="Cambria Math"/>
                <w:szCs w:val="24"/>
              </w:rPr>
            </m:ctrlPr>
          </m:sub>
        </m:sSub>
        <m:r>
          <m:rPr/>
          <w:rPr>
            <w:rFonts w:ascii="Cambria Math" w:hAnsi="Cambria Math"/>
          </w:rPr>
          <m:t>=[</m:t>
        </m:r>
        <m:nary>
          <m:naryPr>
            <m:chr m:val="∑"/>
            <m:limLoc m:val="subSup"/>
            <m:supHide m:val="1"/>
            <m:ctrlPr>
              <w:rPr>
                <w:rFonts w:ascii="Cambria Math" w:hAnsi="Cambria Math"/>
                <w:i/>
                <w:szCs w:val="24"/>
              </w:rPr>
            </m:ctrlPr>
          </m:naryPr>
          <m:sub>
            <m:r>
              <m:rPr/>
              <w:rPr>
                <w:rFonts w:ascii="Cambria Math" w:hAnsi="Cambria Math"/>
              </w:rPr>
              <m:t>x</m:t>
            </m:r>
            <m:ctrlPr>
              <w:rPr>
                <w:rFonts w:ascii="Cambria Math" w:hAnsi="Cambria Math"/>
                <w:i/>
                <w:szCs w:val="24"/>
              </w:rPr>
            </m:ctrlPr>
          </m:sub>
          <m:sup>
            <m:ctrlPr>
              <w:rPr>
                <w:rFonts w:ascii="Cambria Math" w:hAnsi="Cambria Math"/>
                <w:i/>
                <w:szCs w:val="24"/>
              </w:rPr>
            </m:ctrlPr>
          </m:sup>
          <m:e>
            <m:sSub>
              <m:sSubPr>
                <m:ctrlPr>
                  <w:rPr>
                    <w:rFonts w:ascii="Cambria Math" w:hAnsi="Cambria Math"/>
                    <w:i/>
                    <w:szCs w:val="24"/>
                  </w:rPr>
                </m:ctrlPr>
              </m:sSubPr>
              <m:e>
                <m:r>
                  <m:rPr/>
                  <w:rPr>
                    <w:rFonts w:ascii="Cambria Math" w:hAnsi="Cambria Math"/>
                    <w:lang w:val="en-AU"/>
                  </w:rPr>
                  <m:t>(</m:t>
                </m:r>
                <m:r>
                  <m:rPr/>
                  <w:rPr>
                    <w:rFonts w:ascii="Cambria Math" w:hAnsi="Cambria Math"/>
                  </w:rPr>
                  <m:t>EF</m:t>
                </m:r>
                <m:ctrlPr>
                  <w:rPr>
                    <w:rFonts w:ascii="Cambria Math" w:hAnsi="Cambria Math"/>
                    <w:i/>
                    <w:szCs w:val="24"/>
                  </w:rPr>
                </m:ctrlPr>
              </m:e>
              <m:sub>
                <m:r>
                  <m:rPr/>
                  <w:rPr>
                    <w:rFonts w:ascii="Cambria Math" w:hAnsi="Cambria Math"/>
                  </w:rPr>
                  <m:t>CO2,x</m:t>
                </m:r>
                <m:ctrlPr>
                  <w:rPr>
                    <w:rFonts w:ascii="Cambria Math" w:hAnsi="Cambria Math"/>
                    <w:i/>
                    <w:szCs w:val="24"/>
                  </w:rPr>
                </m:ctrlPr>
              </m:sub>
            </m:sSub>
            <m:r>
              <m:rPr/>
              <w:rPr>
                <w:rFonts w:ascii="Cambria Math" w:hAnsi="Cambria Math"/>
              </w:rPr>
              <m:t>×</m:t>
            </m:r>
            <m:sSub>
              <m:sSubPr>
                <m:ctrlPr>
                  <w:rPr>
                    <w:rFonts w:ascii="Cambria Math" w:hAnsi="Cambria Math"/>
                    <w:i/>
                    <w:szCs w:val="24"/>
                  </w:rPr>
                </m:ctrlPr>
              </m:sSubPr>
              <m:e>
                <m:r>
                  <m:rPr/>
                  <w:rPr>
                    <w:rFonts w:ascii="Cambria Math" w:hAnsi="Cambria Math"/>
                  </w:rPr>
                  <m:t>FC</m:t>
                </m:r>
                <m:ctrlPr>
                  <w:rPr>
                    <w:rFonts w:ascii="Cambria Math" w:hAnsi="Cambria Math"/>
                    <w:i/>
                    <w:szCs w:val="24"/>
                  </w:rPr>
                </m:ctrlPr>
              </m:e>
              <m:sub>
                <m:r>
                  <m:rPr/>
                  <w:rPr>
                    <w:rFonts w:ascii="Cambria Math" w:hAnsi="Cambria Math"/>
                  </w:rPr>
                  <m:t>k,x</m:t>
                </m:r>
                <m:ctrlPr>
                  <w:rPr>
                    <w:rFonts w:ascii="Cambria Math" w:hAnsi="Cambria Math"/>
                    <w:i/>
                    <w:szCs w:val="24"/>
                  </w:rPr>
                </m:ctrlPr>
              </m:sub>
            </m:sSub>
            <m:ctrlPr>
              <w:rPr>
                <w:rFonts w:ascii="Cambria Math" w:hAnsi="Cambria Math"/>
                <w:i/>
                <w:szCs w:val="24"/>
              </w:rPr>
            </m:ctrlPr>
          </m:e>
        </m:nary>
        <m:r>
          <m:rPr/>
          <w:rPr>
            <w:rFonts w:ascii="Cambria Math" w:hAnsi="Cambria Math"/>
          </w:rPr>
          <m:t>×</m:t>
        </m:r>
        <m:sSub>
          <m:sSubPr>
            <m:ctrlPr>
              <w:rPr>
                <w:rFonts w:ascii="Cambria Math" w:hAnsi="Cambria Math"/>
                <w:i/>
                <w:szCs w:val="24"/>
              </w:rPr>
            </m:ctrlPr>
          </m:sSubPr>
          <m:e>
            <m:r>
              <m:rPr/>
              <w:rPr>
                <w:rFonts w:ascii="Cambria Math" w:hAnsi="Cambria Math"/>
              </w:rPr>
              <m:t>NCV</m:t>
            </m:r>
            <m:ctrlPr>
              <w:rPr>
                <w:rFonts w:ascii="Cambria Math" w:hAnsi="Cambria Math"/>
                <w:i/>
                <w:szCs w:val="24"/>
              </w:rPr>
            </m:ctrlPr>
          </m:e>
          <m:sub>
            <m:r>
              <m:rPr/>
              <w:rPr>
                <w:rFonts w:ascii="Cambria Math" w:hAnsi="Cambria Math"/>
              </w:rPr>
              <m:t>k,x</m:t>
            </m:r>
            <m:ctrlPr>
              <w:rPr>
                <w:rFonts w:ascii="Cambria Math" w:hAnsi="Cambria Math"/>
                <w:i/>
                <w:szCs w:val="24"/>
              </w:rPr>
            </m:ctrlPr>
          </m:sub>
        </m:sSub>
        <m:r>
          <m:rPr/>
          <w:rPr>
            <w:rFonts w:ascii="Cambria Math" w:hAnsi="Cambria Math"/>
          </w:rPr>
          <m:t>+</m:t>
        </m:r>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m:t>
            </m:r>
            <m:r>
              <m:rPr/>
              <w:rPr>
                <w:rFonts w:hint="eastAsia" w:ascii="Cambria Math" w:hAnsi="Cambria Math"/>
              </w:rPr>
              <m:t>电</m:t>
            </m:r>
            <m:ctrlPr>
              <w:rPr>
                <w:rFonts w:ascii="Cambria Math" w:hAnsi="Cambria Math"/>
                <w:i/>
                <w:szCs w:val="24"/>
              </w:rPr>
            </m:ctrlPr>
          </m:sub>
        </m:sSub>
        <m:sSub>
          <m:sSubPr>
            <m:ctrlPr>
              <w:rPr>
                <w:rFonts w:ascii="Cambria Math" w:hAnsi="Cambria Math"/>
                <w:i/>
                <w:szCs w:val="24"/>
              </w:rPr>
            </m:ctrlPr>
          </m:sSubPr>
          <m:e>
            <m:r>
              <m:rPr/>
              <w:rPr>
                <w:rFonts w:ascii="Cambria Math" w:hAnsi="Cambria Math"/>
              </w:rPr>
              <m:t>×EC</m:t>
            </m:r>
            <m:ctrlPr>
              <w:rPr>
                <w:rFonts w:ascii="Cambria Math" w:hAnsi="Cambria Math"/>
                <w:i/>
                <w:szCs w:val="24"/>
              </w:rPr>
            </m:ctrlPr>
          </m:e>
          <m:sub>
            <m:r>
              <m:rPr/>
              <w:rPr>
                <w:rFonts w:ascii="Cambria Math" w:hAnsi="Cambria Math"/>
              </w:rPr>
              <m:t>k</m:t>
            </m:r>
            <m:ctrlPr>
              <w:rPr>
                <w:rFonts w:ascii="Cambria Math" w:hAnsi="Cambria Math"/>
                <w:i/>
                <w:szCs w:val="24"/>
              </w:rPr>
            </m:ctrlPr>
          </m:sub>
        </m:sSub>
        <m:r>
          <m:rPr/>
          <w:rPr>
            <w:rFonts w:ascii="Cambria Math" w:hAnsi="Cambria Math"/>
          </w:rPr>
          <m:t>×</m:t>
        </m:r>
        <m:d>
          <m:dPr>
            <m:ctrlPr>
              <w:rPr>
                <w:rFonts w:ascii="Cambria Math" w:hAnsi="Cambria Math"/>
                <w:i/>
                <w:szCs w:val="24"/>
              </w:rPr>
            </m:ctrlPr>
          </m:dPr>
          <m:e>
            <m:r>
              <m:rPr/>
              <w:rPr>
                <w:rFonts w:ascii="Cambria Math" w:hAnsi="Cambria Math"/>
              </w:rPr>
              <m:t>1+TDL</m:t>
            </m:r>
            <m:ctrlPr>
              <w:rPr>
                <w:rFonts w:ascii="Cambria Math" w:hAnsi="Cambria Math"/>
                <w:i/>
                <w:szCs w:val="24"/>
              </w:rPr>
            </m:ctrlPr>
          </m:e>
        </m:d>
        <m:r>
          <m:rPr/>
          <w:rPr>
            <w:rFonts w:ascii="Cambria Math" w:hAnsi="Cambria Math"/>
          </w:rPr>
          <m:t>)]/(</m:t>
        </m:r>
        <m:sSub>
          <m:sSubPr>
            <m:ctrlPr>
              <w:rPr>
                <w:rFonts w:ascii="Cambria Math" w:hAnsi="Cambria Math"/>
                <w:i/>
                <w:szCs w:val="24"/>
              </w:rPr>
            </m:ctrlPr>
          </m:sSubPr>
          <m:e>
            <m:r>
              <m:rPr/>
              <w:rPr>
                <w:rFonts w:ascii="Cambria Math" w:hAnsi="Cambria Math"/>
              </w:rPr>
              <m:t>D</m:t>
            </m:r>
            <m:ctrlPr>
              <w:rPr>
                <w:rFonts w:ascii="Cambria Math" w:hAnsi="Cambria Math"/>
                <w:i/>
                <w:szCs w:val="24"/>
              </w:rPr>
            </m:ctrlPr>
          </m:e>
          <m:sub>
            <m:r>
              <m:rPr/>
              <w:rPr>
                <w:rFonts w:ascii="Cambria Math" w:hAnsi="Cambria Math"/>
              </w:rPr>
              <m:t>k,y</m:t>
            </m:r>
            <m:ctrlPr>
              <w:rPr>
                <w:rFonts w:ascii="Cambria Math" w:hAnsi="Cambria Math"/>
                <w:i/>
                <w:szCs w:val="24"/>
              </w:rPr>
            </m:ctrlPr>
          </m:sub>
        </m:sSub>
        <m:r>
          <m:rPr/>
          <w:rPr>
            <w:rFonts w:ascii="Cambria Math" w:hAnsi="Cambria Math"/>
          </w:rPr>
          <m:t>×</m:t>
        </m:r>
        <m:sSub>
          <m:sSubPr>
            <m:ctrlPr>
              <w:rPr>
                <w:rFonts w:ascii="Cambria Math" w:hAnsi="Cambria Math"/>
                <w:i/>
                <w:szCs w:val="24"/>
              </w:rPr>
            </m:ctrlPr>
          </m:sSubPr>
          <m:e>
            <m:r>
              <m:rPr/>
              <w:rPr>
                <w:rFonts w:ascii="Cambria Math" w:hAnsi="Cambria Math"/>
              </w:rPr>
              <m:t>P</m:t>
            </m:r>
            <m:ctrlPr>
              <w:rPr>
                <w:rFonts w:ascii="Cambria Math" w:hAnsi="Cambria Math"/>
                <w:i/>
                <w:szCs w:val="24"/>
              </w:rPr>
            </m:ctrlPr>
          </m:e>
          <m:sub>
            <m:r>
              <m:rPr/>
              <w:rPr>
                <w:rFonts w:ascii="Cambria Math" w:hAnsi="Cambria Math"/>
              </w:rPr>
              <m:t>k,y</m:t>
            </m:r>
            <m:ctrlPr>
              <w:rPr>
                <w:rFonts w:ascii="Cambria Math" w:hAnsi="Cambria Math"/>
                <w:i/>
                <w:szCs w:val="24"/>
              </w:rPr>
            </m:ctrlPr>
          </m:sub>
        </m:sSub>
        <m:r>
          <m:rPr/>
          <w:rPr>
            <w:rFonts w:ascii="Cambria Math" w:hAnsi="Cambria Math"/>
          </w:rPr>
          <m:t>)</m:t>
        </m:r>
      </m:oMath>
      <w:r>
        <w:rPr>
          <w:rFonts w:ascii="Cambria Math" w:hAnsi="Cambria Math"/>
        </w:rPr>
        <w:t xml:space="preserve"> …</w:t>
      </w:r>
      <w:r>
        <w:rPr>
          <w:rFonts w:ascii="Times New Roman"/>
        </w:rPr>
        <w:t>（7）</w:t>
      </w:r>
    </w:p>
    <w:p w14:paraId="68AF6F7E">
      <w:pPr>
        <w:pStyle w:val="229"/>
        <w:ind w:firstLineChars="0"/>
        <w:jc w:val="left"/>
        <w:rPr>
          <w:rFonts w:ascii="Times New Roman"/>
        </w:rPr>
      </w:pPr>
      <w:r>
        <w:rPr>
          <w:rFonts w:ascii="Times New Roman"/>
        </w:rPr>
        <w:t>式中：</w:t>
      </w:r>
    </w:p>
    <w:p w14:paraId="16B3EFD6">
      <w:pPr>
        <w:pStyle w:val="229"/>
        <w:ind w:firstLineChars="0"/>
        <w:jc w:val="left"/>
        <w:rPr>
          <w:rFonts w:ascii="Times New Roman"/>
          <w:iCs/>
        </w:rPr>
      </w:pPr>
      <m:oMath>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PKM,k</m:t>
            </m:r>
            <m:ctrlPr>
              <w:rPr>
                <w:rFonts w:ascii="Cambria Math" w:hAnsi="Cambria Math"/>
                <w:i/>
                <w:szCs w:val="24"/>
              </w:rPr>
            </m:ctrlPr>
          </m:sub>
        </m:sSub>
      </m:oMath>
      <w:r>
        <w:rPr>
          <w:rFonts w:ascii="Times New Roman"/>
        </w:rPr>
        <w:t>——</w:t>
      </w:r>
      <w:r>
        <w:rPr>
          <w:rFonts w:ascii="Times New Roman"/>
          <w:iCs/>
        </w:rPr>
        <w:t>基础年出行方式k的人公里碳排放因子</w:t>
      </w:r>
      <w:r>
        <w:rPr>
          <w:rFonts w:hint="eastAsia" w:ascii="Times New Roman"/>
          <w:iCs/>
        </w:rPr>
        <w:t>，</w:t>
      </w:r>
      <w:r>
        <w:rPr>
          <w:rFonts w:ascii="Times New Roman"/>
          <w:lang w:val="en-AU"/>
        </w:rPr>
        <w:t>单位为</w:t>
      </w:r>
      <w:r>
        <w:rPr>
          <w:rFonts w:hint="eastAsia" w:ascii="Cambria Math" w:hAnsi="Cambria Math"/>
        </w:rPr>
        <w:t>吨二氧化碳每人公里</w:t>
      </w:r>
      <w:r>
        <w:rPr>
          <w:rFonts w:ascii="Times New Roman"/>
          <w:lang w:val="en-AU"/>
        </w:rPr>
        <w:t>（tCO</w:t>
      </w:r>
      <w:r>
        <w:rPr>
          <w:rFonts w:ascii="Times New Roman"/>
          <w:vertAlign w:val="subscript"/>
          <w:lang w:val="en-AU"/>
        </w:rPr>
        <w:t>2</w:t>
      </w:r>
      <w:r>
        <w:rPr>
          <w:rFonts w:ascii="Times New Roman"/>
          <w:lang w:val="en-AU"/>
        </w:rPr>
        <w:t>/PKM）</w:t>
      </w:r>
      <w:r>
        <w:rPr>
          <w:rFonts w:ascii="Times New Roman"/>
          <w:iCs/>
        </w:rPr>
        <w:t>；</w:t>
      </w:r>
    </w:p>
    <w:p w14:paraId="693A6C01">
      <w:pPr>
        <w:pStyle w:val="229"/>
        <w:ind w:firstLineChars="0"/>
        <w:jc w:val="left"/>
        <w:rPr>
          <w:rFonts w:ascii="Times New Roman"/>
          <w:iCs/>
        </w:rPr>
      </w:pPr>
      <m:oMath>
        <m:sSub>
          <m:sSubPr>
            <m:ctrlPr>
              <w:rPr>
                <w:rFonts w:ascii="Cambria Math" w:hAnsi="Cambria Math"/>
                <w:i/>
                <w:szCs w:val="24"/>
              </w:rPr>
            </m:ctrlPr>
          </m:sSubPr>
          <m:e>
            <m:r>
              <m:rPr/>
              <w:rPr>
                <w:rFonts w:ascii="Cambria Math" w:hAnsi="Cambria Math"/>
              </w:rPr>
              <m:t>FC</m:t>
            </m:r>
            <m:ctrlPr>
              <w:rPr>
                <w:rFonts w:ascii="Cambria Math" w:hAnsi="Cambria Math"/>
                <w:i/>
                <w:szCs w:val="24"/>
              </w:rPr>
            </m:ctrlPr>
          </m:e>
          <m:sub>
            <m:r>
              <m:rPr/>
              <w:rPr>
                <w:rFonts w:ascii="Cambria Math" w:hAnsi="Cambria Math"/>
              </w:rPr>
              <m:t>k,x</m:t>
            </m:r>
            <m:ctrlPr>
              <w:rPr>
                <w:rFonts w:ascii="Cambria Math" w:hAnsi="Cambria Math"/>
                <w:i/>
                <w:szCs w:val="24"/>
              </w:rPr>
            </m:ctrlPr>
          </m:sub>
        </m:sSub>
      </m:oMath>
      <w:r>
        <w:rPr>
          <w:rFonts w:ascii="Times New Roman"/>
        </w:rPr>
        <w:t>——</w:t>
      </w:r>
      <w:r>
        <w:rPr>
          <w:rFonts w:ascii="Times New Roman"/>
          <w:iCs/>
        </w:rPr>
        <w:t>基础年出行方式k使用能源x的消耗总量，单位为吨、立方米(质量或体积单位，ton、m</w:t>
      </w:r>
      <w:r>
        <w:rPr>
          <w:rFonts w:ascii="Times New Roman"/>
          <w:iCs/>
          <w:vertAlign w:val="superscript"/>
        </w:rPr>
        <w:t>3</w:t>
      </w:r>
      <w:r>
        <w:rPr>
          <w:rFonts w:ascii="Times New Roman"/>
          <w:iCs/>
        </w:rPr>
        <w:t>)；</w:t>
      </w:r>
    </w:p>
    <w:p w14:paraId="4D1A2BFA">
      <w:pPr>
        <w:pStyle w:val="229"/>
        <w:ind w:firstLineChars="0"/>
        <w:jc w:val="left"/>
        <w:rPr>
          <w:rFonts w:ascii="Times New Roman"/>
        </w:rPr>
      </w:pPr>
      <m:oMath>
        <m:sSub>
          <m:sSubPr>
            <m:ctrlPr>
              <w:rPr>
                <w:rFonts w:ascii="Cambria Math" w:hAnsi="Cambria Math"/>
                <w:i/>
                <w:szCs w:val="24"/>
              </w:rPr>
            </m:ctrlPr>
          </m:sSubPr>
          <m:e>
            <m:r>
              <m:rPr/>
              <w:rPr>
                <w:rFonts w:ascii="Cambria Math" w:hAnsi="Cambria Math"/>
              </w:rPr>
              <m:t>NCV</m:t>
            </m:r>
            <m:ctrlPr>
              <w:rPr>
                <w:rFonts w:ascii="Cambria Math" w:hAnsi="Cambria Math"/>
                <w:i/>
                <w:szCs w:val="24"/>
              </w:rPr>
            </m:ctrlPr>
          </m:e>
          <m:sub>
            <m:r>
              <m:rPr/>
              <w:rPr>
                <w:rFonts w:ascii="Cambria Math" w:hAnsi="Cambria Math"/>
              </w:rPr>
              <m:t>k,x</m:t>
            </m:r>
            <m:ctrlPr>
              <w:rPr>
                <w:rFonts w:ascii="Cambria Math" w:hAnsi="Cambria Math"/>
                <w:i/>
                <w:szCs w:val="24"/>
              </w:rPr>
            </m:ctrlPr>
          </m:sub>
        </m:sSub>
      </m:oMath>
      <w:r>
        <w:rPr>
          <w:rFonts w:ascii="Times New Roman"/>
        </w:rPr>
        <w:t>——基础年出行方式k使用能源x的净热值，单位为兆焦/质量或体积单位（MJ/质量或体积单位）；</w:t>
      </w:r>
    </w:p>
    <w:p w14:paraId="318E46EB">
      <w:pPr>
        <w:pStyle w:val="229"/>
        <w:ind w:firstLineChars="0"/>
        <w:jc w:val="left"/>
        <w:rPr>
          <w:rFonts w:ascii="Times New Roman"/>
        </w:rPr>
      </w:pPr>
      <m:oMath>
        <m:sSub>
          <m:sSubPr>
            <m:ctrlPr>
              <w:rPr>
                <w:rFonts w:ascii="Cambria Math" w:hAnsi="Cambria Math"/>
                <w:i/>
                <w:szCs w:val="24"/>
              </w:rPr>
            </m:ctrlPr>
          </m:sSubPr>
          <m:e>
            <m:r>
              <m:rPr/>
              <w:rPr>
                <w:rFonts w:ascii="Cambria Math" w:hAnsi="Cambria Math"/>
              </w:rPr>
              <m:t>EC</m:t>
            </m:r>
            <m:ctrlPr>
              <w:rPr>
                <w:rFonts w:ascii="Cambria Math" w:hAnsi="Cambria Math"/>
                <w:i/>
                <w:szCs w:val="24"/>
              </w:rPr>
            </m:ctrlPr>
          </m:e>
          <m:sub>
            <m:r>
              <m:rPr/>
              <w:rPr>
                <w:rFonts w:ascii="Cambria Math" w:hAnsi="Cambria Math"/>
              </w:rPr>
              <m:t>k</m:t>
            </m:r>
            <m:ctrlPr>
              <w:rPr>
                <w:rFonts w:ascii="Cambria Math" w:hAnsi="Cambria Math"/>
                <w:i/>
                <w:szCs w:val="24"/>
              </w:rPr>
            </m:ctrlPr>
          </m:sub>
        </m:sSub>
      </m:oMath>
      <w:r>
        <w:rPr>
          <w:rFonts w:ascii="Times New Roman"/>
        </w:rPr>
        <w:t>——基础年出行方式k使用电力的耗电总量，单位为</w:t>
      </w:r>
      <w:r>
        <w:rPr>
          <w:rFonts w:hint="eastAsia" w:ascii="Times New Roman"/>
        </w:rPr>
        <w:t>兆</w:t>
      </w:r>
      <w:r>
        <w:rPr>
          <w:rFonts w:ascii="Times New Roman"/>
        </w:rPr>
        <w:t>瓦时(MWh)；</w:t>
      </w:r>
    </w:p>
    <w:p w14:paraId="26F545FD">
      <w:pPr>
        <w:pStyle w:val="229"/>
        <w:ind w:firstLineChars="0"/>
        <w:jc w:val="left"/>
        <w:rPr>
          <w:rFonts w:ascii="Times New Roman"/>
        </w:rPr>
      </w:pPr>
      <m:oMath>
        <m:r>
          <m:rPr/>
          <w:rPr>
            <w:rFonts w:ascii="Cambria Math" w:hAnsi="Cambria Math"/>
          </w:rPr>
          <m:t>TDL</m:t>
        </m:r>
      </m:oMath>
      <w:r>
        <w:rPr>
          <w:rFonts w:ascii="Times New Roman"/>
        </w:rPr>
        <w:t>——基础年电力系统平均技术传输与分配损失系数，无量纲</w:t>
      </w:r>
      <w:r>
        <w:rPr>
          <w:rFonts w:hint="eastAsia" w:ascii="Times New Roman"/>
        </w:rPr>
        <w:t>。默认值为3</w:t>
      </w:r>
      <w:r>
        <w:rPr>
          <w:rFonts w:ascii="Times New Roman"/>
        </w:rPr>
        <w:t>%；</w:t>
      </w:r>
    </w:p>
    <w:p w14:paraId="269F06E8">
      <w:pPr>
        <w:pStyle w:val="229"/>
        <w:ind w:firstLineChars="0"/>
        <w:jc w:val="left"/>
        <w:rPr>
          <w:rFonts w:ascii="Times New Roman"/>
        </w:rPr>
      </w:pPr>
      <m:oMath>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CO2,x</m:t>
            </m:r>
            <m:ctrlPr>
              <w:rPr>
                <w:rFonts w:ascii="Cambria Math" w:hAnsi="Cambria Math"/>
                <w:i/>
                <w:szCs w:val="24"/>
              </w:rPr>
            </m:ctrlPr>
          </m:sub>
        </m:sSub>
      </m:oMath>
      <w:r>
        <w:rPr>
          <w:rFonts w:ascii="Times New Roman"/>
        </w:rPr>
        <w:t>——基础年能源x的碳排放因子，单位为</w:t>
      </w:r>
      <w:r>
        <w:rPr>
          <w:rFonts w:hint="eastAsia" w:ascii="Times New Roman"/>
        </w:rPr>
        <w:t>吨</w:t>
      </w:r>
      <w:r>
        <w:rPr>
          <w:rFonts w:ascii="Times New Roman"/>
        </w:rPr>
        <w:t>二氧化碳每兆焦</w:t>
      </w:r>
      <w:r>
        <w:rPr>
          <w:rFonts w:hint="eastAsia" w:ascii="Times New Roman"/>
        </w:rPr>
        <w:t>（</w:t>
      </w:r>
      <w:r>
        <w:rPr>
          <w:rFonts w:ascii="Times New Roman"/>
        </w:rPr>
        <w:t>tCO</w:t>
      </w:r>
      <w:r>
        <w:rPr>
          <w:rFonts w:ascii="Times New Roman"/>
          <w:vertAlign w:val="subscript"/>
        </w:rPr>
        <w:t>2</w:t>
      </w:r>
      <w:r>
        <w:rPr>
          <w:rFonts w:ascii="Times New Roman"/>
        </w:rPr>
        <w:t>/MJ）；</w:t>
      </w:r>
    </w:p>
    <w:p w14:paraId="709814F2">
      <w:pPr>
        <w:pStyle w:val="229"/>
        <w:ind w:firstLineChars="0"/>
        <w:jc w:val="left"/>
        <w:rPr>
          <w:rFonts w:ascii="Times New Roman"/>
        </w:rPr>
      </w:pPr>
      <m:oMath>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m:t>
            </m:r>
            <m:r>
              <m:rPr/>
              <w:rPr>
                <w:rFonts w:hint="eastAsia" w:ascii="Cambria Math" w:hAnsi="Cambria Math"/>
              </w:rPr>
              <m:t>电</m:t>
            </m:r>
            <m:ctrlPr>
              <w:rPr>
                <w:rFonts w:ascii="Cambria Math" w:hAnsi="Cambria Math"/>
                <w:i/>
                <w:szCs w:val="24"/>
              </w:rPr>
            </m:ctrlPr>
          </m:sub>
        </m:sSub>
      </m:oMath>
      <w:r>
        <w:rPr>
          <w:rFonts w:ascii="Times New Roman"/>
        </w:rPr>
        <w:t>——基础年</w:t>
      </w:r>
      <w:r>
        <w:rPr>
          <w:rFonts w:hint="eastAsia" w:ascii="Times New Roman"/>
        </w:rPr>
        <w:t>电力的碳排放因子，单位为吨</w:t>
      </w:r>
      <w:r>
        <w:rPr>
          <w:rFonts w:ascii="Times New Roman"/>
        </w:rPr>
        <w:t>二氧化碳每</w:t>
      </w:r>
      <w:r>
        <w:rPr>
          <w:rFonts w:hint="eastAsia" w:ascii="Times New Roman"/>
        </w:rPr>
        <w:t>兆瓦</w:t>
      </w:r>
      <w:r>
        <w:rPr>
          <w:rFonts w:ascii="Times New Roman"/>
        </w:rPr>
        <w:t>时</w:t>
      </w:r>
      <w:r>
        <w:rPr>
          <w:rFonts w:hint="eastAsia" w:ascii="Times New Roman"/>
        </w:rPr>
        <w:t>（</w:t>
      </w:r>
      <w:r>
        <w:rPr>
          <w:rFonts w:ascii="Times New Roman"/>
        </w:rPr>
        <w:t>tCO</w:t>
      </w:r>
      <w:r>
        <w:rPr>
          <w:rFonts w:ascii="Times New Roman"/>
          <w:vertAlign w:val="subscript"/>
        </w:rPr>
        <w:t>2</w:t>
      </w:r>
      <w:r>
        <w:rPr>
          <w:rFonts w:ascii="Times New Roman"/>
        </w:rPr>
        <w:t>/MWh</w:t>
      </w:r>
      <w:r>
        <w:rPr>
          <w:rFonts w:hint="eastAsia" w:ascii="Times New Roman"/>
        </w:rPr>
        <w:t>）</w:t>
      </w:r>
    </w:p>
    <w:p w14:paraId="48DEEE92">
      <w:pPr>
        <w:pStyle w:val="229"/>
        <w:ind w:firstLineChars="0"/>
        <w:jc w:val="left"/>
        <w:rPr>
          <w:rFonts w:ascii="Times New Roman"/>
        </w:rPr>
      </w:pPr>
      <m:oMath>
        <m:sSub>
          <m:sSubPr>
            <m:ctrlPr>
              <w:rPr>
                <w:rFonts w:ascii="Cambria Math" w:hAnsi="Cambria Math"/>
                <w:i/>
                <w:szCs w:val="24"/>
              </w:rPr>
            </m:ctrlPr>
          </m:sSubPr>
          <m:e>
            <m:r>
              <m:rPr/>
              <w:rPr>
                <w:rFonts w:ascii="Cambria Math" w:hAnsi="Cambria Math"/>
              </w:rPr>
              <m:t>D</m:t>
            </m:r>
            <m:ctrlPr>
              <w:rPr>
                <w:rFonts w:ascii="Cambria Math" w:hAnsi="Cambria Math"/>
                <w:i/>
                <w:szCs w:val="24"/>
              </w:rPr>
            </m:ctrlPr>
          </m:e>
          <m:sub>
            <m:r>
              <m:rPr/>
              <w:rPr>
                <w:rFonts w:ascii="Cambria Math" w:hAnsi="Cambria Math"/>
              </w:rPr>
              <m:t>k</m:t>
            </m:r>
            <m:ctrlPr>
              <w:rPr>
                <w:rFonts w:ascii="Cambria Math" w:hAnsi="Cambria Math"/>
                <w:i/>
                <w:szCs w:val="24"/>
              </w:rPr>
            </m:ctrlPr>
          </m:sub>
        </m:sSub>
      </m:oMath>
      <w:r>
        <w:rPr>
          <w:rFonts w:ascii="Times New Roman"/>
        </w:rPr>
        <w:t>——基础年出行方式k的人均单次出行距离，单位为人公里每次（PKM/次）；</w:t>
      </w:r>
    </w:p>
    <w:p w14:paraId="7423AA59">
      <w:pPr>
        <w:pStyle w:val="229"/>
        <w:ind w:firstLineChars="0"/>
        <w:jc w:val="left"/>
        <w:rPr>
          <w:rFonts w:ascii="Times New Roman"/>
        </w:rPr>
      </w:pPr>
      <m:oMath>
        <m:sSub>
          <m:sSubPr>
            <m:ctrlPr>
              <w:rPr>
                <w:rFonts w:ascii="Cambria Math" w:hAnsi="Cambria Math"/>
                <w:iCs/>
                <w:szCs w:val="24"/>
              </w:rPr>
            </m:ctrlPr>
          </m:sSubPr>
          <m:e>
            <m:r>
              <m:rPr>
                <m:sty m:val="p"/>
              </m:rPr>
              <w:rPr>
                <w:rFonts w:ascii="Cambria Math" w:hAnsi="Cambria Math"/>
              </w:rPr>
              <m:t>P</m:t>
            </m:r>
            <m:ctrlPr>
              <w:rPr>
                <w:rFonts w:ascii="Cambria Math" w:hAnsi="Cambria Math"/>
                <w:iCs/>
                <w:szCs w:val="24"/>
              </w:rPr>
            </m:ctrlPr>
          </m:e>
          <m:sub>
            <m:r>
              <m:rPr>
                <m:sty m:val="p"/>
              </m:rPr>
              <w:rPr>
                <w:rFonts w:ascii="Cambria Math" w:hAnsi="Cambria Math"/>
              </w:rPr>
              <m:t>k</m:t>
            </m:r>
            <m:ctrlPr>
              <w:rPr>
                <w:rFonts w:ascii="Cambria Math" w:hAnsi="Cambria Math"/>
                <w:iCs/>
                <w:szCs w:val="24"/>
              </w:rPr>
            </m:ctrlPr>
          </m:sub>
        </m:sSub>
      </m:oMath>
      <w:r>
        <w:rPr>
          <w:rFonts w:ascii="Times New Roman"/>
        </w:rPr>
        <w:t>——基础年出行方式k的年出行总量，单位为次数(次)；</w:t>
      </w:r>
    </w:p>
    <w:p w14:paraId="31B13430">
      <w:pPr>
        <w:pStyle w:val="229"/>
        <w:ind w:firstLineChars="0"/>
        <w:jc w:val="left"/>
        <w:rPr>
          <w:rFonts w:ascii="Times New Roman"/>
        </w:rPr>
      </w:pPr>
      <w:r>
        <w:rPr>
          <w:rFonts w:ascii="Times New Roman"/>
          <w:i/>
          <w:iCs/>
        </w:rPr>
        <w:t>k</w:t>
      </w:r>
      <w:r>
        <w:rPr>
          <w:rFonts w:ascii="Times New Roman"/>
        </w:rPr>
        <w:t>——</w:t>
      </w:r>
      <w:r>
        <w:rPr>
          <w:rFonts w:hint="eastAsia" w:ascii="Times New Roman"/>
        </w:rPr>
        <w:t>绿色出行</w:t>
      </w:r>
      <w:r>
        <w:rPr>
          <w:rFonts w:ascii="Times New Roman"/>
        </w:rPr>
        <w:t>方式</w:t>
      </w:r>
      <w:r>
        <w:rPr>
          <w:rFonts w:hint="eastAsia" w:ascii="Times New Roman"/>
        </w:rPr>
        <w:t>，可选为乘坐公共汽电车、城市轨道交通。</w:t>
      </w:r>
    </w:p>
    <w:p w14:paraId="3F87236B">
      <w:pPr>
        <w:pStyle w:val="180"/>
      </w:pPr>
      <w:r>
        <w:rPr>
          <w:rFonts w:hint="eastAsia"/>
        </w:rPr>
        <w:t>常见化石燃料和电力排放因子缺省值见附录</w:t>
      </w:r>
      <w:r>
        <w:t>C.1</w:t>
      </w:r>
      <w:r>
        <w:rPr>
          <w:rFonts w:hint="eastAsia"/>
        </w:rPr>
        <w:t>和</w:t>
      </w:r>
      <w:r>
        <w:t>C.2</w:t>
      </w:r>
      <w:r>
        <w:rPr>
          <w:rFonts w:hint="eastAsia"/>
        </w:rPr>
        <w:t>。</w:t>
      </w:r>
    </w:p>
    <w:p w14:paraId="0DBCFF17">
      <w:pPr>
        <w:pStyle w:val="56"/>
        <w:ind w:firstLine="420"/>
      </w:pPr>
      <w:r>
        <w:rPr>
          <w:rFonts w:hint="eastAsia"/>
        </w:rPr>
        <w:t>在情景B时，乘坐公共汽电车、城市轨道交通绿色出行的人公里排放因子计算公式见（</w:t>
      </w:r>
      <w:r>
        <w:t>8</w:t>
      </w:r>
      <w:r>
        <w:rPr>
          <w:rFonts w:hint="eastAsia"/>
        </w:rPr>
        <w:t>）</w:t>
      </w:r>
    </w:p>
    <w:p w14:paraId="5DF90A48">
      <w:pPr>
        <w:ind w:firstLine="420" w:firstLineChars="200"/>
        <w:jc w:val="right"/>
      </w:pPr>
      <m:oMath>
        <m:sSub>
          <m:sSubPr>
            <m:ctrlPr>
              <w:rPr>
                <w:rFonts w:ascii="Cambria Math" w:hAnsi="Cambria Math"/>
                <w:szCs w:val="24"/>
              </w:rPr>
            </m:ctrlPr>
          </m:sSubPr>
          <m:e>
            <m:r>
              <m:rPr/>
              <w:rPr>
                <w:rFonts w:ascii="Cambria Math" w:hAnsi="Cambria Math"/>
              </w:rPr>
              <m:t>EF</m:t>
            </m:r>
            <m:ctrlPr>
              <w:rPr>
                <w:rFonts w:ascii="Cambria Math" w:hAnsi="Cambria Math"/>
                <w:szCs w:val="24"/>
              </w:rPr>
            </m:ctrlPr>
          </m:e>
          <m:sub>
            <m:r>
              <m:rPr/>
              <w:rPr>
                <w:rFonts w:ascii="Cambria Math" w:hAnsi="Cambria Math"/>
              </w:rPr>
              <m:t>PKM,k</m:t>
            </m:r>
            <m:ctrlPr>
              <w:rPr>
                <w:rFonts w:ascii="Cambria Math" w:hAnsi="Cambria Math"/>
                <w:szCs w:val="24"/>
              </w:rPr>
            </m:ctrlPr>
          </m:sub>
        </m:sSub>
        <m:r>
          <m:rPr/>
          <w:rPr>
            <w:rFonts w:ascii="Cambria Math" w:hAnsi="Cambria Math"/>
          </w:rPr>
          <m:t>=[</m:t>
        </m:r>
        <m:nary>
          <m:naryPr>
            <m:chr m:val="∑"/>
            <m:limLoc m:val="subSup"/>
            <m:supHide m:val="1"/>
            <m:ctrlPr>
              <w:rPr>
                <w:rFonts w:ascii="Cambria Math" w:hAnsi="Cambria Math"/>
                <w:i/>
                <w:szCs w:val="24"/>
              </w:rPr>
            </m:ctrlPr>
          </m:naryPr>
          <m:sub>
            <m:r>
              <m:rPr/>
              <w:rPr>
                <w:rFonts w:ascii="Cambria Math" w:hAnsi="Cambria Math"/>
              </w:rPr>
              <m:t>x</m:t>
            </m:r>
            <m:ctrlPr>
              <w:rPr>
                <w:rFonts w:ascii="Cambria Math" w:hAnsi="Cambria Math"/>
                <w:i/>
                <w:szCs w:val="24"/>
              </w:rPr>
            </m:ctrlPr>
          </m:sub>
          <m:sup>
            <m:ctrlPr>
              <w:rPr>
                <w:rFonts w:ascii="Cambria Math" w:hAnsi="Cambria Math"/>
                <w:i/>
                <w:szCs w:val="24"/>
              </w:rPr>
            </m:ctrlPr>
          </m:sup>
          <m:e>
            <m:sSub>
              <m:sSubPr>
                <m:ctrlPr>
                  <w:rPr>
                    <w:rFonts w:ascii="Cambria Math" w:hAnsi="Cambria Math"/>
                    <w:i/>
                    <w:szCs w:val="24"/>
                  </w:rPr>
                </m:ctrlPr>
              </m:sSubPr>
              <m:e>
                <m:r>
                  <m:rPr/>
                  <w:rPr>
                    <w:rFonts w:ascii="Cambria Math" w:hAnsi="Cambria Math"/>
                    <w:lang w:val="en-AU"/>
                  </w:rPr>
                  <m:t>(</m:t>
                </m:r>
                <m:r>
                  <m:rPr/>
                  <w:rPr>
                    <w:rFonts w:ascii="Cambria Math" w:hAnsi="Cambria Math"/>
                  </w:rPr>
                  <m:t>EF</m:t>
                </m:r>
                <m:ctrlPr>
                  <w:rPr>
                    <w:rFonts w:ascii="Cambria Math" w:hAnsi="Cambria Math"/>
                    <w:i/>
                    <w:szCs w:val="24"/>
                  </w:rPr>
                </m:ctrlPr>
              </m:e>
              <m:sub>
                <m:r>
                  <m:rPr/>
                  <w:rPr>
                    <w:rFonts w:ascii="Cambria Math" w:hAnsi="Cambria Math"/>
                  </w:rPr>
                  <m:t>CO2,x</m:t>
                </m:r>
                <m:ctrlPr>
                  <w:rPr>
                    <w:rFonts w:ascii="Cambria Math" w:hAnsi="Cambria Math"/>
                    <w:i/>
                    <w:szCs w:val="24"/>
                  </w:rPr>
                </m:ctrlPr>
              </m:sub>
            </m:sSub>
            <m:r>
              <m:rPr/>
              <w:rPr>
                <w:rFonts w:ascii="Cambria Math" w:hAnsi="Cambria Math"/>
              </w:rPr>
              <m:t>×</m:t>
            </m:r>
            <m:sSub>
              <m:sSubPr>
                <m:ctrlPr>
                  <w:rPr>
                    <w:rFonts w:ascii="Cambria Math" w:hAnsi="Cambria Math"/>
                    <w:i/>
                    <w:szCs w:val="24"/>
                  </w:rPr>
                </m:ctrlPr>
              </m:sSubPr>
              <m:e>
                <m:r>
                  <m:rPr/>
                  <w:rPr>
                    <w:rFonts w:ascii="Cambria Math" w:hAnsi="Cambria Math"/>
                  </w:rPr>
                  <m:t>FC</m:t>
                </m:r>
                <m:ctrlPr>
                  <w:rPr>
                    <w:rFonts w:ascii="Cambria Math" w:hAnsi="Cambria Math"/>
                    <w:i/>
                    <w:szCs w:val="24"/>
                  </w:rPr>
                </m:ctrlPr>
              </m:e>
              <m:sub>
                <m:r>
                  <m:rPr/>
                  <w:rPr>
                    <w:rFonts w:ascii="Cambria Math" w:hAnsi="Cambria Math"/>
                  </w:rPr>
                  <m:t>k,x</m:t>
                </m:r>
                <m:ctrlPr>
                  <w:rPr>
                    <w:rFonts w:ascii="Cambria Math" w:hAnsi="Cambria Math"/>
                    <w:i/>
                    <w:szCs w:val="24"/>
                  </w:rPr>
                </m:ctrlPr>
              </m:sub>
            </m:sSub>
            <m:ctrlPr>
              <w:rPr>
                <w:rFonts w:ascii="Cambria Math" w:hAnsi="Cambria Math"/>
                <w:i/>
                <w:szCs w:val="24"/>
              </w:rPr>
            </m:ctrlPr>
          </m:e>
        </m:nary>
        <m:r>
          <m:rPr/>
          <w:rPr>
            <w:rFonts w:ascii="Cambria Math" w:hAnsi="Cambria Math"/>
          </w:rPr>
          <m:t>×</m:t>
        </m:r>
        <m:sSub>
          <m:sSubPr>
            <m:ctrlPr>
              <w:rPr>
                <w:rFonts w:ascii="Cambria Math" w:hAnsi="Cambria Math"/>
                <w:i/>
                <w:szCs w:val="24"/>
              </w:rPr>
            </m:ctrlPr>
          </m:sSubPr>
          <m:e>
            <m:r>
              <m:rPr/>
              <w:rPr>
                <w:rFonts w:ascii="Cambria Math" w:hAnsi="Cambria Math"/>
              </w:rPr>
              <m:t>NCV</m:t>
            </m:r>
            <m:ctrlPr>
              <w:rPr>
                <w:rFonts w:ascii="Cambria Math" w:hAnsi="Cambria Math"/>
                <w:i/>
                <w:szCs w:val="24"/>
              </w:rPr>
            </m:ctrlPr>
          </m:e>
          <m:sub>
            <m:r>
              <m:rPr/>
              <w:rPr>
                <w:rFonts w:ascii="Cambria Math" w:hAnsi="Cambria Math"/>
              </w:rPr>
              <m:t>k,x</m:t>
            </m:r>
            <m:ctrlPr>
              <w:rPr>
                <w:rFonts w:ascii="Cambria Math" w:hAnsi="Cambria Math"/>
                <w:i/>
                <w:szCs w:val="24"/>
              </w:rPr>
            </m:ctrlPr>
          </m:sub>
        </m:sSub>
        <m:r>
          <m:rPr/>
          <w:rPr>
            <w:rFonts w:ascii="Cambria Math" w:hAnsi="Cambria Math"/>
          </w:rPr>
          <m:t>+</m:t>
        </m:r>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m:t>
            </m:r>
            <m:r>
              <m:rPr/>
              <w:rPr>
                <w:rFonts w:hint="eastAsia" w:ascii="Cambria Math" w:hAnsi="Cambria Math"/>
              </w:rPr>
              <m:t>电</m:t>
            </m:r>
            <m:ctrlPr>
              <w:rPr>
                <w:rFonts w:ascii="Cambria Math" w:hAnsi="Cambria Math"/>
                <w:i/>
                <w:szCs w:val="24"/>
              </w:rPr>
            </m:ctrlPr>
          </m:sub>
        </m:sSub>
        <m:sSub>
          <m:sSubPr>
            <m:ctrlPr>
              <w:rPr>
                <w:rFonts w:ascii="Cambria Math" w:hAnsi="Cambria Math"/>
                <w:i/>
                <w:szCs w:val="24"/>
              </w:rPr>
            </m:ctrlPr>
          </m:sSubPr>
          <m:e>
            <m:r>
              <m:rPr/>
              <w:rPr>
                <w:rFonts w:ascii="Cambria Math" w:hAnsi="Cambria Math"/>
              </w:rPr>
              <m:t>×EC</m:t>
            </m:r>
            <m:ctrlPr>
              <w:rPr>
                <w:rFonts w:ascii="Cambria Math" w:hAnsi="Cambria Math"/>
                <w:i/>
                <w:szCs w:val="24"/>
              </w:rPr>
            </m:ctrlPr>
          </m:e>
          <m:sub>
            <m:r>
              <m:rPr/>
              <w:rPr>
                <w:rFonts w:ascii="Cambria Math" w:hAnsi="Cambria Math"/>
              </w:rPr>
              <m:t>k</m:t>
            </m:r>
            <m:ctrlPr>
              <w:rPr>
                <w:rFonts w:ascii="Cambria Math" w:hAnsi="Cambria Math"/>
                <w:i/>
                <w:szCs w:val="24"/>
              </w:rPr>
            </m:ctrlPr>
          </m:sub>
        </m:sSub>
        <m:r>
          <m:rPr/>
          <w:rPr>
            <w:rFonts w:ascii="Cambria Math" w:hAnsi="Cambria Math"/>
          </w:rPr>
          <m:t>×</m:t>
        </m:r>
        <m:d>
          <m:dPr>
            <m:ctrlPr>
              <w:rPr>
                <w:rFonts w:ascii="Cambria Math" w:hAnsi="Cambria Math"/>
                <w:i/>
                <w:szCs w:val="24"/>
              </w:rPr>
            </m:ctrlPr>
          </m:dPr>
          <m:e>
            <m:r>
              <m:rPr/>
              <w:rPr>
                <w:rFonts w:ascii="Cambria Math" w:hAnsi="Cambria Math"/>
              </w:rPr>
              <m:t>1+TDL</m:t>
            </m:r>
            <m:ctrlPr>
              <w:rPr>
                <w:rFonts w:ascii="Cambria Math" w:hAnsi="Cambria Math"/>
                <w:i/>
                <w:szCs w:val="24"/>
              </w:rPr>
            </m:ctrlPr>
          </m:e>
        </m:d>
        <m:r>
          <m:rPr/>
          <w:rPr>
            <w:rFonts w:ascii="Cambria Math" w:hAnsi="Cambria Math"/>
          </w:rPr>
          <m:t>)]/(</m:t>
        </m:r>
        <m:sSub>
          <m:sSubPr>
            <m:ctrlPr>
              <w:rPr>
                <w:rFonts w:ascii="Cambria Math" w:hAnsi="Cambria Math"/>
                <w:i/>
                <w:szCs w:val="24"/>
              </w:rPr>
            </m:ctrlPr>
          </m:sSubPr>
          <m:e>
            <m:r>
              <m:rPr/>
              <w:rPr>
                <w:rFonts w:ascii="Cambria Math" w:hAnsi="Cambria Math"/>
              </w:rPr>
              <m:t>M</m:t>
            </m:r>
            <m:ctrlPr>
              <w:rPr>
                <w:rFonts w:ascii="Cambria Math" w:hAnsi="Cambria Math"/>
                <w:i/>
                <w:szCs w:val="24"/>
              </w:rPr>
            </m:ctrlPr>
          </m:e>
          <m:sub>
            <m:r>
              <m:rPr/>
              <w:rPr>
                <w:rFonts w:ascii="Cambria Math" w:hAnsi="Cambria Math"/>
              </w:rPr>
              <m:t>k,y</m:t>
            </m:r>
            <m:ctrlPr>
              <w:rPr>
                <w:rFonts w:ascii="Cambria Math" w:hAnsi="Cambria Math"/>
                <w:i/>
                <w:szCs w:val="24"/>
              </w:rPr>
            </m:ctrlPr>
          </m:sub>
        </m:sSub>
        <m:r>
          <m:rPr/>
          <w:rPr>
            <w:rFonts w:ascii="Cambria Math" w:hAnsi="Cambria Math"/>
          </w:rPr>
          <m:t>)</m:t>
        </m:r>
      </m:oMath>
      <w:r>
        <w:t xml:space="preserve"> </w:t>
      </w:r>
      <w:r>
        <w:rPr>
          <w:rFonts w:ascii="Cambria Math" w:hAnsi="Cambria Math"/>
        </w:rPr>
        <w:t>…</w:t>
      </w:r>
      <w:r>
        <w:rPr>
          <w:rFonts w:ascii="Times New Roman"/>
        </w:rPr>
        <w:t>（8）</w:t>
      </w:r>
    </w:p>
    <w:p w14:paraId="00955EF9">
      <w:pPr>
        <w:pStyle w:val="180"/>
        <w:numPr>
          <w:ilvl w:val="0"/>
          <w:numId w:val="0"/>
        </w:numPr>
        <w:ind w:left="363"/>
      </w:pPr>
      <w:r>
        <w:rPr>
          <w:rFonts w:hint="eastAsia"/>
        </w:rPr>
        <w:t>式中：</w:t>
      </w:r>
    </w:p>
    <w:p w14:paraId="5940E5B3">
      <w:pPr>
        <w:pStyle w:val="229"/>
        <w:ind w:firstLineChars="0"/>
        <w:jc w:val="left"/>
        <w:rPr>
          <w:rFonts w:ascii="Times New Roman"/>
        </w:rPr>
      </w:pPr>
      <m:oMath>
        <m:sSub>
          <m:sSubPr>
            <m:ctrlPr>
              <w:rPr>
                <w:rFonts w:ascii="Cambria Math" w:hAnsi="Cambria Math"/>
                <w:i/>
                <w:szCs w:val="24"/>
              </w:rPr>
            </m:ctrlPr>
          </m:sSubPr>
          <m:e>
            <m:r>
              <m:rPr/>
              <w:rPr>
                <w:rFonts w:ascii="Cambria Math" w:hAnsi="Cambria Math"/>
              </w:rPr>
              <m:t>M</m:t>
            </m:r>
            <m:ctrlPr>
              <w:rPr>
                <w:rFonts w:ascii="Cambria Math" w:hAnsi="Cambria Math"/>
                <w:i/>
                <w:szCs w:val="24"/>
              </w:rPr>
            </m:ctrlPr>
          </m:e>
          <m:sub>
            <m:r>
              <m:rPr/>
              <w:rPr>
                <w:rFonts w:ascii="Cambria Math" w:hAnsi="Cambria Math"/>
              </w:rPr>
              <m:t>k</m:t>
            </m:r>
            <m:ctrlPr>
              <w:rPr>
                <w:rFonts w:ascii="Cambria Math" w:hAnsi="Cambria Math"/>
                <w:i/>
                <w:szCs w:val="24"/>
              </w:rPr>
            </m:ctrlPr>
          </m:sub>
        </m:sSub>
      </m:oMath>
      <w:r>
        <w:rPr>
          <w:rFonts w:ascii="Times New Roman"/>
        </w:rPr>
        <w:t>——基础年出行方式k的</w:t>
      </w:r>
      <w:r>
        <w:rPr>
          <w:rFonts w:hint="eastAsia" w:ascii="Times New Roman"/>
        </w:rPr>
        <w:t>年客运周转量</w:t>
      </w:r>
      <w:r>
        <w:rPr>
          <w:rFonts w:ascii="Times New Roman"/>
        </w:rPr>
        <w:t>，单位为</w:t>
      </w:r>
      <w:r>
        <w:rPr>
          <w:rFonts w:hint="eastAsia" w:ascii="Times New Roman"/>
        </w:rPr>
        <w:t>人公里</w:t>
      </w:r>
      <w:r>
        <w:rPr>
          <w:rFonts w:ascii="Times New Roman"/>
        </w:rPr>
        <w:t>（PKM）</w:t>
      </w:r>
      <w:r>
        <w:rPr>
          <w:rFonts w:hint="eastAsia" w:ascii="Times New Roman"/>
        </w:rPr>
        <w:t>。</w:t>
      </w:r>
    </w:p>
    <w:p w14:paraId="584ED8A7">
      <w:pPr>
        <w:ind w:firstLine="420" w:firstLineChars="200"/>
      </w:pPr>
      <w:r>
        <w:rPr>
          <w:rFonts w:hint="eastAsia"/>
        </w:rPr>
        <w:t>在情景</w:t>
      </w:r>
      <w:r>
        <w:t>C</w:t>
      </w:r>
      <w:r>
        <w:rPr>
          <w:rFonts w:hint="eastAsia"/>
        </w:rPr>
        <w:t>时，乘坐公共汽电车、城市轨道交通绿色出行的人公里排放因子采用缺省值法，具体取值见附录</w:t>
      </w:r>
      <w:r>
        <w:t>B</w:t>
      </w:r>
      <w:r>
        <w:rPr>
          <w:rFonts w:hint="eastAsia"/>
        </w:rPr>
        <w:t>。</w:t>
      </w:r>
    </w:p>
    <w:p w14:paraId="42146585">
      <w:pPr>
        <w:pStyle w:val="94"/>
        <w:spacing w:before="156" w:after="156"/>
      </w:pPr>
      <w:r>
        <w:rPr>
          <w:rFonts w:hint="eastAsia"/>
        </w:rPr>
        <w:t>骑行的人公里排放因子</w:t>
      </w:r>
    </w:p>
    <w:p w14:paraId="0B53D4B8">
      <w:pPr>
        <w:pStyle w:val="56"/>
        <w:ind w:firstLine="420"/>
      </w:pPr>
      <w:r>
        <w:rPr>
          <w:rFonts w:hint="eastAsia"/>
        </w:rPr>
        <w:t>在情景A和B时，基于保守性原则，骑行的人公里排放因子的计算采用基础年抽样调查方法。</w:t>
      </w:r>
    </w:p>
    <w:p w14:paraId="0A59ABD2">
      <w:pPr>
        <w:pStyle w:val="56"/>
        <w:ind w:firstLine="420"/>
      </w:pPr>
      <w:r>
        <w:rPr>
          <w:rFonts w:hint="eastAsia"/>
        </w:rPr>
        <w:t>在情景C时，骑行的人公里排放因子采用缺省值法，具体取值见附录</w:t>
      </w:r>
      <w:r>
        <w:t>B</w:t>
      </w:r>
      <w:r>
        <w:rPr>
          <w:rFonts w:hint="eastAsia"/>
        </w:rPr>
        <w:t>。</w:t>
      </w:r>
    </w:p>
    <w:p w14:paraId="7FBCF45D">
      <w:pPr>
        <w:pStyle w:val="94"/>
        <w:spacing w:before="156" w:after="156"/>
      </w:pPr>
      <w:r>
        <w:rPr>
          <w:rFonts w:hint="eastAsia"/>
        </w:rPr>
        <w:t>步行的人公里排放因子</w:t>
      </w:r>
    </w:p>
    <w:p w14:paraId="2ACB5608">
      <w:pPr>
        <w:pStyle w:val="56"/>
        <w:ind w:firstLine="420"/>
      </w:pPr>
      <w:r>
        <w:rPr>
          <w:rFonts w:hint="eastAsia"/>
        </w:rPr>
        <w:t>默认步行的人公里排放因子为0。</w:t>
      </w:r>
    </w:p>
    <w:p w14:paraId="3B580537">
      <w:pPr>
        <w:pStyle w:val="94"/>
        <w:spacing w:before="156" w:after="156"/>
      </w:pPr>
      <w:r>
        <w:rPr>
          <w:rFonts w:hint="eastAsia"/>
        </w:rPr>
        <w:t>驾乘新能源小客车的人公里排放因子</w:t>
      </w:r>
    </w:p>
    <w:p w14:paraId="063231BB">
      <w:pPr>
        <w:pStyle w:val="56"/>
        <w:ind w:firstLine="420"/>
        <w:rPr>
          <w:lang w:val="en-AU"/>
        </w:rPr>
      </w:pPr>
      <w:r>
        <w:rPr>
          <w:rFonts w:hint="eastAsia"/>
          <w:lang w:val="en-AU"/>
        </w:rPr>
        <w:t>在情景A时，驾乘新能源小客车的人公里排放因子计算公式见（</w:t>
      </w:r>
      <w:r>
        <w:rPr>
          <w:lang w:val="en-AU"/>
        </w:rPr>
        <w:t>9</w:t>
      </w:r>
      <w:r>
        <w:rPr>
          <w:rFonts w:hint="eastAsia"/>
          <w:lang w:val="en-AU"/>
        </w:rPr>
        <w:t>）。</w:t>
      </w:r>
    </w:p>
    <w:p w14:paraId="78579038">
      <w:pPr>
        <w:pStyle w:val="229"/>
        <w:ind w:firstLine="0" w:firstLineChars="0"/>
        <w:jc w:val="right"/>
        <w:rPr>
          <w:rFonts w:ascii="Cambria Math" w:hAnsi="Cambria Math"/>
        </w:rPr>
      </w:pPr>
      <m:oMath>
        <m:sSub>
          <m:sSubPr>
            <m:ctrlPr>
              <w:rPr>
                <w:rFonts w:ascii="Cambria Math" w:hAnsi="Cambria Math"/>
                <w:szCs w:val="24"/>
              </w:rPr>
            </m:ctrlPr>
          </m:sSubPr>
          <m:e>
            <m:r>
              <m:rPr/>
              <w:rPr>
                <w:rFonts w:ascii="Cambria Math" w:hAnsi="Cambria Math"/>
              </w:rPr>
              <m:t>EF</m:t>
            </m:r>
            <m:ctrlPr>
              <w:rPr>
                <w:rFonts w:ascii="Cambria Math" w:hAnsi="Cambria Math"/>
                <w:szCs w:val="24"/>
              </w:rPr>
            </m:ctrlPr>
          </m:e>
          <m:sub>
            <m:r>
              <m:rPr/>
              <w:rPr>
                <w:rFonts w:ascii="Cambria Math" w:hAnsi="Cambria Math"/>
              </w:rPr>
              <m:t>PKM,k,i,r</m:t>
            </m:r>
            <m:ctrlPr>
              <w:rPr>
                <w:rFonts w:ascii="Cambria Math" w:hAnsi="Cambria Math"/>
                <w:szCs w:val="24"/>
              </w:rPr>
            </m:ctrlPr>
          </m:sub>
        </m:sSub>
        <m:r>
          <m:rPr/>
          <w:rPr>
            <w:rFonts w:ascii="Cambria Math" w:hAnsi="Cambria Math"/>
          </w:rPr>
          <m:t>=</m:t>
        </m:r>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m:t>
            </m:r>
            <m:r>
              <m:rPr/>
              <w:rPr>
                <w:rFonts w:hint="eastAsia" w:ascii="Cambria Math" w:hAnsi="Cambria Math"/>
              </w:rPr>
              <m:t>电</m:t>
            </m:r>
            <m:ctrlPr>
              <w:rPr>
                <w:rFonts w:ascii="Cambria Math" w:hAnsi="Cambria Math"/>
                <w:i/>
                <w:szCs w:val="24"/>
              </w:rPr>
            </m:ctrlPr>
          </m:sub>
        </m:sSub>
        <m:sSub>
          <m:sSubPr>
            <m:ctrlPr>
              <w:rPr>
                <w:rFonts w:ascii="Cambria Math" w:hAnsi="Cambria Math"/>
                <w:i/>
                <w:szCs w:val="24"/>
              </w:rPr>
            </m:ctrlPr>
          </m:sSubPr>
          <m:e>
            <m:r>
              <m:rPr/>
              <w:rPr>
                <w:rFonts w:ascii="Cambria Math" w:hAnsi="Cambria Math"/>
              </w:rPr>
              <m:t>×EC</m:t>
            </m:r>
            <m:ctrlPr>
              <w:rPr>
                <w:rFonts w:ascii="Cambria Math" w:hAnsi="Cambria Math"/>
                <w:i/>
                <w:szCs w:val="24"/>
              </w:rPr>
            </m:ctrlPr>
          </m:e>
          <m:sub>
            <m:sSub>
              <m:sSubPr>
                <m:ctrlPr>
                  <w:rPr>
                    <w:rFonts w:ascii="Cambria Math" w:hAnsi="Cambria Math"/>
                    <w:i/>
                  </w:rPr>
                </m:ctrlPr>
              </m:sSubPr>
              <m:e>
                <m:r>
                  <m:rPr/>
                  <w:rPr>
                    <w:rFonts w:hint="eastAsia" w:ascii="Cambria Math" w:hAnsi="Cambria Math"/>
                  </w:rPr>
                  <m:t>g</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,i,r,v</m:t>
            </m:r>
            <m:ctrlPr>
              <w:rPr>
                <w:rFonts w:ascii="Cambria Math" w:hAnsi="Cambria Math"/>
                <w:i/>
                <w:szCs w:val="24"/>
              </w:rPr>
            </m:ctrlPr>
          </m:sub>
        </m:sSub>
        <m:r>
          <m:rPr/>
          <w:rPr>
            <w:rFonts w:ascii="Cambria Math" w:hAnsi="Cambria Math"/>
          </w:rPr>
          <m:t>×</m:t>
        </m:r>
        <m:d>
          <m:dPr>
            <m:ctrlPr>
              <w:rPr>
                <w:rFonts w:ascii="Cambria Math" w:hAnsi="Cambria Math"/>
                <w:i/>
                <w:szCs w:val="24"/>
              </w:rPr>
            </m:ctrlPr>
          </m:dPr>
          <m:e>
            <m:r>
              <m:rPr/>
              <w:rPr>
                <w:rFonts w:ascii="Cambria Math" w:hAnsi="Cambria Math"/>
              </w:rPr>
              <m:t>1+TDL</m:t>
            </m:r>
            <m:ctrlPr>
              <w:rPr>
                <w:rFonts w:ascii="Cambria Math" w:hAnsi="Cambria Math"/>
                <w:i/>
                <w:szCs w:val="24"/>
              </w:rPr>
            </m:ctrlPr>
          </m:e>
        </m:d>
        <m:r>
          <m:rPr/>
          <w:rPr>
            <w:rFonts w:ascii="Cambria Math" w:hAnsi="Cambria Math"/>
            <w:szCs w:val="24"/>
          </w:rPr>
          <m:t>+(</m:t>
        </m:r>
        <m:sSub>
          <m:sSubPr>
            <m:ctrlPr>
              <w:rPr>
                <w:rFonts w:ascii="Cambria Math" w:hAnsi="Cambria Math"/>
                <w:i/>
                <w:szCs w:val="24"/>
              </w:rPr>
            </m:ctrlPr>
          </m:sSubPr>
          <m:e>
            <m:r>
              <m:rPr/>
              <w:rPr>
                <w:rFonts w:ascii="Cambria Math" w:hAnsi="Cambria Math"/>
              </w:rPr>
              <m:t>HC</m:t>
            </m:r>
            <m:ctrlPr>
              <w:rPr>
                <w:rFonts w:ascii="Cambria Math" w:hAnsi="Cambria Math"/>
                <w:i/>
                <w:szCs w:val="24"/>
              </w:rPr>
            </m:ctrlPr>
          </m:e>
          <m:sub>
            <m:sSub>
              <m:sSubPr>
                <m:ctrlPr>
                  <w:rPr>
                    <w:rFonts w:ascii="Cambria Math" w:hAnsi="Cambria Math"/>
                    <w:i/>
                  </w:rPr>
                </m:ctrlPr>
              </m:sSubPr>
              <m:e>
                <m:r>
                  <m:rPr/>
                  <w:rPr>
                    <w:rFonts w:hint="eastAsia" w:ascii="Cambria Math" w:hAnsi="Cambria Math"/>
                  </w:rPr>
                  <m:t>g</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m:t>
            </m:r>
            <m:r>
              <m:rPr/>
              <w:rPr>
                <w:rFonts w:hint="eastAsia" w:ascii="Cambria Math" w:hAnsi="Cambria Math"/>
              </w:rPr>
              <m:t>i</m:t>
            </m:r>
            <m:r>
              <m:rPr/>
              <w:rPr>
                <w:rFonts w:ascii="Cambria Math" w:hAnsi="Cambria Math"/>
              </w:rPr>
              <m:t>,r,x,v</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rPr>
              <m:t>NCV</m:t>
            </m:r>
            <m:ctrlPr>
              <w:rPr>
                <w:rFonts w:ascii="Cambria Math" w:hAnsi="Cambria Math"/>
                <w:i/>
                <w:szCs w:val="24"/>
              </w:rPr>
            </m:ctrlPr>
          </m:e>
          <m:sub>
            <m:r>
              <m:rPr/>
              <w:rPr>
                <w:rFonts w:ascii="Cambria Math" w:hAnsi="Cambria Math"/>
              </w:rPr>
              <m:t>k,x</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CO2,x</m:t>
            </m:r>
            <m:ctrlPr>
              <w:rPr>
                <w:rFonts w:ascii="Cambria Math" w:hAnsi="Cambria Math"/>
                <w:i/>
                <w:szCs w:val="24"/>
              </w:rPr>
            </m:ctrlPr>
          </m:sub>
        </m:sSub>
      </m:oMath>
      <w:r>
        <w:rPr>
          <w:rFonts w:hint="eastAsia" w:ascii="Cambria Math" w:hAnsi="Cambria Math"/>
          <w:szCs w:val="24"/>
        </w:rPr>
        <w:t>)</w:t>
      </w:r>
      <w:r>
        <w:rPr>
          <w:rFonts w:ascii="Cambria Math" w:hAnsi="Cambria Math"/>
          <w:szCs w:val="24"/>
        </w:rPr>
        <w:t>………………(9)</w:t>
      </w:r>
    </w:p>
    <w:p w14:paraId="2B235A4D">
      <w:pPr>
        <w:pStyle w:val="56"/>
        <w:ind w:firstLine="420"/>
        <w:rPr>
          <w:lang w:val="en-AU"/>
        </w:rPr>
      </w:pPr>
      <w:r>
        <w:rPr>
          <w:rFonts w:hint="eastAsia"/>
          <w:lang w:val="en-AU"/>
        </w:rPr>
        <w:t>式中：</w:t>
      </w:r>
    </w:p>
    <w:p w14:paraId="1D2F9603">
      <w:pPr>
        <w:pStyle w:val="56"/>
        <w:ind w:firstLine="420"/>
        <w:rPr>
          <w:szCs w:val="24"/>
        </w:rPr>
      </w:pPr>
      <m:oMath>
        <m:sSub>
          <m:sSubPr>
            <m:ctrlPr>
              <w:rPr>
                <w:rFonts w:ascii="Cambria Math" w:hAnsi="Cambria Math"/>
                <w:szCs w:val="24"/>
              </w:rPr>
            </m:ctrlPr>
          </m:sSubPr>
          <m:e>
            <m:r>
              <m:rPr/>
              <w:rPr>
                <w:rFonts w:ascii="Cambria Math" w:hAnsi="Cambria Math"/>
              </w:rPr>
              <m:t>EF</m:t>
            </m:r>
            <m:ctrlPr>
              <w:rPr>
                <w:rFonts w:ascii="Cambria Math" w:hAnsi="Cambria Math"/>
                <w:szCs w:val="24"/>
              </w:rPr>
            </m:ctrlPr>
          </m:e>
          <m:sub>
            <m:r>
              <m:rPr/>
              <w:rPr>
                <w:rFonts w:ascii="Cambria Math" w:hAnsi="Cambria Math"/>
              </w:rPr>
              <m:t>PKM,k,i</m:t>
            </m:r>
            <m:ctrlPr>
              <w:rPr>
                <w:rFonts w:ascii="Cambria Math" w:hAnsi="Cambria Math"/>
                <w:szCs w:val="24"/>
              </w:rPr>
            </m:ctrlPr>
          </m:sub>
        </m:sSub>
      </m:oMath>
      <w:r>
        <w:rPr>
          <w:rFonts w:ascii="Times New Roman"/>
        </w:rPr>
        <w:t>——</w:t>
      </w:r>
      <w:r>
        <w:rPr>
          <w:rFonts w:hint="eastAsia"/>
          <w:szCs w:val="24"/>
        </w:rPr>
        <w:t>驾乘新能源小客车第i次出行的人公里排放因子，</w:t>
      </w:r>
      <w:r>
        <w:rPr>
          <w:rFonts w:ascii="Times New Roman"/>
          <w:lang w:val="en-AU"/>
        </w:rPr>
        <w:t>单位为</w:t>
      </w:r>
      <w:r>
        <w:rPr>
          <w:rFonts w:hint="eastAsia" w:ascii="Cambria Math" w:hAnsi="Cambria Math"/>
        </w:rPr>
        <w:t>吨二氧化碳每人公里</w:t>
      </w:r>
      <w:r>
        <w:rPr>
          <w:rFonts w:ascii="Times New Roman"/>
          <w:lang w:val="en-AU"/>
        </w:rPr>
        <w:t>（tCO</w:t>
      </w:r>
      <w:r>
        <w:rPr>
          <w:rFonts w:ascii="Times New Roman"/>
          <w:vertAlign w:val="subscript"/>
          <w:lang w:val="en-AU"/>
        </w:rPr>
        <w:t>2</w:t>
      </w:r>
      <w:r>
        <w:rPr>
          <w:rFonts w:ascii="Times New Roman"/>
          <w:lang w:val="en-AU"/>
        </w:rPr>
        <w:t>/PKM）</w:t>
      </w:r>
      <w:r>
        <w:rPr>
          <w:rFonts w:hint="eastAsia"/>
          <w:szCs w:val="24"/>
        </w:rPr>
        <w:t>；</w:t>
      </w:r>
    </w:p>
    <w:p w14:paraId="5C9EB80A">
      <w:pPr>
        <w:pStyle w:val="56"/>
        <w:ind w:firstLine="420"/>
        <w:rPr>
          <w:szCs w:val="24"/>
        </w:rPr>
      </w:pPr>
      <w:r>
        <w:rPr>
          <w:szCs w:val="24"/>
        </w:rPr>
        <w:t>r</w:t>
      </w:r>
      <w:r>
        <w:rPr>
          <w:rFonts w:hint="eastAsia"/>
          <w:szCs w:val="24"/>
        </w:rPr>
        <w:t>——新能源类型，可选为纯电动、混合动力、插电式混合动力、增程式和燃料电池；</w:t>
      </w:r>
    </w:p>
    <w:p w14:paraId="7E5AE1E2">
      <w:pPr>
        <w:pStyle w:val="229"/>
        <w:jc w:val="left"/>
        <w:rPr>
          <w:rFonts w:ascii="Cambria Math" w:hAnsi="Cambria Math"/>
        </w:rPr>
      </w:pPr>
      <w:r>
        <w:rPr>
          <w:rFonts w:ascii="Times New Roman"/>
          <w:i/>
          <w:iCs/>
        </w:rPr>
        <w:t>v</w:t>
      </w:r>
      <w:r>
        <w:rPr>
          <w:rFonts w:ascii="Cambria Math" w:hAnsi="Cambria Math"/>
        </w:rPr>
        <w:t>——</w:t>
      </w:r>
      <w:r>
        <w:rPr>
          <w:rFonts w:hint="eastAsia" w:ascii="Cambria Math" w:hAnsi="Cambria Math"/>
        </w:rPr>
        <w:t>与小微型燃油客车相同的新能源小客车的行驶速度</w:t>
      </w:r>
      <w:r>
        <w:rPr>
          <w:rFonts w:ascii="Cambria Math" w:hAnsi="Cambria Math"/>
        </w:rPr>
        <w:t>，取0~120，单位为</w:t>
      </w:r>
      <w:r>
        <w:rPr>
          <w:rFonts w:hint="eastAsia" w:ascii="Cambria Math" w:hAnsi="Cambria Math"/>
        </w:rPr>
        <w:t>每小时</w:t>
      </w:r>
      <w:r>
        <w:rPr>
          <w:rFonts w:ascii="Cambria Math" w:hAnsi="Cambria Math"/>
        </w:rPr>
        <w:t>公里（km/h）；</w:t>
      </w:r>
    </w:p>
    <w:p w14:paraId="5FE6F2AF">
      <w:pPr>
        <w:pStyle w:val="56"/>
        <w:ind w:firstLine="420"/>
        <w:rPr>
          <w:szCs w:val="24"/>
        </w:rPr>
      </w:pPr>
      <m:oMath>
        <m:sSub>
          <m:sSubPr>
            <m:ctrlPr>
              <w:rPr>
                <w:rFonts w:ascii="Cambria Math" w:hAnsi="Cambria Math"/>
                <w:i/>
                <w:szCs w:val="24"/>
              </w:rPr>
            </m:ctrlPr>
          </m:sSubPr>
          <m:e>
            <m:r>
              <m:rPr/>
              <w:rPr>
                <w:rFonts w:ascii="Cambria Math" w:hAnsi="Cambria Math"/>
                <w:szCs w:val="24"/>
              </w:rPr>
              <m:t>g</m:t>
            </m:r>
            <m:ctrlPr>
              <w:rPr>
                <w:rFonts w:ascii="Cambria Math" w:hAnsi="Cambria Math"/>
                <w:i/>
                <w:szCs w:val="24"/>
              </w:rPr>
            </m:ctrlPr>
          </m:e>
          <m:sub>
            <m:r>
              <m:rPr/>
              <w:rPr>
                <w:rFonts w:hint="eastAsia" w:ascii="Cambria Math" w:hAnsi="Cambria Math"/>
                <w:szCs w:val="24"/>
              </w:rPr>
              <m:t>r</m:t>
            </m:r>
            <m:ctrlPr>
              <w:rPr>
                <w:rFonts w:ascii="Cambria Math" w:hAnsi="Cambria Math"/>
                <w:i/>
                <w:szCs w:val="24"/>
              </w:rPr>
            </m:ctrlPr>
          </m:sub>
        </m:sSub>
      </m:oMath>
      <w:r>
        <w:rPr>
          <w:rFonts w:ascii="Times New Roman"/>
        </w:rPr>
        <w:t>——</w:t>
      </w:r>
      <w:r>
        <w:rPr>
          <w:rFonts w:hint="eastAsia" w:ascii="Times New Roman"/>
        </w:rPr>
        <w:t>能源类型为r的</w:t>
      </w:r>
      <w:r>
        <w:rPr>
          <w:rFonts w:hint="eastAsia"/>
          <w:szCs w:val="24"/>
        </w:rPr>
        <w:t>新能源小客车的车辆型号,其中，</w:t>
      </w:r>
      <w:r>
        <w:rPr>
          <w:szCs w:val="24"/>
        </w:rPr>
        <w:t>r</w:t>
      </w:r>
      <w:r>
        <w:rPr>
          <w:rFonts w:hint="eastAsia"/>
          <w:szCs w:val="24"/>
        </w:rPr>
        <w:t>为1时为纯电动小客车，r为2时为混合动力小客车，r为3时为插电式混合动力小客车，r为4时为增程式小客车，r为5时为燃料电池小客车；</w:t>
      </w:r>
    </w:p>
    <w:p w14:paraId="361F4CAB">
      <w:pPr>
        <w:pStyle w:val="229"/>
        <w:ind w:firstLineChars="0"/>
        <w:jc w:val="left"/>
        <w:rPr>
          <w:rFonts w:ascii="Times New Roman"/>
          <w:iCs/>
        </w:rPr>
      </w:pPr>
      <m:oMath>
        <m:sSub>
          <m:sSubPr>
            <m:ctrlPr>
              <w:rPr>
                <w:rFonts w:ascii="Cambria Math" w:hAnsi="Cambria Math"/>
                <w:i/>
                <w:szCs w:val="24"/>
              </w:rPr>
            </m:ctrlPr>
          </m:sSubPr>
          <m:e>
            <m:r>
              <m:rPr/>
              <w:rPr>
                <w:rFonts w:ascii="Cambria Math" w:hAnsi="Cambria Math"/>
              </w:rPr>
              <m:t>HC</m:t>
            </m:r>
            <m:ctrlPr>
              <w:rPr>
                <w:rFonts w:ascii="Cambria Math" w:hAnsi="Cambria Math"/>
                <w:i/>
                <w:szCs w:val="24"/>
              </w:rPr>
            </m:ctrlPr>
          </m:e>
          <m:sub>
            <m:sSub>
              <m:sSubPr>
                <m:ctrlPr>
                  <w:rPr>
                    <w:rFonts w:ascii="Cambria Math" w:hAnsi="Cambria Math"/>
                    <w:i/>
                  </w:rPr>
                </m:ctrlPr>
              </m:sSubPr>
              <m:e>
                <m:r>
                  <m:rPr/>
                  <w:rPr>
                    <w:rFonts w:hint="eastAsia" w:ascii="Cambria Math" w:hAnsi="Cambria Math"/>
                  </w:rPr>
                  <m:t>g</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,i,r,x</m:t>
            </m:r>
            <m:ctrlPr>
              <w:rPr>
                <w:rFonts w:ascii="Cambria Math" w:hAnsi="Cambria Math"/>
                <w:i/>
                <w:szCs w:val="24"/>
              </w:rPr>
            </m:ctrlPr>
          </m:sub>
        </m:sSub>
      </m:oMath>
      <w:r>
        <w:rPr>
          <w:rFonts w:ascii="Times New Roman"/>
        </w:rPr>
        <w:t>——</w:t>
      </w:r>
      <w:r>
        <w:rPr>
          <w:rFonts w:hint="eastAsia" w:ascii="Times New Roman"/>
        </w:rPr>
        <w:t>能源类型为r，</w:t>
      </w:r>
      <w:r>
        <w:rPr>
          <w:rFonts w:hint="eastAsia"/>
          <w:szCs w:val="24"/>
        </w:rPr>
        <w:t>车辆型号为g，行驶速度为v的新能源小客车第i次出行</w:t>
      </w:r>
      <w:r>
        <w:rPr>
          <w:rFonts w:ascii="Times New Roman"/>
          <w:iCs/>
        </w:rPr>
        <w:t>用能源x</w:t>
      </w:r>
      <w:r>
        <w:rPr>
          <w:rFonts w:hint="eastAsia" w:ascii="Times New Roman"/>
          <w:iCs/>
        </w:rPr>
        <w:t>的单位公里油耗</w:t>
      </w:r>
      <w:r>
        <w:rPr>
          <w:rFonts w:ascii="Times New Roman"/>
          <w:iCs/>
        </w:rPr>
        <w:t>，单位为吨</w:t>
      </w:r>
      <w:r>
        <w:rPr>
          <w:rFonts w:hint="eastAsia" w:ascii="Times New Roman"/>
          <w:iCs/>
        </w:rPr>
        <w:t>每公里</w:t>
      </w:r>
      <w:r>
        <w:rPr>
          <w:rFonts w:ascii="Times New Roman"/>
          <w:iCs/>
        </w:rPr>
        <w:t>(ton</w:t>
      </w:r>
      <w:r>
        <w:rPr>
          <w:rFonts w:hint="eastAsia" w:ascii="Times New Roman"/>
          <w:iCs/>
        </w:rPr>
        <w:t>/km</w:t>
      </w:r>
      <w:r>
        <w:rPr>
          <w:rFonts w:ascii="Times New Roman"/>
          <w:iCs/>
        </w:rPr>
        <w:t>)；</w:t>
      </w:r>
    </w:p>
    <w:p w14:paraId="0501A070">
      <w:pPr>
        <w:pStyle w:val="56"/>
        <w:ind w:firstLine="420"/>
        <w:rPr>
          <w:rFonts w:ascii="Times New Roman"/>
        </w:rPr>
      </w:pPr>
      <m:oMath>
        <m:sSub>
          <m:sSubPr>
            <m:ctrlPr>
              <w:rPr>
                <w:rFonts w:ascii="Cambria Math" w:hAnsi="Cambria Math"/>
                <w:i/>
                <w:szCs w:val="24"/>
              </w:rPr>
            </m:ctrlPr>
          </m:sSubPr>
          <m:e>
            <m:r>
              <m:rPr/>
              <w:rPr>
                <w:rFonts w:ascii="Cambria Math" w:hAnsi="Cambria Math"/>
              </w:rPr>
              <m:t>NCV</m:t>
            </m:r>
            <m:ctrlPr>
              <w:rPr>
                <w:rFonts w:ascii="Cambria Math" w:hAnsi="Cambria Math"/>
                <w:i/>
                <w:szCs w:val="24"/>
              </w:rPr>
            </m:ctrlPr>
          </m:e>
          <m:sub>
            <m:r>
              <m:rPr/>
              <w:rPr>
                <w:rFonts w:ascii="Cambria Math" w:hAnsi="Cambria Math"/>
              </w:rPr>
              <m:t>k,x</m:t>
            </m:r>
            <m:ctrlPr>
              <w:rPr>
                <w:rFonts w:ascii="Cambria Math" w:hAnsi="Cambria Math"/>
                <w:i/>
                <w:szCs w:val="24"/>
              </w:rPr>
            </m:ctrlPr>
          </m:sub>
        </m:sSub>
      </m:oMath>
      <w:r>
        <w:rPr>
          <w:rFonts w:ascii="Times New Roman"/>
        </w:rPr>
        <w:t>——</w:t>
      </w:r>
      <w:r>
        <w:rPr>
          <w:rFonts w:hint="eastAsia" w:ascii="Times New Roman"/>
          <w:iCs/>
        </w:rPr>
        <w:t>驾乘新能源小客车出行使用</w:t>
      </w:r>
      <w:r>
        <w:rPr>
          <w:rFonts w:ascii="Times New Roman"/>
        </w:rPr>
        <w:t>能源x的净热值，单位为兆焦/质量或体积单位（MJ/质量或体积单位）；</w:t>
      </w:r>
    </w:p>
    <w:p w14:paraId="34229680">
      <w:pPr>
        <w:pStyle w:val="229"/>
        <w:ind w:firstLineChars="0"/>
        <w:jc w:val="left"/>
        <w:rPr>
          <w:rFonts w:ascii="Times New Roman"/>
        </w:rPr>
      </w:pPr>
      <m:oMath>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CO2,x</m:t>
            </m:r>
            <m:ctrlPr>
              <w:rPr>
                <w:rFonts w:ascii="Cambria Math" w:hAnsi="Cambria Math"/>
                <w:i/>
                <w:szCs w:val="24"/>
              </w:rPr>
            </m:ctrlPr>
          </m:sub>
        </m:sSub>
      </m:oMath>
      <w:r>
        <w:rPr>
          <w:rFonts w:ascii="Times New Roman"/>
        </w:rPr>
        <w:t>——</w:t>
      </w:r>
      <w:r>
        <w:rPr>
          <w:rFonts w:hint="eastAsia" w:ascii="Times New Roman"/>
        </w:rPr>
        <w:t>驾乘</w:t>
      </w:r>
      <w:r>
        <w:rPr>
          <w:rFonts w:hint="eastAsia" w:ascii="Times New Roman"/>
          <w:iCs/>
        </w:rPr>
        <w:t>新能源小客车出行使用</w:t>
      </w:r>
      <w:r>
        <w:rPr>
          <w:rFonts w:ascii="Times New Roman"/>
        </w:rPr>
        <w:t>能源x的碳排放因子，单位为</w:t>
      </w:r>
      <w:r>
        <w:rPr>
          <w:rFonts w:hint="eastAsia" w:ascii="Times New Roman"/>
        </w:rPr>
        <w:t>吨</w:t>
      </w:r>
      <w:r>
        <w:rPr>
          <w:rFonts w:ascii="Times New Roman"/>
        </w:rPr>
        <w:t>二氧化碳每兆焦</w:t>
      </w:r>
      <w:r>
        <w:rPr>
          <w:rFonts w:hint="eastAsia" w:ascii="Times New Roman"/>
        </w:rPr>
        <w:t>（</w:t>
      </w:r>
      <w:r>
        <w:rPr>
          <w:rFonts w:ascii="Times New Roman"/>
        </w:rPr>
        <w:t>tCO</w:t>
      </w:r>
      <w:r>
        <w:rPr>
          <w:rFonts w:ascii="Times New Roman"/>
          <w:vertAlign w:val="subscript"/>
        </w:rPr>
        <w:t>2</w:t>
      </w:r>
      <w:r>
        <w:rPr>
          <w:rFonts w:ascii="Times New Roman"/>
        </w:rPr>
        <w:t>/MJ）；</w:t>
      </w:r>
    </w:p>
    <w:p w14:paraId="5DBD0432">
      <w:pPr>
        <w:pStyle w:val="56"/>
        <w:ind w:firstLine="420"/>
        <w:rPr>
          <w:szCs w:val="24"/>
        </w:rPr>
      </w:pPr>
      <m:oMath>
        <m:sSub>
          <m:sSubPr>
            <m:ctrlPr>
              <w:rPr>
                <w:rFonts w:ascii="Cambria Math" w:hAnsi="Cambria Math"/>
                <w:i/>
                <w:szCs w:val="24"/>
              </w:rPr>
            </m:ctrlPr>
          </m:sSubPr>
          <m:e>
            <m:r>
              <m:rPr/>
              <w:rPr>
                <w:rFonts w:ascii="Cambria Math" w:hAnsi="Cambria Math"/>
              </w:rPr>
              <m:t>EC</m:t>
            </m:r>
            <m:ctrlPr>
              <w:rPr>
                <w:rFonts w:ascii="Cambria Math" w:hAnsi="Cambria Math"/>
                <w:i/>
                <w:szCs w:val="24"/>
              </w:rPr>
            </m:ctrlPr>
          </m:e>
          <m:sub>
            <m:sSub>
              <m:sSubPr>
                <m:ctrlPr>
                  <w:rPr>
                    <w:rFonts w:ascii="Cambria Math" w:hAnsi="Cambria Math"/>
                    <w:i/>
                  </w:rPr>
                </m:ctrlPr>
              </m:sSubPr>
              <m:e>
                <m:r>
                  <m:rPr/>
                  <w:rPr>
                    <w:rFonts w:hint="eastAsia" w:ascii="Cambria Math" w:hAnsi="Cambria Math"/>
                  </w:rPr>
                  <m:t>g</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,i,r</m:t>
            </m:r>
            <m:ctrlPr>
              <w:rPr>
                <w:rFonts w:ascii="Cambria Math" w:hAnsi="Cambria Math"/>
                <w:i/>
                <w:szCs w:val="24"/>
              </w:rPr>
            </m:ctrlPr>
          </m:sub>
        </m:sSub>
      </m:oMath>
      <w:r>
        <w:rPr>
          <w:rFonts w:ascii="Times New Roman"/>
        </w:rPr>
        <w:t>——</w:t>
      </w:r>
      <w:r>
        <w:rPr>
          <w:rFonts w:hint="eastAsia" w:ascii="Times New Roman"/>
        </w:rPr>
        <w:t>能源类型为r，</w:t>
      </w:r>
      <w:r>
        <w:rPr>
          <w:rFonts w:hint="eastAsia"/>
          <w:szCs w:val="24"/>
        </w:rPr>
        <w:t>车辆型号为g，行驶速度为v的新能源小客车第i次出行的单位公里电耗，单位为兆瓦时每公里（</w:t>
      </w:r>
      <w:r>
        <w:rPr>
          <w:szCs w:val="24"/>
        </w:rPr>
        <w:t>MW</w:t>
      </w:r>
      <w:r>
        <w:rPr>
          <w:rFonts w:hint="eastAsia"/>
          <w:szCs w:val="24"/>
        </w:rPr>
        <w:t>h/</w:t>
      </w:r>
      <w:r>
        <w:rPr>
          <w:szCs w:val="24"/>
        </w:rPr>
        <w:t>km</w:t>
      </w:r>
      <w:r>
        <w:rPr>
          <w:rFonts w:hint="eastAsia"/>
          <w:szCs w:val="24"/>
        </w:rPr>
        <w:t>）；</w:t>
      </w:r>
    </w:p>
    <w:p w14:paraId="65050460">
      <w:pPr>
        <w:pStyle w:val="56"/>
        <w:ind w:firstLine="420"/>
        <w:rPr>
          <w:szCs w:val="24"/>
        </w:rPr>
      </w:pPr>
      <w:r>
        <w:rPr>
          <w:rFonts w:hint="eastAsia"/>
          <w:szCs w:val="24"/>
        </w:rPr>
        <w:t>T</w:t>
      </w:r>
      <w:r>
        <w:rPr>
          <w:szCs w:val="24"/>
        </w:rPr>
        <w:t>DL</w:t>
      </w:r>
      <w:r>
        <w:rPr>
          <w:rFonts w:ascii="Times New Roman"/>
        </w:rPr>
        <w:t>——</w:t>
      </w:r>
      <w:r>
        <w:rPr>
          <w:rFonts w:hint="eastAsia"/>
          <w:szCs w:val="24"/>
        </w:rPr>
        <w:t>电力系统平均技术传输与分配损失系数，无量纲。</w:t>
      </w:r>
    </w:p>
    <w:p w14:paraId="55A1AA97">
      <w:pPr>
        <w:pStyle w:val="56"/>
        <w:ind w:firstLine="420"/>
        <w:rPr>
          <w:rFonts w:ascii="Times New Roman"/>
        </w:rPr>
      </w:pPr>
      <m:oMath>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m:t>
            </m:r>
            <m:r>
              <m:rPr/>
              <w:rPr>
                <w:rFonts w:hint="eastAsia" w:ascii="Cambria Math" w:hAnsi="Cambria Math"/>
              </w:rPr>
              <m:t>电</m:t>
            </m:r>
            <m:ctrlPr>
              <w:rPr>
                <w:rFonts w:ascii="Cambria Math" w:hAnsi="Cambria Math"/>
                <w:i/>
                <w:szCs w:val="24"/>
              </w:rPr>
            </m:ctrlPr>
          </m:sub>
        </m:sSub>
      </m:oMath>
      <w:r>
        <w:rPr>
          <w:rFonts w:ascii="Times New Roman"/>
        </w:rPr>
        <w:t>——</w:t>
      </w:r>
      <w:r>
        <w:rPr>
          <w:rFonts w:hint="eastAsia"/>
          <w:szCs w:val="24"/>
        </w:rPr>
        <w:t>电力的二氧化碳排放因子，单位为吨</w:t>
      </w:r>
      <w:r>
        <w:rPr>
          <w:rFonts w:ascii="Times New Roman"/>
        </w:rPr>
        <w:t>二氧化碳每</w:t>
      </w:r>
      <w:r>
        <w:rPr>
          <w:rFonts w:hint="eastAsia" w:ascii="Times New Roman"/>
        </w:rPr>
        <w:t>兆瓦</w:t>
      </w:r>
      <w:r>
        <w:rPr>
          <w:rFonts w:ascii="Times New Roman"/>
        </w:rPr>
        <w:t>时</w:t>
      </w:r>
      <w:r>
        <w:rPr>
          <w:rFonts w:hint="eastAsia" w:ascii="Times New Roman"/>
        </w:rPr>
        <w:t>（</w:t>
      </w:r>
      <w:r>
        <w:rPr>
          <w:rFonts w:ascii="Times New Roman"/>
        </w:rPr>
        <w:t>tCO</w:t>
      </w:r>
      <w:r>
        <w:rPr>
          <w:rFonts w:ascii="Times New Roman"/>
          <w:vertAlign w:val="subscript"/>
        </w:rPr>
        <w:t>2</w:t>
      </w:r>
      <w:r>
        <w:rPr>
          <w:rFonts w:ascii="Times New Roman"/>
        </w:rPr>
        <w:t>/MWh</w:t>
      </w:r>
      <w:r>
        <w:rPr>
          <w:rFonts w:hint="eastAsia" w:ascii="Times New Roman"/>
        </w:rPr>
        <w:t>）。</w:t>
      </w:r>
    </w:p>
    <w:p w14:paraId="4D1D0F54">
      <w:pPr>
        <w:pStyle w:val="56"/>
        <w:ind w:firstLine="420"/>
        <w:rPr>
          <w:rFonts w:ascii="Times New Roman"/>
        </w:rPr>
      </w:pPr>
      <w:r>
        <w:rPr>
          <w:rFonts w:hint="eastAsia" w:ascii="Times New Roman"/>
        </w:rPr>
        <w:t>在情境B时，驾乘新能源小客车的人公里排放因子计算公式见（</w:t>
      </w:r>
      <w:r>
        <w:rPr>
          <w:rFonts w:ascii="Times New Roman"/>
        </w:rPr>
        <w:t>10</w:t>
      </w:r>
      <w:r>
        <w:rPr>
          <w:rFonts w:hint="eastAsia" w:ascii="Times New Roman"/>
        </w:rPr>
        <w:t>）。</w:t>
      </w:r>
    </w:p>
    <w:p w14:paraId="28C53788">
      <w:pPr>
        <w:pStyle w:val="229"/>
        <w:ind w:firstLine="0" w:firstLineChars="0"/>
        <w:jc w:val="right"/>
        <w:rPr>
          <w:rFonts w:ascii="Cambria Math" w:hAnsi="Cambria Math"/>
        </w:rPr>
      </w:pPr>
      <m:oMath>
        <m:sSub>
          <m:sSubPr>
            <m:ctrlPr>
              <w:rPr>
                <w:rFonts w:ascii="Cambria Math" w:hAnsi="Cambria Math"/>
                <w:szCs w:val="24"/>
              </w:rPr>
            </m:ctrlPr>
          </m:sSubPr>
          <m:e>
            <m:r>
              <m:rPr/>
              <w:rPr>
                <w:rFonts w:ascii="Cambria Math" w:hAnsi="Cambria Math"/>
              </w:rPr>
              <m:t>EF</m:t>
            </m:r>
            <m:ctrlPr>
              <w:rPr>
                <w:rFonts w:ascii="Cambria Math" w:hAnsi="Cambria Math"/>
                <w:szCs w:val="24"/>
              </w:rPr>
            </m:ctrlPr>
          </m:e>
          <m:sub>
            <m:r>
              <m:rPr/>
              <w:rPr>
                <w:rFonts w:ascii="Cambria Math" w:hAnsi="Cambria Math"/>
              </w:rPr>
              <m:t>PKM,k,i,r</m:t>
            </m:r>
            <m:ctrlPr>
              <w:rPr>
                <w:rFonts w:ascii="Cambria Math" w:hAnsi="Cambria Math"/>
                <w:szCs w:val="24"/>
              </w:rPr>
            </m:ctrlPr>
          </m:sub>
        </m:sSub>
        <m:r>
          <m:rPr/>
          <w:rPr>
            <w:rFonts w:ascii="Cambria Math" w:hAnsi="Cambria Math"/>
          </w:rPr>
          <m:t>=</m:t>
        </m:r>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m:t>
            </m:r>
            <m:r>
              <m:rPr/>
              <w:rPr>
                <w:rFonts w:hint="eastAsia" w:ascii="Cambria Math" w:hAnsi="Cambria Math"/>
              </w:rPr>
              <m:t>电</m:t>
            </m:r>
            <m:ctrlPr>
              <w:rPr>
                <w:rFonts w:ascii="Cambria Math" w:hAnsi="Cambria Math"/>
                <w:i/>
                <w:szCs w:val="24"/>
              </w:rPr>
            </m:ctrlPr>
          </m:sub>
        </m:sSub>
        <m:sSub>
          <m:sSubPr>
            <m:ctrlPr>
              <w:rPr>
                <w:rFonts w:ascii="Cambria Math" w:hAnsi="Cambria Math"/>
                <w:i/>
                <w:szCs w:val="24"/>
              </w:rPr>
            </m:ctrlPr>
          </m:sSubPr>
          <m:e>
            <m:r>
              <m:rPr/>
              <w:rPr>
                <w:rFonts w:ascii="Cambria Math" w:hAnsi="Cambria Math"/>
              </w:rPr>
              <m:t>×EC</m:t>
            </m:r>
            <m:ctrlPr>
              <w:rPr>
                <w:rFonts w:ascii="Cambria Math" w:hAnsi="Cambria Math"/>
                <w:i/>
                <w:szCs w:val="24"/>
              </w:rPr>
            </m:ctrlPr>
          </m:e>
          <m:sub>
            <m:sSub>
              <m:sSubPr>
                <m:ctrlPr>
                  <w:rPr>
                    <w:rFonts w:ascii="Cambria Math" w:hAnsi="Cambria Math"/>
                    <w:i/>
                  </w:rPr>
                </m:ctrlPr>
              </m:sSubPr>
              <m:e>
                <m:r>
                  <m:rPr/>
                  <w:rPr>
                    <w:rFonts w:hint="eastAsia" w:ascii="Cambria Math" w:hAnsi="Cambria Math"/>
                  </w:rPr>
                  <m:t>g</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,i,r</m:t>
            </m:r>
            <m:ctrlPr>
              <w:rPr>
                <w:rFonts w:ascii="Cambria Math" w:hAnsi="Cambria Math"/>
                <w:i/>
                <w:szCs w:val="24"/>
              </w:rPr>
            </m:ctrlPr>
          </m:sub>
        </m:sSub>
        <m:r>
          <m:rPr/>
          <w:rPr>
            <w:rFonts w:ascii="Cambria Math" w:hAnsi="Cambria Math"/>
          </w:rPr>
          <m:t>×</m:t>
        </m:r>
        <m:d>
          <m:dPr>
            <m:ctrlPr>
              <w:rPr>
                <w:rFonts w:ascii="Cambria Math" w:hAnsi="Cambria Math"/>
                <w:i/>
                <w:szCs w:val="24"/>
              </w:rPr>
            </m:ctrlPr>
          </m:dPr>
          <m:e>
            <m:r>
              <m:rPr/>
              <w:rPr>
                <w:rFonts w:ascii="Cambria Math" w:hAnsi="Cambria Math"/>
              </w:rPr>
              <m:t>1+TDL</m:t>
            </m:r>
            <m:ctrlPr>
              <w:rPr>
                <w:rFonts w:ascii="Cambria Math" w:hAnsi="Cambria Math"/>
                <w:i/>
                <w:szCs w:val="24"/>
              </w:rPr>
            </m:ctrlPr>
          </m:e>
        </m:d>
        <m:r>
          <m:rPr/>
          <w:rPr>
            <w:rFonts w:ascii="Cambria Math" w:hAnsi="Cambria Math"/>
            <w:szCs w:val="24"/>
          </w:rPr>
          <m:t>+(</m:t>
        </m:r>
        <m:sSub>
          <m:sSubPr>
            <m:ctrlPr>
              <w:rPr>
                <w:rFonts w:ascii="Cambria Math" w:hAnsi="Cambria Math"/>
                <w:i/>
                <w:szCs w:val="24"/>
              </w:rPr>
            </m:ctrlPr>
          </m:sSubPr>
          <m:e>
            <m:r>
              <m:rPr/>
              <w:rPr>
                <w:rFonts w:ascii="Cambria Math" w:hAnsi="Cambria Math"/>
              </w:rPr>
              <m:t>HC</m:t>
            </m:r>
            <m:ctrlPr>
              <w:rPr>
                <w:rFonts w:ascii="Cambria Math" w:hAnsi="Cambria Math"/>
                <w:i/>
                <w:szCs w:val="24"/>
              </w:rPr>
            </m:ctrlPr>
          </m:e>
          <m:sub>
            <m:sSub>
              <m:sSubPr>
                <m:ctrlPr>
                  <w:rPr>
                    <w:rFonts w:ascii="Cambria Math" w:hAnsi="Cambria Math"/>
                    <w:i/>
                  </w:rPr>
                </m:ctrlPr>
              </m:sSubPr>
              <m:e>
                <m:r>
                  <m:rPr/>
                  <w:rPr>
                    <w:rFonts w:hint="eastAsia" w:ascii="Cambria Math" w:hAnsi="Cambria Math"/>
                  </w:rPr>
                  <m:t>g</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m:t>
            </m:r>
            <m:r>
              <m:rPr/>
              <w:rPr>
                <w:rFonts w:hint="eastAsia" w:ascii="Cambria Math" w:hAnsi="Cambria Math"/>
              </w:rPr>
              <m:t>i</m:t>
            </m:r>
            <m:r>
              <m:rPr/>
              <w:rPr>
                <w:rFonts w:ascii="Cambria Math" w:hAnsi="Cambria Math"/>
              </w:rPr>
              <m:t>,r,x</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rPr>
              <m:t>NCV</m:t>
            </m:r>
            <m:ctrlPr>
              <w:rPr>
                <w:rFonts w:ascii="Cambria Math" w:hAnsi="Cambria Math"/>
                <w:i/>
                <w:szCs w:val="24"/>
              </w:rPr>
            </m:ctrlPr>
          </m:e>
          <m:sub>
            <m:r>
              <m:rPr/>
              <w:rPr>
                <w:rFonts w:ascii="Cambria Math" w:hAnsi="Cambria Math"/>
              </w:rPr>
              <m:t>k,x</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rPr>
              <m:t>EF</m:t>
            </m:r>
            <m:ctrlPr>
              <w:rPr>
                <w:rFonts w:ascii="Cambria Math" w:hAnsi="Cambria Math"/>
                <w:i/>
                <w:szCs w:val="24"/>
              </w:rPr>
            </m:ctrlPr>
          </m:e>
          <m:sub>
            <m:r>
              <m:rPr/>
              <w:rPr>
                <w:rFonts w:ascii="Cambria Math" w:hAnsi="Cambria Math"/>
              </w:rPr>
              <m:t>CO2,x</m:t>
            </m:r>
            <m:ctrlPr>
              <w:rPr>
                <w:rFonts w:ascii="Cambria Math" w:hAnsi="Cambria Math"/>
                <w:i/>
                <w:szCs w:val="24"/>
              </w:rPr>
            </m:ctrlPr>
          </m:sub>
        </m:sSub>
      </m:oMath>
      <w:r>
        <w:rPr>
          <w:rFonts w:hint="eastAsia" w:ascii="Cambria Math" w:hAnsi="Cambria Math"/>
          <w:szCs w:val="24"/>
        </w:rPr>
        <w:t>)</w:t>
      </w:r>
      <w:r>
        <w:rPr>
          <w:rFonts w:ascii="Cambria Math" w:hAnsi="Cambria Math"/>
          <w:szCs w:val="24"/>
        </w:rPr>
        <w:t>………………(10</w:t>
      </w:r>
      <w:r>
        <w:rPr>
          <w:rFonts w:hint="eastAsia" w:ascii="Cambria Math" w:hAnsi="Cambria Math"/>
          <w:szCs w:val="24"/>
        </w:rPr>
        <w:t>)</w:t>
      </w:r>
    </w:p>
    <w:p w14:paraId="5FADD193">
      <w:pPr>
        <w:pStyle w:val="229"/>
        <w:ind w:firstLineChars="0"/>
        <w:jc w:val="left"/>
        <w:rPr>
          <w:rFonts w:ascii="Times New Roman"/>
          <w:iCs/>
        </w:rPr>
      </w:pPr>
      <m:oMath>
        <m:sSub>
          <m:sSubPr>
            <m:ctrlPr>
              <w:rPr>
                <w:rFonts w:ascii="Cambria Math" w:hAnsi="Cambria Math"/>
                <w:i/>
                <w:szCs w:val="24"/>
              </w:rPr>
            </m:ctrlPr>
          </m:sSubPr>
          <m:e>
            <m:r>
              <m:rPr/>
              <w:rPr>
                <w:rFonts w:ascii="Cambria Math" w:hAnsi="Cambria Math"/>
              </w:rPr>
              <m:t>HC</m:t>
            </m:r>
            <m:ctrlPr>
              <w:rPr>
                <w:rFonts w:ascii="Cambria Math" w:hAnsi="Cambria Math"/>
                <w:i/>
                <w:szCs w:val="24"/>
              </w:rPr>
            </m:ctrlPr>
          </m:e>
          <m:sub>
            <m:sSub>
              <m:sSubPr>
                <m:ctrlPr>
                  <w:rPr>
                    <w:rFonts w:ascii="Cambria Math" w:hAnsi="Cambria Math"/>
                    <w:i/>
                  </w:rPr>
                </m:ctrlPr>
              </m:sSubPr>
              <m:e>
                <m:r>
                  <m:rPr/>
                  <w:rPr>
                    <w:rFonts w:hint="eastAsia" w:ascii="Cambria Math" w:hAnsi="Cambria Math"/>
                  </w:rPr>
                  <m:t>g</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,i,r,x</m:t>
            </m:r>
            <m:ctrlPr>
              <w:rPr>
                <w:rFonts w:ascii="Cambria Math" w:hAnsi="Cambria Math"/>
                <w:i/>
                <w:szCs w:val="24"/>
              </w:rPr>
            </m:ctrlPr>
          </m:sub>
        </m:sSub>
      </m:oMath>
      <w:r>
        <w:rPr>
          <w:rFonts w:ascii="Times New Roman"/>
        </w:rPr>
        <w:t>——</w:t>
      </w:r>
      <w:r>
        <w:rPr>
          <w:rFonts w:hint="eastAsia" w:ascii="Times New Roman"/>
        </w:rPr>
        <w:t>能源类型为r，</w:t>
      </w:r>
      <w:r>
        <w:rPr>
          <w:rFonts w:hint="eastAsia"/>
          <w:szCs w:val="24"/>
        </w:rPr>
        <w:t>车辆型号为g的新能源小客车第i次出行</w:t>
      </w:r>
      <w:r>
        <w:rPr>
          <w:rFonts w:ascii="Times New Roman"/>
          <w:iCs/>
        </w:rPr>
        <w:t>用能源x的</w:t>
      </w:r>
      <w:r>
        <w:rPr>
          <w:rFonts w:hint="eastAsia" w:ascii="Times New Roman"/>
          <w:iCs/>
        </w:rPr>
        <w:t>单位公里油耗</w:t>
      </w:r>
      <w:r>
        <w:rPr>
          <w:rFonts w:ascii="Times New Roman"/>
          <w:iCs/>
        </w:rPr>
        <w:t>，单位为吨</w:t>
      </w:r>
      <w:r>
        <w:rPr>
          <w:rFonts w:hint="eastAsia" w:ascii="Times New Roman"/>
          <w:iCs/>
        </w:rPr>
        <w:t>每公里</w:t>
      </w:r>
      <w:r>
        <w:rPr>
          <w:rFonts w:ascii="Times New Roman"/>
          <w:iCs/>
        </w:rPr>
        <w:t>(ton</w:t>
      </w:r>
      <w:r>
        <w:rPr>
          <w:rFonts w:hint="eastAsia" w:ascii="Times New Roman"/>
          <w:iCs/>
        </w:rPr>
        <w:t>/km</w:t>
      </w:r>
      <w:r>
        <w:rPr>
          <w:rFonts w:ascii="Times New Roman"/>
          <w:iCs/>
        </w:rPr>
        <w:t>)；</w:t>
      </w:r>
    </w:p>
    <w:p w14:paraId="48409639">
      <w:pPr>
        <w:pStyle w:val="56"/>
        <w:ind w:firstLine="420"/>
        <w:rPr>
          <w:szCs w:val="24"/>
        </w:rPr>
      </w:pPr>
      <m:oMath>
        <m:sSub>
          <m:sSubPr>
            <m:ctrlPr>
              <w:rPr>
                <w:rFonts w:ascii="Cambria Math" w:hAnsi="Cambria Math"/>
                <w:i/>
                <w:szCs w:val="24"/>
              </w:rPr>
            </m:ctrlPr>
          </m:sSubPr>
          <m:e>
            <m:r>
              <m:rPr/>
              <w:rPr>
                <w:rFonts w:ascii="Cambria Math" w:hAnsi="Cambria Math"/>
              </w:rPr>
              <m:t>EC</m:t>
            </m:r>
            <m:ctrlPr>
              <w:rPr>
                <w:rFonts w:ascii="Cambria Math" w:hAnsi="Cambria Math"/>
                <w:i/>
                <w:szCs w:val="24"/>
              </w:rPr>
            </m:ctrlPr>
          </m:e>
          <m:sub>
            <m:sSub>
              <m:sSubPr>
                <m:ctrlPr>
                  <w:rPr>
                    <w:rFonts w:ascii="Cambria Math" w:hAnsi="Cambria Math"/>
                    <w:i/>
                  </w:rPr>
                </m:ctrlPr>
              </m:sSubPr>
              <m:e>
                <m:r>
                  <m:rPr/>
                  <w:rPr>
                    <w:rFonts w:hint="eastAsia" w:ascii="Cambria Math" w:hAnsi="Cambria Math"/>
                  </w:rPr>
                  <m:t>g</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,i,r</m:t>
            </m:r>
            <m:ctrlPr>
              <w:rPr>
                <w:rFonts w:ascii="Cambria Math" w:hAnsi="Cambria Math"/>
                <w:i/>
                <w:szCs w:val="24"/>
              </w:rPr>
            </m:ctrlPr>
          </m:sub>
        </m:sSub>
      </m:oMath>
      <w:r>
        <w:rPr>
          <w:rFonts w:ascii="Times New Roman"/>
        </w:rPr>
        <w:t>——</w:t>
      </w:r>
      <w:r>
        <w:rPr>
          <w:rFonts w:hint="eastAsia" w:ascii="Times New Roman"/>
        </w:rPr>
        <w:t>能源类型为r，</w:t>
      </w:r>
      <w:r>
        <w:rPr>
          <w:rFonts w:hint="eastAsia"/>
          <w:szCs w:val="24"/>
        </w:rPr>
        <w:t>车辆型号为g的新能源小客车第i次出行的单位公里电耗，单位为兆瓦时每公里（</w:t>
      </w:r>
      <w:r>
        <w:rPr>
          <w:szCs w:val="24"/>
        </w:rPr>
        <w:t>MW</w:t>
      </w:r>
      <w:r>
        <w:rPr>
          <w:rFonts w:hint="eastAsia"/>
          <w:szCs w:val="24"/>
        </w:rPr>
        <w:t>h/</w:t>
      </w:r>
      <w:r>
        <w:rPr>
          <w:szCs w:val="24"/>
        </w:rPr>
        <w:t>km</w:t>
      </w:r>
      <w:r>
        <w:rPr>
          <w:rFonts w:hint="eastAsia"/>
          <w:szCs w:val="24"/>
        </w:rPr>
        <w:t>）。</w:t>
      </w:r>
    </w:p>
    <w:p w14:paraId="66688EAC">
      <w:pPr>
        <w:pStyle w:val="56"/>
        <w:ind w:firstLine="420"/>
        <w:rPr>
          <w:rFonts w:ascii="Times New Roman"/>
        </w:rPr>
      </w:pPr>
      <w:r>
        <w:rPr>
          <w:rFonts w:hint="eastAsia" w:ascii="Times New Roman"/>
        </w:rPr>
        <w:t>在情景C时，</w:t>
      </w:r>
      <w:r>
        <w:rPr>
          <w:rFonts w:hint="eastAsia" w:ascii="Times New Roman"/>
          <w:lang w:val="en-AU"/>
        </w:rPr>
        <w:t>驾乘新能源小客车的人公里排放因子采用缺省值法，具体取值见附录</w:t>
      </w:r>
      <w:r>
        <w:rPr>
          <w:rFonts w:ascii="Times New Roman"/>
          <w:lang w:val="en-AU"/>
        </w:rPr>
        <w:t>B</w:t>
      </w:r>
      <w:r>
        <w:rPr>
          <w:rFonts w:hint="eastAsia" w:ascii="Times New Roman"/>
          <w:lang w:val="en-AU"/>
        </w:rPr>
        <w:t>。</w:t>
      </w:r>
    </w:p>
    <w:p w14:paraId="45D2E99C">
      <w:pPr>
        <w:pStyle w:val="94"/>
        <w:spacing w:before="156" w:after="156"/>
      </w:pPr>
      <w:r>
        <w:rPr>
          <w:rFonts w:hint="eastAsia"/>
        </w:rPr>
        <w:t>自愿停驶后的人公里排放因子</w:t>
      </w:r>
    </w:p>
    <w:p w14:paraId="0A666169">
      <w:pPr>
        <w:pStyle w:val="56"/>
        <w:ind w:firstLine="420"/>
        <w:rPr>
          <w:lang w:val="en-AU"/>
        </w:rPr>
      </w:pPr>
      <w:r>
        <w:rPr>
          <w:rFonts w:hint="eastAsia"/>
          <w:lang w:val="en-AU"/>
        </w:rPr>
        <w:t>在情景A和B时，在非限行日期间，识别并确认小微型客车存在自愿停驶行为后，自愿停驶后的存在其他绿色出行行为时，自愿停驶后的人公里排放因子计算公式见（</w:t>
      </w:r>
      <w:r>
        <w:rPr>
          <w:lang w:val="en-AU"/>
        </w:rPr>
        <w:t>11</w:t>
      </w:r>
      <w:r>
        <w:rPr>
          <w:rFonts w:hint="eastAsia"/>
          <w:lang w:val="en-AU"/>
        </w:rPr>
        <w:t>）。</w:t>
      </w:r>
    </w:p>
    <w:p w14:paraId="61A04F61">
      <w:pPr>
        <w:jc w:val="right"/>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PKM,k</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k</m:t>
            </m:r>
            <m:ctrlPr>
              <w:rPr>
                <w:rFonts w:ascii="Cambria Math" w:hAnsi="Cambria Math"/>
              </w:rPr>
            </m:ctrlPr>
          </m:sub>
          <m:sup>
            <m:ctrlPr>
              <w:rPr>
                <w:rFonts w:ascii="Cambria Math" w:hAnsi="Cambria Math"/>
              </w:rPr>
            </m:ctrlPr>
          </m:sup>
          <m:e>
            <m:d>
              <m:dPr>
                <m:ctrlPr>
                  <w:rPr>
                    <w:rFonts w:ascii="Cambria Math" w:hAnsi="Cambria Math"/>
                  </w:rPr>
                </m:ctrlPr>
              </m:dPr>
              <m:e>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PKM</m:t>
                    </m:r>
                    <m:r>
                      <m:rPr>
                        <m:sty m:val="p"/>
                      </m:rPr>
                      <w:rPr>
                        <w:rFonts w:ascii="Cambria Math" w:hAnsi="Cambria Math"/>
                      </w:rPr>
                      <m:t>,</m:t>
                    </m:r>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ctrlPr>
                  <w:rPr>
                    <w:rFonts w:ascii="Cambria Math" w:hAnsi="Cambria Math"/>
                  </w:rPr>
                </m:ctrlPr>
              </m:e>
            </m:d>
            <m:ctrlPr>
              <w:rPr>
                <w:rFonts w:ascii="Cambria Math" w:hAnsi="Cambria Math"/>
              </w:rPr>
            </m:ctrlPr>
          </m:e>
        </m:nary>
        <m:r>
          <m:rPr>
            <m:sty m:val="p"/>
          </m:rPr>
          <w:rPr>
            <w:rFonts w:ascii="Cambria Math" w:hAnsi="Cambria Math"/>
          </w:rPr>
          <m:t>/</m:t>
        </m:r>
        <m:nary>
          <m:naryPr>
            <m:chr m:val="∑"/>
            <m:limLoc m:val="subSup"/>
            <m:supHide m:val="1"/>
            <m:ctrlPr>
              <w:rPr>
                <w:rFonts w:ascii="Cambria Math" w:hAnsi="Cambria Math"/>
              </w:rPr>
            </m:ctrlPr>
          </m:naryPr>
          <m:sub>
            <m:r>
              <m:rPr/>
              <w:rPr>
                <w:rFonts w:ascii="Cambria Math" w:hAnsi="Cambria Math"/>
              </w:rPr>
              <m:t>k</m:t>
            </m:r>
            <m:ctrlPr>
              <w:rPr>
                <w:rFonts w:ascii="Cambria Math" w:hAnsi="Cambria Math"/>
              </w:rPr>
            </m:ctrlPr>
          </m:sub>
          <m:sup>
            <m:ctrlPr>
              <w:rPr>
                <w:rFonts w:ascii="Cambria Math" w:hAnsi="Cambria Math"/>
              </w:rPr>
            </m:ctrlPr>
          </m:sup>
          <m:e>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ctrlPr>
                  <w:rPr>
                    <w:rFonts w:ascii="Cambria Math" w:hAnsi="Cambria Math"/>
                  </w:rPr>
                </m:ctrlPr>
              </m:e>
            </m:d>
            <m:ctrlPr>
              <w:rPr>
                <w:rFonts w:ascii="Cambria Math" w:hAnsi="Cambria Math"/>
              </w:rPr>
            </m:ctrlPr>
          </m:e>
        </m:nary>
      </m:oMath>
      <w:r>
        <w:t>………………………………</w:t>
      </w:r>
      <w:r>
        <w:rPr>
          <w:rFonts w:hint="eastAsia"/>
        </w:rPr>
        <w:t>（</w:t>
      </w:r>
      <w:r>
        <w:t>11</w:t>
      </w:r>
      <w:r>
        <w:rPr>
          <w:rFonts w:hint="eastAsia"/>
        </w:rPr>
        <w:t>）</w:t>
      </w:r>
    </w:p>
    <w:p w14:paraId="5C75EFB2">
      <w:pPr>
        <w:ind w:firstLine="420" w:firstLineChars="200"/>
      </w:pPr>
      <w:r>
        <w:rPr>
          <w:rFonts w:hint="eastAsia"/>
        </w:rPr>
        <w:t>式中：</w:t>
      </w:r>
    </w:p>
    <w:p w14:paraId="17018D41">
      <w:pPr>
        <w:spacing w:line="240" w:lineRule="auto"/>
        <w:ind w:firstLine="420" w:firstLineChars="200"/>
        <w:rPr>
          <w:rFonts w:ascii="Times New Roman"/>
          <w:lang w:val="en-AU"/>
        </w:rPr>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PKM,k</m:t>
            </m:r>
            <m:ctrlPr>
              <w:rPr>
                <w:rFonts w:ascii="Cambria Math" w:hAnsi="Cambria Math"/>
              </w:rPr>
            </m:ctrlPr>
          </m:sub>
        </m:sSub>
      </m:oMath>
      <w:r>
        <w:rPr>
          <w:rFonts w:ascii="Times New Roman"/>
        </w:rPr>
        <w:t>——</w:t>
      </w:r>
      <w:r>
        <w:rPr>
          <w:rFonts w:hint="eastAsia" w:ascii="Times New Roman"/>
        </w:rPr>
        <w:t>自愿停驶后的人公里排放因子，</w:t>
      </w:r>
      <w:r>
        <w:rPr>
          <w:rFonts w:ascii="Times New Roman"/>
          <w:lang w:val="en-AU"/>
        </w:rPr>
        <w:t>单位为</w:t>
      </w:r>
      <w:r>
        <w:rPr>
          <w:rFonts w:hint="eastAsia" w:ascii="Cambria Math" w:hAnsi="Cambria Math"/>
        </w:rPr>
        <w:t>吨二氧化碳每人公里</w:t>
      </w:r>
      <w:r>
        <w:rPr>
          <w:rFonts w:ascii="Times New Roman"/>
          <w:lang w:val="en-AU"/>
        </w:rPr>
        <w:t>（tCO</w:t>
      </w:r>
      <w:r>
        <w:rPr>
          <w:rFonts w:ascii="Times New Roman"/>
          <w:vertAlign w:val="subscript"/>
          <w:lang w:val="en-AU"/>
        </w:rPr>
        <w:t>2</w:t>
      </w:r>
      <w:r>
        <w:rPr>
          <w:rFonts w:ascii="Times New Roman"/>
          <w:lang w:val="en-AU"/>
        </w:rPr>
        <w:t>/PKM）</w:t>
      </w:r>
      <w:r>
        <w:rPr>
          <w:rFonts w:hint="eastAsia" w:ascii="Times New Roman"/>
          <w:lang w:val="en-AU"/>
        </w:rPr>
        <w:t>；</w:t>
      </w:r>
    </w:p>
    <w:p w14:paraId="3AE670CC">
      <w:pPr>
        <w:spacing w:line="240" w:lineRule="auto"/>
        <w:ind w:firstLine="420" w:firstLineChars="200"/>
        <w:rPr>
          <w:rFonts w:ascii="Times New Roman"/>
          <w:lang w:val="en-AU"/>
        </w:rPr>
      </w:pPr>
      <m:oMath>
        <m:sSub>
          <m:sSubPr>
            <m:ctrlPr>
              <w:rPr>
                <w:rFonts w:ascii="Cambria Math" w:hAnsi="Cambria Math"/>
                <w:szCs w:val="24"/>
              </w:rPr>
            </m:ctrlPr>
          </m:sSubPr>
          <m:e>
            <m:r>
              <m:rPr/>
              <w:rPr>
                <w:rFonts w:ascii="Cambria Math" w:hAnsi="Cambria Math"/>
                <w:szCs w:val="24"/>
              </w:rPr>
              <m:t>EF</m:t>
            </m:r>
            <m:ctrlPr>
              <w:rPr>
                <w:rFonts w:ascii="Cambria Math" w:hAnsi="Cambria Math"/>
                <w:szCs w:val="24"/>
              </w:rPr>
            </m:ctrlPr>
          </m:e>
          <m:sub>
            <m:r>
              <m:rPr/>
              <w:rPr>
                <w:rFonts w:ascii="Cambria Math" w:hAnsi="Cambria Math"/>
                <w:szCs w:val="24"/>
              </w:rPr>
              <m:t>k</m:t>
            </m:r>
            <m:r>
              <m:rPr>
                <m:sty m:val="p"/>
              </m:rPr>
              <w:rPr>
                <w:rFonts w:ascii="Cambria Math" w:hAnsi="Cambria Math"/>
                <w:szCs w:val="24"/>
              </w:rPr>
              <m:t>,</m:t>
            </m:r>
            <m:r>
              <m:rPr/>
              <w:rPr>
                <w:rFonts w:ascii="Cambria Math" w:hAnsi="Cambria Math"/>
                <w:szCs w:val="24"/>
              </w:rPr>
              <m:t>PKM</m:t>
            </m:r>
            <m:r>
              <m:rPr>
                <m:sty m:val="p"/>
              </m:rPr>
              <w:rPr>
                <w:rFonts w:ascii="Cambria Math" w:hAnsi="Cambria Math"/>
                <w:szCs w:val="24"/>
              </w:rPr>
              <m:t>,</m:t>
            </m:r>
            <m:r>
              <m:rPr/>
              <w:rPr>
                <w:rFonts w:ascii="Cambria Math" w:hAnsi="Cambria Math"/>
                <w:szCs w:val="24"/>
              </w:rPr>
              <m:t>y</m:t>
            </m:r>
            <m:ctrlPr>
              <w:rPr>
                <w:rFonts w:ascii="Cambria Math" w:hAnsi="Cambria Math"/>
                <w:szCs w:val="24"/>
              </w:rPr>
            </m:ctrlPr>
          </m:sub>
        </m:sSub>
      </m:oMath>
      <w:r>
        <w:rPr>
          <w:rFonts w:hint="eastAsia" w:ascii="Times New Roman"/>
          <w:szCs w:val="24"/>
        </w:rPr>
        <w:t>——基础年每一种绿色出行方式的人公里排放因子，</w:t>
      </w:r>
      <w:r>
        <w:rPr>
          <w:rFonts w:ascii="Times New Roman"/>
          <w:lang w:val="en-AU"/>
        </w:rPr>
        <w:t>单位为</w:t>
      </w:r>
      <w:r>
        <w:rPr>
          <w:rFonts w:hint="eastAsia" w:ascii="Cambria Math" w:hAnsi="Cambria Math"/>
        </w:rPr>
        <w:t>吨二氧化碳每人公里</w:t>
      </w:r>
      <w:r>
        <w:rPr>
          <w:rFonts w:ascii="Times New Roman"/>
          <w:lang w:val="en-AU"/>
        </w:rPr>
        <w:t>（tCO</w:t>
      </w:r>
      <w:r>
        <w:rPr>
          <w:rFonts w:ascii="Times New Roman"/>
          <w:vertAlign w:val="subscript"/>
          <w:lang w:val="en-AU"/>
        </w:rPr>
        <w:t>2</w:t>
      </w:r>
      <w:r>
        <w:rPr>
          <w:rFonts w:ascii="Times New Roman"/>
          <w:lang w:val="en-AU"/>
        </w:rPr>
        <w:t>/PKM）</w:t>
      </w:r>
    </w:p>
    <w:p w14:paraId="11DE19AB">
      <w:pPr>
        <w:spacing w:line="240" w:lineRule="auto"/>
        <w:ind w:firstLine="420" w:firstLineChars="200"/>
        <w:rPr>
          <w:kern w:val="0"/>
          <w:szCs w:val="24"/>
        </w:rPr>
      </w:pPr>
      <m:oMath>
        <m:sSub>
          <m:sSubPr>
            <m:ctrlPr>
              <w:rPr>
                <w:rFonts w:ascii="Cambria Math" w:hAnsi="Cambria Math"/>
                <w:kern w:val="0"/>
                <w:szCs w:val="24"/>
              </w:rPr>
            </m:ctrlPr>
          </m:sSubPr>
          <m:e>
            <m:r>
              <m:rPr/>
              <w:rPr>
                <w:rFonts w:ascii="Cambria Math" w:hAnsi="Cambria Math"/>
                <w:szCs w:val="24"/>
              </w:rPr>
              <m:t>P</m:t>
            </m:r>
            <m:ctrlPr>
              <w:rPr>
                <w:rFonts w:ascii="Cambria Math" w:hAnsi="Cambria Math"/>
                <w:kern w:val="0"/>
                <w:szCs w:val="24"/>
              </w:rPr>
            </m:ctrlPr>
          </m:e>
          <m:sub>
            <m:r>
              <m:rPr/>
              <w:rPr>
                <w:rFonts w:ascii="Cambria Math" w:hAnsi="Cambria Math"/>
                <w:szCs w:val="24"/>
              </w:rPr>
              <m:t>k</m:t>
            </m:r>
            <m:r>
              <m:rPr>
                <m:sty m:val="p"/>
              </m:rPr>
              <w:rPr>
                <w:rFonts w:ascii="Cambria Math" w:hAnsi="Cambria Math"/>
                <w:szCs w:val="24"/>
              </w:rPr>
              <m:t>,</m:t>
            </m:r>
            <m:r>
              <m:rPr/>
              <w:rPr>
                <w:rFonts w:ascii="Cambria Math" w:hAnsi="Cambria Math"/>
                <w:szCs w:val="24"/>
              </w:rPr>
              <m:t>y</m:t>
            </m:r>
            <m:ctrlPr>
              <w:rPr>
                <w:rFonts w:ascii="Cambria Math" w:hAnsi="Cambria Math"/>
                <w:kern w:val="0"/>
                <w:szCs w:val="24"/>
              </w:rPr>
            </m:ctrlPr>
          </m:sub>
        </m:sSub>
      </m:oMath>
      <w:r>
        <w:rPr>
          <w:rFonts w:hint="eastAsia"/>
          <w:kern w:val="0"/>
          <w:szCs w:val="24"/>
        </w:rPr>
        <w:t>——基础年每一种绿色出行方式的年出行总量，单位为次数（次）；</w:t>
      </w:r>
    </w:p>
    <w:p w14:paraId="2B3658C0">
      <w:pPr>
        <w:spacing w:line="240" w:lineRule="auto"/>
        <w:ind w:firstLine="420" w:firstLineChars="200"/>
        <w:rPr>
          <w:kern w:val="0"/>
          <w:szCs w:val="24"/>
        </w:rPr>
      </w:pPr>
      <m:oMath>
        <m:sSub>
          <m:sSubPr>
            <m:ctrlPr>
              <w:rPr>
                <w:rFonts w:ascii="Cambria Math" w:hAnsi="Cambria Math"/>
                <w:kern w:val="0"/>
                <w:szCs w:val="24"/>
              </w:rPr>
            </m:ctrlPr>
          </m:sSubPr>
          <m:e>
            <m:r>
              <m:rPr/>
              <w:rPr>
                <w:rFonts w:ascii="Cambria Math" w:hAnsi="Cambria Math"/>
                <w:szCs w:val="24"/>
              </w:rPr>
              <m:t>D</m:t>
            </m:r>
            <m:ctrlPr>
              <w:rPr>
                <w:rFonts w:ascii="Cambria Math" w:hAnsi="Cambria Math"/>
                <w:kern w:val="0"/>
                <w:szCs w:val="24"/>
              </w:rPr>
            </m:ctrlPr>
          </m:e>
          <m:sub>
            <m:r>
              <m:rPr/>
              <w:rPr>
                <w:rFonts w:ascii="Cambria Math" w:hAnsi="Cambria Math"/>
                <w:szCs w:val="24"/>
              </w:rPr>
              <m:t>k</m:t>
            </m:r>
            <m:r>
              <m:rPr>
                <m:sty m:val="p"/>
              </m:rPr>
              <w:rPr>
                <w:rFonts w:ascii="Cambria Math" w:hAnsi="Cambria Math"/>
                <w:szCs w:val="24"/>
              </w:rPr>
              <m:t>,</m:t>
            </m:r>
            <m:r>
              <m:rPr/>
              <w:rPr>
                <w:rFonts w:ascii="Cambria Math" w:hAnsi="Cambria Math"/>
                <w:szCs w:val="24"/>
              </w:rPr>
              <m:t>y</m:t>
            </m:r>
            <m:ctrlPr>
              <w:rPr>
                <w:rFonts w:ascii="Cambria Math" w:hAnsi="Cambria Math"/>
                <w:kern w:val="0"/>
                <w:szCs w:val="24"/>
              </w:rPr>
            </m:ctrlPr>
          </m:sub>
        </m:sSub>
      </m:oMath>
      <w:r>
        <w:rPr>
          <w:rFonts w:hint="eastAsia"/>
          <w:kern w:val="0"/>
          <w:szCs w:val="24"/>
        </w:rPr>
        <w:t>——基础年每一种绿色出行方式的年均行驶里程，单位为公里（km）；</w:t>
      </w:r>
    </w:p>
    <w:p w14:paraId="65D1705C">
      <w:pPr>
        <w:spacing w:line="240" w:lineRule="auto"/>
        <w:ind w:firstLine="420" w:firstLineChars="200"/>
        <w:rPr>
          <w:kern w:val="0"/>
          <w:szCs w:val="24"/>
        </w:rPr>
      </w:pPr>
      <w:r>
        <w:rPr>
          <w:rFonts w:ascii="Times New Roman"/>
          <w:i/>
          <w:iCs/>
        </w:rPr>
        <w:t>k</w:t>
      </w:r>
      <w:r>
        <w:rPr>
          <w:rFonts w:hint="eastAsia"/>
          <w:kern w:val="0"/>
          <w:szCs w:val="24"/>
        </w:rPr>
        <w:t>——基础年绿色出行方式，可选择公共汽电车、城市轨道交通、骑行、步行和合乘燃油/新能源小客车。</w:t>
      </w:r>
    </w:p>
    <w:p w14:paraId="24C753A3">
      <w:pPr>
        <w:spacing w:line="240" w:lineRule="auto"/>
        <w:ind w:firstLine="420" w:firstLineChars="200"/>
        <w:rPr>
          <w:kern w:val="0"/>
          <w:szCs w:val="24"/>
        </w:rPr>
      </w:pPr>
      <w:r>
        <w:rPr>
          <w:rFonts w:hint="eastAsia"/>
          <w:kern w:val="0"/>
          <w:szCs w:val="24"/>
        </w:rPr>
        <w:t>在情景C时，</w:t>
      </w:r>
      <w:r>
        <w:rPr>
          <w:rFonts w:hint="eastAsia" w:ascii="Times New Roman"/>
          <w:lang w:val="en-AU"/>
        </w:rPr>
        <w:t>自愿停驶的人公里排放因子采用缺省值法，具体取值见附录</w:t>
      </w:r>
      <w:r>
        <w:rPr>
          <w:rFonts w:ascii="Times New Roman"/>
          <w:lang w:val="en-AU"/>
        </w:rPr>
        <w:t>B</w:t>
      </w:r>
      <w:r>
        <w:rPr>
          <w:rFonts w:hint="eastAsia" w:ascii="Times New Roman"/>
          <w:lang w:val="en-AU"/>
        </w:rPr>
        <w:t>。</w:t>
      </w:r>
    </w:p>
    <w:p w14:paraId="36358EE4">
      <w:pPr>
        <w:pStyle w:val="94"/>
        <w:spacing w:before="156" w:after="156"/>
      </w:pPr>
      <w:r>
        <w:rPr>
          <w:rFonts w:hint="eastAsia"/>
        </w:rPr>
        <w:t>合乘燃油/新能源小客车的人公里排放因子</w:t>
      </w:r>
    </w:p>
    <w:p w14:paraId="415F4842">
      <w:pPr>
        <w:pStyle w:val="56"/>
        <w:ind w:firstLine="420"/>
        <w:rPr>
          <w:lang w:val="en-AU"/>
        </w:rPr>
      </w:pPr>
      <w:r>
        <w:rPr>
          <w:rFonts w:hint="eastAsia"/>
          <w:lang w:val="en-AU"/>
        </w:rPr>
        <w:t>在情景A和B时，合乘燃油/新能源小客车的人公里排放因子采取以下方式。</w:t>
      </w:r>
    </w:p>
    <w:p w14:paraId="0599DECC">
      <w:pPr>
        <w:pStyle w:val="56"/>
        <w:ind w:firstLine="420"/>
        <w:rPr>
          <w:lang w:val="en-AU"/>
        </w:rPr>
      </w:pPr>
      <w:r>
        <w:rPr>
          <w:rFonts w:hint="eastAsia"/>
          <w:lang w:val="en-AU"/>
        </w:rPr>
        <w:t>合乘燃油小客车的人公里排放因子计算公式见（</w:t>
      </w:r>
      <w:r>
        <w:rPr>
          <w:lang w:val="en-AU"/>
        </w:rPr>
        <w:t>12</w:t>
      </w:r>
      <w:r>
        <w:rPr>
          <w:rFonts w:hint="eastAsia"/>
          <w:lang w:val="en-AU"/>
        </w:rPr>
        <w:t>）。</w:t>
      </w:r>
    </w:p>
    <w:p w14:paraId="30A53F77">
      <w:pPr>
        <w:pStyle w:val="229"/>
        <w:ind w:firstLine="0" w:firstLineChars="0"/>
        <w:jc w:val="right"/>
        <w:rPr>
          <w:rFonts w:ascii="Cambria Math" w:hAnsi="Cambria Math"/>
        </w:rPr>
      </w:pPr>
      <m:oMath>
        <m:sSub>
          <m:sSubPr>
            <m:ctrlPr>
              <w:rPr>
                <w:rFonts w:ascii="Cambria Math" w:hAnsi="Cambria Math" w:cs="宋体"/>
                <w:szCs w:val="24"/>
              </w:rPr>
            </m:ctrlPr>
          </m:sSubPr>
          <m:e>
            <m:r>
              <m:rPr/>
              <w:rPr>
                <w:rFonts w:ascii="Cambria Math" w:hAnsi="Cambria Math"/>
              </w:rPr>
              <m:t>EF</m:t>
            </m:r>
            <m:ctrlPr>
              <w:rPr>
                <w:rFonts w:ascii="Cambria Math" w:hAnsi="Cambria Math" w:cs="宋体"/>
                <w:szCs w:val="24"/>
              </w:rPr>
            </m:ctrlPr>
          </m:e>
          <m:sub>
            <m:r>
              <m:rPr/>
              <w:rPr>
                <w:rFonts w:ascii="Cambria Math" w:hAnsi="Cambria Math"/>
              </w:rPr>
              <m:t>PKM,k</m:t>
            </m:r>
            <m:ctrlPr>
              <w:rPr>
                <w:rFonts w:ascii="Cambria Math" w:hAnsi="Cambria Math" w:cs="宋体"/>
                <w:szCs w:val="24"/>
              </w:rPr>
            </m:ctrlPr>
          </m:sub>
        </m:sSub>
        <m:r>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i,y</m:t>
            </m:r>
            <m:ctrlPr>
              <w:rPr>
                <w:rFonts w:ascii="Cambria Math" w:hAnsi="Cambria Math"/>
                <w:i/>
              </w:rPr>
            </m:ctrlPr>
          </m:sub>
        </m:sSub>
      </m:oMath>
      <w:r>
        <w:rPr>
          <w:rFonts w:ascii="Cambria Math" w:hAnsi="Cambria Math"/>
        </w:rPr>
        <w:t>…………………………………………………</w:t>
      </w:r>
      <w:r>
        <w:rPr>
          <w:rFonts w:hint="eastAsia" w:ascii="Cambria Math" w:hAnsi="Cambria Math"/>
        </w:rPr>
        <w:t>（</w:t>
      </w:r>
      <w:r>
        <w:rPr>
          <w:rFonts w:ascii="Cambria Math" w:hAnsi="Cambria Math"/>
        </w:rPr>
        <w:t>12</w:t>
      </w:r>
      <w:r>
        <w:rPr>
          <w:rFonts w:hint="eastAsia" w:ascii="Cambria Math" w:hAnsi="Cambria Math"/>
        </w:rPr>
        <w:t>）</w:t>
      </w:r>
    </w:p>
    <w:p w14:paraId="06ABA53C">
      <w:pPr>
        <w:pStyle w:val="229"/>
        <w:jc w:val="left"/>
        <w:rPr>
          <w:rFonts w:ascii="Times New Roman"/>
        </w:rPr>
      </w:pPr>
      <w:r>
        <w:rPr>
          <w:rFonts w:ascii="Times New Roman"/>
        </w:rPr>
        <w:t>式中：</w:t>
      </w:r>
    </w:p>
    <w:p w14:paraId="4C700E1D">
      <w:pPr>
        <w:pStyle w:val="229"/>
        <w:jc w:val="left"/>
        <w:rPr>
          <w:rFonts w:ascii="Times New Roman"/>
        </w:rPr>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oMath>
      <w:r>
        <w:rPr>
          <w:rFonts w:ascii="Times New Roman"/>
        </w:rPr>
        <w:t>——第i次出行的基准线人公里排放因子，</w:t>
      </w:r>
      <w:r>
        <w:rPr>
          <w:rFonts w:ascii="Times New Roman"/>
          <w:lang w:val="en-AU"/>
        </w:rPr>
        <w:t>单位为</w:t>
      </w:r>
      <w:r>
        <w:rPr>
          <w:rFonts w:hint="eastAsia" w:ascii="Cambria Math" w:hAnsi="Cambria Math"/>
        </w:rPr>
        <w:t>吨二氧化碳每人公里</w:t>
      </w:r>
      <w:r>
        <w:rPr>
          <w:rFonts w:ascii="Times New Roman"/>
          <w:lang w:val="en-AU"/>
        </w:rPr>
        <w:t>（tCO</w:t>
      </w:r>
      <w:r>
        <w:rPr>
          <w:rFonts w:ascii="Times New Roman"/>
          <w:vertAlign w:val="subscript"/>
          <w:lang w:val="en-AU"/>
        </w:rPr>
        <w:t>2</w:t>
      </w:r>
      <w:r>
        <w:rPr>
          <w:rFonts w:ascii="Times New Roman"/>
          <w:lang w:val="en-AU"/>
        </w:rPr>
        <w:t>/PKM）</w:t>
      </w:r>
      <w:r>
        <w:rPr>
          <w:rFonts w:ascii="Times New Roman"/>
        </w:rPr>
        <w:t>；</w:t>
      </w:r>
    </w:p>
    <w:p w14:paraId="239F3F4C">
      <w:pPr>
        <w:pStyle w:val="229"/>
        <w:jc w:val="left"/>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i,y</m:t>
            </m:r>
            <m:ctrlPr>
              <w:rPr>
                <w:rFonts w:ascii="Cambria Math" w:hAnsi="Cambria Math"/>
                <w:i/>
              </w:rPr>
            </m:ctrlPr>
          </m:sub>
        </m:sSub>
      </m:oMath>
      <w:r>
        <w:rPr>
          <w:rFonts w:ascii="Times New Roman"/>
        </w:rPr>
        <w:t>——第y年第i次</w:t>
      </w:r>
      <w:r>
        <w:rPr>
          <w:rFonts w:hint="eastAsia" w:ascii="Times New Roman"/>
        </w:rPr>
        <w:t>小客车</w:t>
      </w:r>
      <w:r>
        <w:rPr>
          <w:rFonts w:ascii="Times New Roman"/>
        </w:rPr>
        <w:t>合乘出行的人数</w:t>
      </w:r>
      <w:r>
        <w:rPr>
          <w:rFonts w:hint="eastAsia" w:ascii="Times New Roman"/>
        </w:rPr>
        <w:t>；</w:t>
      </w:r>
    </w:p>
    <w:p w14:paraId="6253C757">
      <w:pPr>
        <w:pStyle w:val="229"/>
        <w:jc w:val="left"/>
        <w:rPr>
          <w:rFonts w:ascii="Times New Roman"/>
        </w:rPr>
      </w:pPr>
      <w:r>
        <w:rPr>
          <w:rFonts w:ascii="Times New Roman"/>
          <w:i/>
          <w:iCs/>
        </w:rPr>
        <w:t>k</w:t>
      </w:r>
      <w:r>
        <w:rPr>
          <w:rFonts w:ascii="Times New Roman"/>
        </w:rPr>
        <w:t>——合乘</w:t>
      </w:r>
      <w:r>
        <w:rPr>
          <w:rFonts w:hint="eastAsia" w:ascii="Times New Roman"/>
        </w:rPr>
        <w:t>燃油小客车的</w:t>
      </w:r>
      <w:r>
        <w:rPr>
          <w:rFonts w:ascii="Times New Roman"/>
        </w:rPr>
        <w:t>出行方式。</w:t>
      </w:r>
    </w:p>
    <w:p w14:paraId="39081F1A">
      <w:pPr>
        <w:pStyle w:val="229"/>
        <w:jc w:val="left"/>
        <w:rPr>
          <w:rFonts w:ascii="Times New Roman"/>
        </w:rPr>
      </w:pPr>
      <w:r>
        <w:rPr>
          <w:rFonts w:hint="eastAsia" w:ascii="Times New Roman"/>
        </w:rPr>
        <w:t>合乘新能源小客车的人公里排放因子计算公式见（</w:t>
      </w:r>
      <w:r>
        <w:rPr>
          <w:rFonts w:ascii="Times New Roman"/>
        </w:rPr>
        <w:t>13</w:t>
      </w:r>
      <w:r>
        <w:rPr>
          <w:rFonts w:hint="eastAsia" w:ascii="Times New Roman"/>
        </w:rPr>
        <w:t>）。</w:t>
      </w:r>
    </w:p>
    <w:p w14:paraId="563CBCD1">
      <w:pPr>
        <w:pStyle w:val="229"/>
        <w:ind w:firstLine="0" w:firstLineChars="0"/>
        <w:jc w:val="right"/>
        <w:rPr>
          <w:rFonts w:ascii="Cambria Math" w:hAnsi="Cambria Math"/>
        </w:rPr>
      </w:pPr>
      <m:oMath>
        <m:sSub>
          <m:sSubPr>
            <m:ctrlPr>
              <w:rPr>
                <w:rFonts w:ascii="Cambria Math" w:hAnsi="Cambria Math"/>
                <w:szCs w:val="24"/>
              </w:rPr>
            </m:ctrlPr>
          </m:sSubPr>
          <m:e>
            <m:r>
              <m:rPr/>
              <w:rPr>
                <w:rFonts w:ascii="Cambria Math" w:hAnsi="Cambria Math"/>
              </w:rPr>
              <m:t>EF</m:t>
            </m:r>
            <m:ctrlPr>
              <w:rPr>
                <w:rFonts w:ascii="Cambria Math" w:hAnsi="Cambria Math"/>
                <w:szCs w:val="24"/>
              </w:rPr>
            </m:ctrlPr>
          </m:e>
          <m:sub>
            <m:r>
              <m:rPr/>
              <w:rPr>
                <w:rFonts w:ascii="Cambria Math" w:hAnsi="Cambria Math"/>
              </w:rPr>
              <m:t>PKM,k</m:t>
            </m:r>
            <m:ctrlPr>
              <w:rPr>
                <w:rFonts w:ascii="Cambria Math" w:hAnsi="Cambria Math"/>
                <w:szCs w:val="24"/>
              </w:rPr>
            </m:ctrlPr>
          </m:sub>
        </m:sSub>
        <m:r>
          <m:rPr/>
          <w:rPr>
            <w:rFonts w:ascii="Cambria Math" w:hAnsi="Cambria Math"/>
            <w:szCs w:val="24"/>
          </w:rPr>
          <m:t>=</m:t>
        </m:r>
        <m:sSub>
          <m:sSubPr>
            <m:ctrlPr>
              <w:rPr>
                <w:rFonts w:ascii="Cambria Math" w:hAnsi="Cambria Math"/>
                <w:szCs w:val="24"/>
              </w:rPr>
            </m:ctrlPr>
          </m:sSubPr>
          <m:e>
            <m:r>
              <m:rPr/>
              <w:rPr>
                <w:rFonts w:ascii="Cambria Math" w:hAnsi="Cambria Math"/>
              </w:rPr>
              <m:t>EF</m:t>
            </m:r>
            <m:ctrlPr>
              <w:rPr>
                <w:rFonts w:ascii="Cambria Math" w:hAnsi="Cambria Math"/>
                <w:szCs w:val="24"/>
              </w:rPr>
            </m:ctrlPr>
          </m:e>
          <m:sub>
            <m:r>
              <m:rPr/>
              <w:rPr>
                <w:rFonts w:ascii="Cambria Math" w:hAnsi="Cambria Math"/>
              </w:rPr>
              <m:t>PKM,k,i</m:t>
            </m:r>
            <m:ctrlPr>
              <w:rPr>
                <w:rFonts w:ascii="Cambria Math" w:hAnsi="Cambria Math"/>
                <w:szCs w:val="24"/>
              </w:rPr>
            </m:ctrlPr>
          </m:sub>
        </m:sSub>
        <m:r>
          <m:rPr/>
          <w:rPr>
            <w:rFonts w:ascii="Cambria Math" w:hAnsi="Cambria Math"/>
            <w:szCs w:val="24"/>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i,y</m:t>
            </m:r>
            <m:ctrlPr>
              <w:rPr>
                <w:rFonts w:ascii="Cambria Math" w:hAnsi="Cambria Math"/>
                <w:i/>
              </w:rPr>
            </m:ctrlPr>
          </m:sub>
        </m:sSub>
      </m:oMath>
      <w:r>
        <w:rPr>
          <w:rFonts w:ascii="Cambria Math" w:hAnsi="Cambria Math"/>
        </w:rPr>
        <w:t>………………………………………………</w:t>
      </w:r>
      <w:r>
        <w:rPr>
          <w:rFonts w:hint="eastAsia" w:ascii="Cambria Math" w:hAnsi="Cambria Math"/>
        </w:rPr>
        <w:t>（</w:t>
      </w:r>
      <w:r>
        <w:rPr>
          <w:rFonts w:ascii="Cambria Math" w:hAnsi="Cambria Math"/>
        </w:rPr>
        <w:t>13</w:t>
      </w:r>
      <w:r>
        <w:rPr>
          <w:rFonts w:hint="eastAsia" w:ascii="Cambria Math" w:hAnsi="Cambria Math"/>
        </w:rPr>
        <w:t>）</w:t>
      </w:r>
    </w:p>
    <w:p w14:paraId="368E7B15">
      <w:pPr>
        <w:pStyle w:val="56"/>
        <w:ind w:firstLine="420"/>
      </w:pPr>
      <w:r>
        <w:rPr>
          <w:rFonts w:hint="eastAsia"/>
        </w:rPr>
        <w:t>式中：</w:t>
      </w:r>
    </w:p>
    <w:p w14:paraId="4571F54D">
      <w:pPr>
        <w:pStyle w:val="56"/>
        <w:ind w:firstLine="420"/>
        <w:rPr>
          <w:szCs w:val="24"/>
        </w:rPr>
      </w:pPr>
      <m:oMath>
        <m:sSub>
          <m:sSubPr>
            <m:ctrlPr>
              <w:rPr>
                <w:rFonts w:ascii="Cambria Math" w:hAnsi="Cambria Math"/>
                <w:szCs w:val="24"/>
              </w:rPr>
            </m:ctrlPr>
          </m:sSubPr>
          <m:e>
            <m:r>
              <m:rPr/>
              <w:rPr>
                <w:rFonts w:ascii="Cambria Math" w:hAnsi="Cambria Math"/>
              </w:rPr>
              <m:t>EF</m:t>
            </m:r>
            <m:ctrlPr>
              <w:rPr>
                <w:rFonts w:ascii="Cambria Math" w:hAnsi="Cambria Math"/>
                <w:szCs w:val="24"/>
              </w:rPr>
            </m:ctrlPr>
          </m:e>
          <m:sub>
            <m:r>
              <m:rPr/>
              <w:rPr>
                <w:rFonts w:ascii="Cambria Math" w:hAnsi="Cambria Math"/>
              </w:rPr>
              <m:t>PKM,k,i</m:t>
            </m:r>
            <m:ctrlPr>
              <w:rPr>
                <w:rFonts w:ascii="Cambria Math" w:hAnsi="Cambria Math"/>
                <w:szCs w:val="24"/>
              </w:rPr>
            </m:ctrlPr>
          </m:sub>
        </m:sSub>
      </m:oMath>
      <w:r>
        <w:rPr>
          <w:rFonts w:hint="eastAsia"/>
          <w:szCs w:val="24"/>
        </w:rPr>
        <w:t>：驾乘新能源小客车第i次出行的人公里排放因子；</w:t>
      </w:r>
    </w:p>
    <w:p w14:paraId="743E4660">
      <w:pPr>
        <w:pStyle w:val="229"/>
        <w:jc w:val="left"/>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i,y</m:t>
            </m:r>
            <m:ctrlPr>
              <w:rPr>
                <w:rFonts w:ascii="Cambria Math" w:hAnsi="Cambria Math"/>
                <w:i/>
              </w:rPr>
            </m:ctrlPr>
          </m:sub>
        </m:sSub>
      </m:oMath>
      <w:r>
        <w:rPr>
          <w:rFonts w:ascii="Times New Roman"/>
        </w:rPr>
        <w:t>——第y年第i次</w:t>
      </w:r>
      <w:r>
        <w:rPr>
          <w:rFonts w:hint="eastAsia" w:ascii="Times New Roman"/>
        </w:rPr>
        <w:t>新能源小客车</w:t>
      </w:r>
      <w:r>
        <w:rPr>
          <w:rFonts w:ascii="Times New Roman"/>
        </w:rPr>
        <w:t>合乘出行的人数；</w:t>
      </w:r>
    </w:p>
    <w:p w14:paraId="20CB8A37">
      <w:pPr>
        <w:pStyle w:val="229"/>
        <w:jc w:val="left"/>
        <w:rPr>
          <w:rFonts w:ascii="Times New Roman"/>
        </w:rPr>
      </w:pPr>
      <w:r>
        <w:rPr>
          <w:rFonts w:ascii="Times New Roman"/>
          <w:i/>
          <w:iCs/>
        </w:rPr>
        <w:t>k</w:t>
      </w:r>
      <w:r>
        <w:rPr>
          <w:rFonts w:ascii="Times New Roman"/>
        </w:rPr>
        <w:t>——合乘</w:t>
      </w:r>
      <w:r>
        <w:rPr>
          <w:rFonts w:hint="eastAsia" w:ascii="Times New Roman"/>
        </w:rPr>
        <w:t>新能源小客车的</w:t>
      </w:r>
      <w:r>
        <w:rPr>
          <w:rFonts w:ascii="Times New Roman"/>
        </w:rPr>
        <w:t>出行方式。</w:t>
      </w:r>
    </w:p>
    <w:p w14:paraId="2F955D22">
      <w:pPr>
        <w:pStyle w:val="229"/>
        <w:jc w:val="left"/>
        <w:rPr>
          <w:rFonts w:ascii="Times New Roman"/>
        </w:rPr>
      </w:pPr>
      <w:r>
        <w:rPr>
          <w:rFonts w:hint="eastAsia" w:ascii="Times New Roman"/>
        </w:rPr>
        <w:t>在情景C时，</w:t>
      </w:r>
      <w:r>
        <w:rPr>
          <w:rFonts w:hint="eastAsia" w:ascii="Times New Roman"/>
          <w:lang w:val="en-AU"/>
        </w:rPr>
        <w:t>合乘燃油/新能源小客车的人公里排放因子采用缺省值法，具体取值见附录</w:t>
      </w:r>
      <w:r>
        <w:rPr>
          <w:rFonts w:ascii="Times New Roman"/>
          <w:lang w:val="en-AU"/>
        </w:rPr>
        <w:t>B</w:t>
      </w:r>
      <w:r>
        <w:rPr>
          <w:rFonts w:hint="eastAsia" w:ascii="Times New Roman"/>
          <w:lang w:val="en-AU"/>
        </w:rPr>
        <w:t>。</w:t>
      </w:r>
    </w:p>
    <w:p w14:paraId="04AB4CFB">
      <w:pPr>
        <w:pStyle w:val="65"/>
        <w:spacing w:before="156" w:after="156"/>
      </w:pPr>
      <w:r>
        <w:rPr>
          <w:rFonts w:hint="eastAsia"/>
        </w:rPr>
        <w:t>绿色出行方式替代高排放出行的里程</w:t>
      </w:r>
    </w:p>
    <w:p w14:paraId="37DFD0A1">
      <w:pPr>
        <w:pStyle w:val="94"/>
        <w:spacing w:before="156" w:after="156"/>
      </w:pPr>
      <w:r>
        <w:rPr>
          <w:rFonts w:hint="eastAsia"/>
        </w:rPr>
        <w:t>乘坐公共汽电车、城市轨道交通出行的里程</w:t>
      </w:r>
    </w:p>
    <w:p w14:paraId="7A6B6110">
      <w:pPr>
        <w:pStyle w:val="56"/>
        <w:ind w:firstLine="420"/>
      </w:pPr>
      <w:r>
        <w:rPr>
          <w:rFonts w:hint="eastAsia"/>
        </w:rPr>
        <w:t>应根据票务系统获取准确的数据信息，识别和乘坐公共汽电车、城市轨道交通出行的出行方式和出行里程。在无法获得相关票务系统数据时，出行方式出行里程应基于在相关平台监测到的行驶轨迹</w:t>
      </w:r>
      <w:r>
        <w:rPr>
          <w:rFonts w:ascii="Cambria Math" w:hAnsi="Cambria Math" w:cs="Cambria Math"/>
        </w:rPr>
        <w:t>𝐿𝑠</w:t>
      </w:r>
      <w:r>
        <w:rPr>
          <w:rFonts w:hint="eastAsia"/>
        </w:rPr>
        <w:t>,</w:t>
      </w:r>
      <w:r>
        <w:rPr>
          <w:rFonts w:ascii="Cambria Math" w:hAnsi="Cambria Math" w:cs="Cambria Math"/>
        </w:rPr>
        <w:t>𝑖</w:t>
      </w:r>
      <w:r>
        <w:rPr>
          <w:rFonts w:hint="eastAsia"/>
        </w:rPr>
        <w:t>、</w:t>
      </w:r>
      <w:r>
        <w:rPr>
          <w:rFonts w:ascii="Cambria Math" w:hAnsi="Cambria Math" w:cs="Cambria Math"/>
        </w:rPr>
        <w:t>𝐿𝑐</w:t>
      </w:r>
      <w:r>
        <w:rPr>
          <w:rFonts w:hint="eastAsia"/>
        </w:rPr>
        <w:t>,</w:t>
      </w:r>
      <w:r>
        <w:rPr>
          <w:rFonts w:ascii="Cambria Math" w:hAnsi="Cambria Math" w:cs="Cambria Math"/>
        </w:rPr>
        <w:t>𝑖</w:t>
      </w:r>
      <w:r>
        <w:rPr>
          <w:rFonts w:hint="eastAsia"/>
        </w:rPr>
        <w:t>、</w:t>
      </w:r>
      <w:r>
        <w:rPr>
          <w:rFonts w:ascii="Cambria Math" w:hAnsi="Cambria Math" w:cs="Cambria Math"/>
        </w:rPr>
        <w:t>𝐿𝑒</w:t>
      </w:r>
      <w:r>
        <w:rPr>
          <w:rFonts w:hint="eastAsia"/>
        </w:rPr>
        <w:t>,</w:t>
      </w:r>
      <w:r>
        <w:rPr>
          <w:rFonts w:ascii="Cambria Math" w:hAnsi="Cambria Math" w:cs="Cambria Math"/>
        </w:rPr>
        <w:t>𝑖</w:t>
      </w:r>
      <w:r>
        <w:rPr>
          <w:rFonts w:hint="eastAsia"/>
        </w:rPr>
        <w:t>等数据，利用相关的方式识别算法和里程计算算法识别获得。</w:t>
      </w:r>
    </w:p>
    <w:p w14:paraId="70050097">
      <w:pPr>
        <w:pStyle w:val="56"/>
        <w:ind w:firstLine="420"/>
      </w:pPr>
      <w:r>
        <w:rPr>
          <w:rFonts w:hint="eastAsia"/>
        </w:rPr>
        <w:t>注：双次和单次刷卡方式所对应出行里程的监测方法见附录D。</w:t>
      </w:r>
    </w:p>
    <w:p w14:paraId="3B9072F4">
      <w:pPr>
        <w:pStyle w:val="94"/>
        <w:spacing w:before="156" w:after="156"/>
      </w:pPr>
      <w:r>
        <w:rPr>
          <w:rFonts w:hint="eastAsia"/>
        </w:rPr>
        <w:t>骑行的里程</w:t>
      </w:r>
    </w:p>
    <w:p w14:paraId="5865B98C">
      <w:pPr>
        <w:pStyle w:val="56"/>
        <w:ind w:firstLine="420"/>
      </w:pPr>
      <w:r>
        <w:rPr>
          <w:rFonts w:hint="eastAsia"/>
        </w:rPr>
        <w:t>应根据能够记录骑行订单信息的平台所采集的使用信息识别相应的出行方式和出行的里程。在无法获取相关信息时，应基于在相关平台监测到的行驶轨迹</w:t>
      </w:r>
      <w:r>
        <w:rPr>
          <w:rFonts w:ascii="Cambria Math" w:hAnsi="Cambria Math" w:cs="Cambria Math"/>
        </w:rPr>
        <w:t>𝐿𝑠</w:t>
      </w:r>
      <w:r>
        <w:rPr>
          <w:rFonts w:hint="eastAsia"/>
        </w:rPr>
        <w:t>,</w:t>
      </w:r>
      <w:r>
        <w:rPr>
          <w:rFonts w:ascii="Cambria Math" w:hAnsi="Cambria Math" w:cs="Cambria Math"/>
        </w:rPr>
        <w:t>𝑖</w:t>
      </w:r>
      <w:r>
        <w:rPr>
          <w:rFonts w:hint="eastAsia"/>
        </w:rPr>
        <w:t>、</w:t>
      </w:r>
      <w:r>
        <w:rPr>
          <w:rFonts w:ascii="Cambria Math" w:hAnsi="Cambria Math" w:cs="Cambria Math"/>
        </w:rPr>
        <w:t>𝐿𝑐</w:t>
      </w:r>
      <w:r>
        <w:rPr>
          <w:rFonts w:hint="eastAsia"/>
        </w:rPr>
        <w:t>,</w:t>
      </w:r>
      <w:r>
        <w:rPr>
          <w:rFonts w:ascii="Cambria Math" w:hAnsi="Cambria Math" w:cs="Cambria Math"/>
        </w:rPr>
        <w:t>𝑖</w:t>
      </w:r>
      <w:r>
        <w:rPr>
          <w:rFonts w:hint="eastAsia"/>
        </w:rPr>
        <w:t>、</w:t>
      </w:r>
      <w:r>
        <w:rPr>
          <w:rFonts w:ascii="Cambria Math" w:hAnsi="Cambria Math" w:cs="Cambria Math"/>
        </w:rPr>
        <w:t>𝐿𝑒</w:t>
      </w:r>
      <w:r>
        <w:rPr>
          <w:rFonts w:hint="eastAsia"/>
        </w:rPr>
        <w:t>,</w:t>
      </w:r>
      <w:r>
        <w:rPr>
          <w:rFonts w:ascii="Cambria Math" w:hAnsi="Cambria Math" w:cs="Cambria Math"/>
        </w:rPr>
        <w:t>𝑖</w:t>
      </w:r>
      <w:r>
        <w:rPr>
          <w:rFonts w:hint="eastAsia"/>
        </w:rPr>
        <w:t>等数据，利用相关的方式识别算法和里程计算算法识别获得。</w:t>
      </w:r>
    </w:p>
    <w:p w14:paraId="28D53FC5">
      <w:pPr>
        <w:pStyle w:val="94"/>
        <w:spacing w:before="156" w:after="156"/>
      </w:pPr>
      <w:r>
        <w:rPr>
          <w:rFonts w:hint="eastAsia"/>
        </w:rPr>
        <w:t>步行的人里程</w:t>
      </w:r>
    </w:p>
    <w:p w14:paraId="06B1C914">
      <w:pPr>
        <w:pStyle w:val="56"/>
        <w:ind w:firstLine="420"/>
      </w:pPr>
      <w:r>
        <w:rPr>
          <w:rFonts w:hint="eastAsia"/>
        </w:rPr>
        <w:t>应基于平台上的规划路径和实际监测到的出行轨迹</w:t>
      </w:r>
      <w:r>
        <w:rPr>
          <w:rFonts w:ascii="Cambria Math" w:hAnsi="Cambria Math" w:cs="Cambria Math"/>
        </w:rPr>
        <w:t>𝐿𝑠</w:t>
      </w:r>
      <w:r>
        <w:rPr>
          <w:rFonts w:hint="eastAsia"/>
        </w:rPr>
        <w:t>,</w:t>
      </w:r>
      <w:r>
        <w:rPr>
          <w:rFonts w:ascii="Cambria Math" w:hAnsi="Cambria Math" w:cs="Cambria Math"/>
        </w:rPr>
        <w:t>𝑖</w:t>
      </w:r>
      <w:r>
        <w:rPr>
          <w:rFonts w:hint="eastAsia"/>
        </w:rPr>
        <w:t>、</w:t>
      </w:r>
      <w:r>
        <w:rPr>
          <w:rFonts w:ascii="Cambria Math" w:hAnsi="Cambria Math" w:cs="Cambria Math"/>
        </w:rPr>
        <w:t>𝐿𝑐</w:t>
      </w:r>
      <w:r>
        <w:rPr>
          <w:rFonts w:hint="eastAsia"/>
        </w:rPr>
        <w:t>,</w:t>
      </w:r>
      <w:r>
        <w:rPr>
          <w:rFonts w:ascii="Cambria Math" w:hAnsi="Cambria Math" w:cs="Cambria Math"/>
        </w:rPr>
        <w:t>𝑖</w:t>
      </w:r>
      <w:r>
        <w:rPr>
          <w:rFonts w:hint="eastAsia"/>
        </w:rPr>
        <w:t>、</w:t>
      </w:r>
      <w:r>
        <w:rPr>
          <w:rFonts w:ascii="Cambria Math" w:hAnsi="Cambria Math" w:cs="Cambria Math"/>
        </w:rPr>
        <w:t>𝐿𝑒</w:t>
      </w:r>
      <w:r>
        <w:rPr>
          <w:rFonts w:hint="eastAsia"/>
        </w:rPr>
        <w:t>,</w:t>
      </w:r>
      <w:r>
        <w:rPr>
          <w:rFonts w:ascii="Cambria Math" w:hAnsi="Cambria Math" w:cs="Cambria Math"/>
        </w:rPr>
        <w:t>𝑖</w:t>
      </w:r>
      <w:r>
        <w:rPr>
          <w:rFonts w:hint="eastAsia"/>
        </w:rPr>
        <w:t>等数据，利用相关的方式识别算法和里程计算算法识别获得相应的出行方式和出行的里程。</w:t>
      </w:r>
    </w:p>
    <w:p w14:paraId="58B7A828">
      <w:pPr>
        <w:pStyle w:val="94"/>
        <w:spacing w:before="156" w:after="156"/>
      </w:pPr>
      <w:r>
        <w:rPr>
          <w:rFonts w:hint="eastAsia"/>
        </w:rPr>
        <w:t>驾乘新能源小客车出行的里程</w:t>
      </w:r>
    </w:p>
    <w:p w14:paraId="66CB4175">
      <w:pPr>
        <w:pStyle w:val="56"/>
        <w:ind w:firstLine="420"/>
      </w:pPr>
      <w:r>
        <w:rPr>
          <w:rFonts w:hint="eastAsia"/>
        </w:rPr>
        <w:t>应基于监测到的驾乘新能源小客车出行的行驶轨迹</w:t>
      </w:r>
      <w:r>
        <w:rPr>
          <w:rFonts w:ascii="Cambria Math" w:hAnsi="Cambria Math" w:cs="Cambria Math"/>
        </w:rPr>
        <w:t>𝐿𝑠</w:t>
      </w:r>
      <w:r>
        <w:rPr>
          <w:rFonts w:hint="eastAsia"/>
        </w:rPr>
        <w:t>,</w:t>
      </w:r>
      <w:r>
        <w:rPr>
          <w:rFonts w:ascii="Cambria Math" w:hAnsi="Cambria Math" w:cs="Cambria Math"/>
        </w:rPr>
        <w:t>𝑖</w:t>
      </w:r>
      <w:r>
        <w:rPr>
          <w:rFonts w:hint="eastAsia"/>
        </w:rPr>
        <w:t>、</w:t>
      </w:r>
      <w:r>
        <w:rPr>
          <w:rFonts w:ascii="Cambria Math" w:hAnsi="Cambria Math" w:cs="Cambria Math"/>
        </w:rPr>
        <w:t>𝐿𝑐</w:t>
      </w:r>
      <w:r>
        <w:rPr>
          <w:rFonts w:hint="eastAsia"/>
        </w:rPr>
        <w:t>,</w:t>
      </w:r>
      <w:r>
        <w:rPr>
          <w:rFonts w:ascii="Cambria Math" w:hAnsi="Cambria Math" w:cs="Cambria Math"/>
        </w:rPr>
        <w:t>𝑖</w:t>
      </w:r>
      <w:r>
        <w:rPr>
          <w:rFonts w:hint="eastAsia"/>
        </w:rPr>
        <w:t>、</w:t>
      </w:r>
      <w:r>
        <w:rPr>
          <w:rFonts w:ascii="Cambria Math" w:hAnsi="Cambria Math" w:cs="Cambria Math"/>
        </w:rPr>
        <w:t>𝐿𝑒</w:t>
      </w:r>
      <w:r>
        <w:rPr>
          <w:rFonts w:hint="eastAsia"/>
        </w:rPr>
        <w:t>,</w:t>
      </w:r>
      <w:r>
        <w:rPr>
          <w:rFonts w:ascii="Cambria Math" w:hAnsi="Cambria Math" w:cs="Cambria Math"/>
        </w:rPr>
        <w:t>𝑖</w:t>
      </w:r>
      <w:r>
        <w:rPr>
          <w:rFonts w:hint="eastAsia"/>
        </w:rPr>
        <w:t>等数据，利用相关的方式识别算法和里程计算算法识别获得相应的出行方式和出行的里程。</w:t>
      </w:r>
    </w:p>
    <w:p w14:paraId="2F8EF860">
      <w:pPr>
        <w:pStyle w:val="94"/>
        <w:spacing w:before="156" w:after="156"/>
      </w:pPr>
      <w:r>
        <w:rPr>
          <w:rFonts w:hint="eastAsia"/>
        </w:rPr>
        <w:t>自愿停驶后的出行里程</w:t>
      </w:r>
    </w:p>
    <w:p w14:paraId="3571CCC3">
      <w:pPr>
        <w:pStyle w:val="56"/>
        <w:ind w:firstLine="420"/>
        <w:rPr>
          <w:lang w:val="en-AU"/>
        </w:rPr>
      </w:pPr>
      <w:r>
        <w:rPr>
          <w:rFonts w:hint="eastAsia"/>
          <w:lang w:val="en-AU"/>
        </w:rPr>
        <w:t>应监测非限行日期内小微型客车停驶前后的里程表数据，从而识别停驶行为。在无法监测停驶前后的里程表数据时，应通过填写车牌号和发动机号，并提交停驶申请的方式，利用交通系统后台识别车牌号和发动机号的真实性和准确性以及车辆的状态。</w:t>
      </w:r>
    </w:p>
    <w:p w14:paraId="5EA08932">
      <w:pPr>
        <w:pStyle w:val="56"/>
        <w:ind w:firstLine="420"/>
        <w:rPr>
          <w:lang w:val="en-AU"/>
        </w:rPr>
      </w:pPr>
      <w:r>
        <w:rPr>
          <w:rFonts w:hint="eastAsia"/>
          <w:lang w:val="en-AU"/>
        </w:rPr>
        <w:t>自愿停驶后，选择其他绿色出行行为时，自愿停驶的出行里程计算公式见（</w:t>
      </w:r>
      <w:r>
        <w:rPr>
          <w:lang w:val="en-AU"/>
        </w:rPr>
        <w:t>14</w:t>
      </w:r>
      <w:r>
        <w:rPr>
          <w:rFonts w:hint="eastAsia"/>
          <w:lang w:val="en-AU"/>
        </w:rPr>
        <w:t>）。</w:t>
      </w:r>
    </w:p>
    <w:p w14:paraId="7768E2AF">
      <w:pPr>
        <w:pStyle w:val="56"/>
        <w:ind w:firstLine="420"/>
        <w:jc w:val="right"/>
        <w:rPr>
          <w:rFonts w:ascii="Cambria Math" w:hAnsi="Cambria Math"/>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r>
          <m:rPr>
            <m:sty m:val="p"/>
          </m:rPr>
          <w:rPr>
            <w:rFonts w:ascii="Cambria Math" w:hAnsi="Cambria Math"/>
            <w:szCs w:val="21"/>
          </w:rPr>
          <m:t>=</m:t>
        </m:r>
        <m:nary>
          <m:naryPr>
            <m:chr m:val="∑"/>
            <m:limLoc m:val="undOvr"/>
            <m:supHide m:val="1"/>
            <m:ctrlPr>
              <w:rPr>
                <w:rFonts w:ascii="Cambria Math" w:hAnsi="Cambria Math"/>
                <w:szCs w:val="21"/>
              </w:rPr>
            </m:ctrlPr>
          </m:naryPr>
          <m:sub>
            <m:r>
              <m:rPr/>
              <w:rPr>
                <w:rFonts w:ascii="Cambria Math" w:hAnsi="Cambria Math"/>
                <w:szCs w:val="21"/>
              </w:rPr>
              <m:t>k</m:t>
            </m:r>
            <m:ctrlPr>
              <w:rPr>
                <w:rFonts w:ascii="Cambria Math" w:hAnsi="Cambria Math"/>
                <w:szCs w:val="21"/>
              </w:rPr>
            </m:ctrlPr>
          </m:sub>
          <m:sup>
            <m:ctrlPr>
              <w:rPr>
                <w:rFonts w:ascii="Cambria Math" w:hAnsi="Cambria Math"/>
                <w:szCs w:val="21"/>
              </w:rPr>
            </m:ctrlPr>
          </m:sup>
          <m:e>
            <m:d>
              <m:dPr>
                <m:ctrlPr>
                  <w:rPr>
                    <w:rFonts w:ascii="Cambria Math" w:hAnsi="Cambria Math"/>
                    <w:szCs w:val="21"/>
                  </w:rPr>
                </m:ctrlPr>
              </m:dPr>
              <m:e>
                <m:sSub>
                  <m:sSubPr>
                    <m:ctrlPr>
                      <w:rPr>
                        <w:rFonts w:ascii="Cambria Math" w:hAnsi="Cambria Math"/>
                        <w:i/>
                        <w:szCs w:val="24"/>
                      </w:rPr>
                    </m:ctrlPr>
                  </m:sSubPr>
                  <m:e>
                    <m:r>
                      <m:rPr/>
                      <w:rPr>
                        <w:rFonts w:ascii="Cambria Math" w:hAnsi="Cambria Math"/>
                      </w:rPr>
                      <m:t>D</m:t>
                    </m:r>
                    <m:ctrlPr>
                      <w:rPr>
                        <w:rFonts w:ascii="Cambria Math" w:hAnsi="Cambria Math"/>
                        <w:i/>
                        <w:szCs w:val="24"/>
                      </w:rPr>
                    </m:ctrlPr>
                  </m:e>
                  <m:sub>
                    <m:r>
                      <m:rPr/>
                      <w:rPr>
                        <w:rFonts w:ascii="Cambria Math" w:hAnsi="Cambria Math"/>
                      </w:rPr>
                      <m:t>k,y</m:t>
                    </m:r>
                    <m:ctrlPr>
                      <w:rPr>
                        <w:rFonts w:ascii="Cambria Math" w:hAnsi="Cambria Math"/>
                        <w:i/>
                        <w:szCs w:val="24"/>
                      </w:rPr>
                    </m:ctrlPr>
                  </m:sub>
                </m:sSub>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P</m:t>
                    </m:r>
                    <m:ctrlPr>
                      <w:rPr>
                        <w:rFonts w:ascii="Cambria Math" w:hAnsi="Cambria Math"/>
                        <w:szCs w:val="21"/>
                      </w:rPr>
                    </m:ctrlPr>
                  </m:e>
                  <m:sub>
                    <m:r>
                      <m:rPr/>
                      <w:rPr>
                        <w:rFonts w:ascii="Cambria Math" w:hAnsi="Cambria Math"/>
                        <w:szCs w:val="21"/>
                      </w:rPr>
                      <m:t>k</m:t>
                    </m:r>
                    <m:r>
                      <m:rPr>
                        <m:sty m:val="p"/>
                      </m:rPr>
                      <w:rPr>
                        <w:rFonts w:ascii="Cambria Math" w:hAnsi="Cambria Math"/>
                        <w:szCs w:val="21"/>
                      </w:rPr>
                      <m:t>,</m:t>
                    </m:r>
                    <m:r>
                      <m:rPr/>
                      <w:rPr>
                        <w:rFonts w:ascii="Cambria Math" w:hAnsi="Cambria Math"/>
                        <w:szCs w:val="21"/>
                      </w:rPr>
                      <m:t>y</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nary>
        <m:r>
          <m:rPr>
            <m:sty m:val="p"/>
          </m:rPr>
          <w:rPr>
            <w:rFonts w:ascii="Cambria Math" w:hAnsi="Cambria Math"/>
            <w:szCs w:val="21"/>
          </w:rPr>
          <m:t>/</m:t>
        </m:r>
        <m:nary>
          <m:naryPr>
            <m:chr m:val="∑"/>
            <m:limLoc m:val="subSup"/>
            <m:supHide m:val="1"/>
            <m:ctrlPr>
              <w:rPr>
                <w:rFonts w:ascii="Cambria Math" w:hAnsi="Cambria Math"/>
                <w:szCs w:val="21"/>
              </w:rPr>
            </m:ctrlPr>
          </m:naryPr>
          <m:sub>
            <m:r>
              <m:rPr/>
              <w:rPr>
                <w:rFonts w:ascii="Cambria Math" w:hAnsi="Cambria Math"/>
                <w:szCs w:val="21"/>
              </w:rPr>
              <m:t>k</m:t>
            </m:r>
            <m:ctrlPr>
              <w:rPr>
                <w:rFonts w:ascii="Cambria Math" w:hAnsi="Cambria Math"/>
                <w:szCs w:val="21"/>
              </w:rPr>
            </m:ctrlPr>
          </m:sub>
          <m:sup>
            <m:ctrlPr>
              <w:rPr>
                <w:rFonts w:ascii="Cambria Math" w:hAnsi="Cambria Math"/>
                <w:szCs w:val="21"/>
              </w:rPr>
            </m:ctrlPr>
          </m:sup>
          <m:e>
            <m:d>
              <m:dPr>
                <m:ctrlPr>
                  <w:rPr>
                    <w:rFonts w:ascii="Cambria Math" w:hAnsi="Cambria Math"/>
                    <w:szCs w:val="21"/>
                  </w:rPr>
                </m:ctrlPr>
              </m:dPr>
              <m:e>
                <m:sSub>
                  <m:sSubPr>
                    <m:ctrlPr>
                      <w:rPr>
                        <w:rFonts w:ascii="Cambria Math" w:hAnsi="Cambria Math"/>
                        <w:szCs w:val="21"/>
                      </w:rPr>
                    </m:ctrlPr>
                  </m:sSubPr>
                  <m:e>
                    <m:r>
                      <m:rPr/>
                      <w:rPr>
                        <w:rFonts w:ascii="Cambria Math" w:hAnsi="Cambria Math"/>
                        <w:szCs w:val="21"/>
                      </w:rPr>
                      <m:t>P</m:t>
                    </m:r>
                    <m:ctrlPr>
                      <w:rPr>
                        <w:rFonts w:ascii="Cambria Math" w:hAnsi="Cambria Math"/>
                        <w:szCs w:val="21"/>
                      </w:rPr>
                    </m:ctrlPr>
                  </m:e>
                  <m:sub>
                    <m:r>
                      <m:rPr/>
                      <w:rPr>
                        <w:rFonts w:ascii="Cambria Math" w:hAnsi="Cambria Math"/>
                        <w:szCs w:val="21"/>
                      </w:rPr>
                      <m:t>k</m:t>
                    </m:r>
                    <m:r>
                      <m:rPr>
                        <m:sty m:val="p"/>
                      </m:rPr>
                      <w:rPr>
                        <w:rFonts w:ascii="Cambria Math" w:hAnsi="Cambria Math"/>
                        <w:szCs w:val="21"/>
                      </w:rPr>
                      <m:t>,</m:t>
                    </m:r>
                    <m:r>
                      <m:rPr/>
                      <w:rPr>
                        <w:rFonts w:ascii="Cambria Math" w:hAnsi="Cambria Math"/>
                        <w:szCs w:val="21"/>
                      </w:rPr>
                      <m:t>y</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nary>
      </m:oMath>
      <w:r>
        <w:rPr>
          <w:rFonts w:ascii="Cambria Math" w:hAnsi="Cambria Math"/>
        </w:rPr>
        <w:t>………………………………………………</w:t>
      </w:r>
      <w:r>
        <w:rPr>
          <w:rFonts w:hint="eastAsia" w:ascii="Cambria Math" w:hAnsi="Cambria Math"/>
        </w:rPr>
        <w:t>（</w:t>
      </w:r>
      <w:r>
        <w:rPr>
          <w:rFonts w:ascii="Cambria Math" w:hAnsi="Cambria Math"/>
        </w:rPr>
        <w:t>14</w:t>
      </w:r>
      <w:r>
        <w:rPr>
          <w:rFonts w:hint="eastAsia" w:ascii="Cambria Math" w:hAnsi="Cambria Math"/>
        </w:rPr>
        <w:t>）</w:t>
      </w:r>
    </w:p>
    <w:p w14:paraId="7BB7A5C4">
      <w:pPr>
        <w:pStyle w:val="56"/>
        <w:ind w:firstLine="420"/>
        <w:jc w:val="left"/>
        <w:rPr>
          <w:rFonts w:ascii="Cambria Math" w:hAnsi="Cambria Math"/>
        </w:rPr>
      </w:pPr>
      <w:r>
        <w:rPr>
          <w:rFonts w:hint="eastAsia" w:ascii="Cambria Math" w:hAnsi="Cambria Math"/>
        </w:rPr>
        <w:t>式中：</w:t>
      </w:r>
    </w:p>
    <w:p w14:paraId="28970D74">
      <w:pPr>
        <w:pStyle w:val="56"/>
        <w:ind w:firstLine="420"/>
        <w:jc w:val="left"/>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r>
        <w:rPr>
          <w:rFonts w:hint="eastAsia"/>
        </w:rPr>
        <w:t>——第i次自愿停驶的出行里程，单位为公里（km）；</w:t>
      </w:r>
    </w:p>
    <w:p w14:paraId="2593BBBC">
      <w:pPr>
        <w:pStyle w:val="56"/>
        <w:ind w:firstLine="420"/>
        <w:jc w:val="left"/>
        <w:rPr>
          <w:szCs w:val="24"/>
        </w:rPr>
      </w:pPr>
      <m:oMath>
        <m:sSub>
          <m:sSubPr>
            <m:ctrlPr>
              <w:rPr>
                <w:rFonts w:ascii="Cambria Math" w:hAnsi="Cambria Math"/>
                <w:i/>
                <w:szCs w:val="24"/>
              </w:rPr>
            </m:ctrlPr>
          </m:sSubPr>
          <m:e>
            <m:r>
              <m:rPr/>
              <w:rPr>
                <w:rFonts w:ascii="Cambria Math" w:hAnsi="Cambria Math"/>
              </w:rPr>
              <m:t>D</m:t>
            </m:r>
            <m:ctrlPr>
              <w:rPr>
                <w:rFonts w:ascii="Cambria Math" w:hAnsi="Cambria Math"/>
                <w:i/>
                <w:szCs w:val="24"/>
              </w:rPr>
            </m:ctrlPr>
          </m:e>
          <m:sub>
            <m:r>
              <m:rPr/>
              <w:rPr>
                <w:rFonts w:ascii="Cambria Math" w:hAnsi="Cambria Math"/>
              </w:rPr>
              <m:t>k,y</m:t>
            </m:r>
            <m:ctrlPr>
              <w:rPr>
                <w:rFonts w:ascii="Cambria Math" w:hAnsi="Cambria Math"/>
                <w:i/>
                <w:szCs w:val="24"/>
              </w:rPr>
            </m:ctrlPr>
          </m:sub>
        </m:sSub>
      </m:oMath>
      <w:r>
        <w:rPr>
          <w:rFonts w:hint="eastAsia"/>
          <w:szCs w:val="24"/>
        </w:rPr>
        <w:t>——基础年每一种绿色出行方式的人均单次出行距离，单位为公里（km）；</w:t>
      </w:r>
    </w:p>
    <w:p w14:paraId="134D4069">
      <w:pPr>
        <w:pStyle w:val="56"/>
        <w:ind w:firstLine="420"/>
        <w:jc w:val="left"/>
        <w:rPr>
          <w:szCs w:val="21"/>
        </w:rPr>
      </w:pPr>
      <m:oMath>
        <m:sSub>
          <m:sSubPr>
            <m:ctrlPr>
              <w:rPr>
                <w:rFonts w:ascii="Cambria Math" w:hAnsi="Cambria Math"/>
                <w:szCs w:val="21"/>
              </w:rPr>
            </m:ctrlPr>
          </m:sSubPr>
          <m:e>
            <m:r>
              <m:rPr/>
              <w:rPr>
                <w:rFonts w:ascii="Cambria Math" w:hAnsi="Cambria Math"/>
                <w:szCs w:val="21"/>
              </w:rPr>
              <m:t>P</m:t>
            </m:r>
            <m:ctrlPr>
              <w:rPr>
                <w:rFonts w:ascii="Cambria Math" w:hAnsi="Cambria Math"/>
                <w:szCs w:val="21"/>
              </w:rPr>
            </m:ctrlPr>
          </m:e>
          <m:sub>
            <m:r>
              <m:rPr/>
              <w:rPr>
                <w:rFonts w:ascii="Cambria Math" w:hAnsi="Cambria Math"/>
                <w:szCs w:val="21"/>
              </w:rPr>
              <m:t>k</m:t>
            </m:r>
            <m:r>
              <m:rPr>
                <m:sty m:val="p"/>
              </m:rPr>
              <w:rPr>
                <w:rFonts w:ascii="Cambria Math" w:hAnsi="Cambria Math"/>
                <w:szCs w:val="21"/>
              </w:rPr>
              <m:t>,</m:t>
            </m:r>
            <m:r>
              <m:rPr/>
              <w:rPr>
                <w:rFonts w:ascii="Cambria Math" w:hAnsi="Cambria Math"/>
                <w:szCs w:val="21"/>
              </w:rPr>
              <m:t>y</m:t>
            </m:r>
            <m:ctrlPr>
              <w:rPr>
                <w:rFonts w:ascii="Cambria Math" w:hAnsi="Cambria Math"/>
                <w:szCs w:val="21"/>
              </w:rPr>
            </m:ctrlPr>
          </m:sub>
        </m:sSub>
      </m:oMath>
      <w:r>
        <w:rPr>
          <w:rFonts w:hint="eastAsia"/>
          <w:szCs w:val="21"/>
        </w:rPr>
        <w:t>——基础年每一种绿色出行方式的年出行总量，单位为次数（次）；</w:t>
      </w:r>
    </w:p>
    <w:p w14:paraId="69D54B8C">
      <w:pPr>
        <w:pStyle w:val="56"/>
        <w:ind w:firstLine="420"/>
        <w:jc w:val="left"/>
        <w:rPr>
          <w:lang w:val="en-AU"/>
        </w:rPr>
      </w:pPr>
      <m:oMath>
        <m:r>
          <m:rPr/>
          <w:rPr>
            <w:rFonts w:ascii="Cambria Math" w:hAnsi="Cambria Math"/>
            <w:szCs w:val="21"/>
          </w:rPr>
          <m:t>k</m:t>
        </m:r>
      </m:oMath>
      <w:r>
        <w:rPr>
          <w:rFonts w:hint="eastAsia"/>
          <w:iCs/>
          <w:szCs w:val="21"/>
        </w:rPr>
        <w:t>——绿色出行方式，可选择为自愿停驶。</w:t>
      </w:r>
    </w:p>
    <w:p w14:paraId="47CFE568">
      <w:pPr>
        <w:pStyle w:val="180"/>
        <w:rPr>
          <w:lang w:val="en-AU"/>
        </w:rPr>
      </w:pPr>
      <w:r>
        <w:rPr>
          <w:rFonts w:hint="eastAsia"/>
          <w:lang w:val="en-AU"/>
        </w:rPr>
        <w:t>自愿停驶的人公里排放因子和出行里程的监测方法见附录</w:t>
      </w:r>
      <w:r>
        <w:rPr>
          <w:lang w:val="en-AU"/>
        </w:rPr>
        <w:t>E</w:t>
      </w:r>
      <w:r>
        <w:rPr>
          <w:rFonts w:hint="eastAsia"/>
          <w:lang w:val="en-AU"/>
        </w:rPr>
        <w:t>。</w:t>
      </w:r>
    </w:p>
    <w:p w14:paraId="2EB32157">
      <w:pPr>
        <w:pStyle w:val="94"/>
        <w:spacing w:before="156" w:after="156"/>
      </w:pPr>
      <w:r>
        <w:rPr>
          <w:rFonts w:hint="eastAsia"/>
        </w:rPr>
        <w:t>合乘燃油/新能源小客车出行的里程</w:t>
      </w:r>
    </w:p>
    <w:p w14:paraId="68B36855">
      <w:pPr>
        <w:pStyle w:val="56"/>
        <w:ind w:firstLine="420"/>
      </w:pPr>
      <w:r>
        <w:rPr>
          <w:rFonts w:hint="eastAsia"/>
        </w:rPr>
        <w:t>应基于能够记录合乘相关订单信息的平台所采集的使用信息识别相应的出行方式和出行的里程。</w:t>
      </w:r>
    </w:p>
    <w:p w14:paraId="3E06D453">
      <w:pPr>
        <w:pStyle w:val="105"/>
        <w:spacing w:before="156" w:after="156"/>
      </w:pPr>
      <w:bookmarkStart w:id="80" w:name="_Toc130559567"/>
      <w:bookmarkStart w:id="81" w:name="_Toc131518020"/>
      <w:bookmarkStart w:id="82" w:name="_Toc130559699"/>
      <w:r>
        <w:rPr>
          <w:rFonts w:hint="eastAsia"/>
        </w:rPr>
        <w:t>泄露量</w:t>
      </w:r>
      <w:bookmarkEnd w:id="80"/>
      <w:bookmarkEnd w:id="81"/>
      <w:bookmarkEnd w:id="82"/>
    </w:p>
    <w:p w14:paraId="0D674B06">
      <w:pPr>
        <w:pStyle w:val="229"/>
        <w:ind w:firstLine="431" w:firstLineChars="0"/>
        <w:rPr>
          <w:lang w:val="en-AU"/>
        </w:rPr>
      </w:pPr>
      <w:r>
        <w:rPr>
          <w:rFonts w:hint="eastAsia"/>
          <w:lang w:val="en-AU"/>
        </w:rPr>
        <w:t>不考虑对边界外温室气体排放的影响，泄漏量计算公式见式（</w:t>
      </w:r>
      <w:r>
        <w:rPr>
          <w:lang w:val="en-AU"/>
        </w:rPr>
        <w:t>15</w:t>
      </w:r>
      <w:r>
        <w:rPr>
          <w:rFonts w:hint="eastAsia"/>
          <w:lang w:val="en-AU"/>
        </w:rPr>
        <w:t>）。</w:t>
      </w:r>
    </w:p>
    <w:p w14:paraId="1E4873B1">
      <w:pPr>
        <w:pStyle w:val="229"/>
        <w:ind w:firstLine="431" w:firstLineChars="0"/>
        <w:jc w:val="right"/>
        <w:rPr>
          <w:rFonts w:ascii="Cambria Math" w:hAnsi="Cambria Math"/>
        </w:rPr>
      </w:pPr>
      <m:oMath>
        <m:sSub>
          <m:sSubPr>
            <m:ctrlPr>
              <w:rPr>
                <w:rFonts w:ascii="Cambria Math" w:hAnsi="Cambria Math"/>
                <w:i/>
              </w:rPr>
            </m:ctrlPr>
          </m:sSubPr>
          <m:e>
            <m:r>
              <m:rPr/>
              <w:rPr>
                <w:rFonts w:ascii="Cambria Math" w:hAnsi="Cambria Math"/>
                <w:lang w:val="en-AU"/>
              </w:rPr>
              <m:t>L</m:t>
            </m:r>
            <m:r>
              <m:rPr/>
              <w:rPr>
                <w:rFonts w:ascii="Cambria Math" w:hAnsi="Cambria Math"/>
              </w:rPr>
              <m:t>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lang w:val="en-AU"/>
          </w:rPr>
          <m:t>=0</m:t>
        </m:r>
      </m:oMath>
      <w:r>
        <w:rPr>
          <w:rFonts w:ascii="Cambria Math" w:hAnsi="Cambria Math"/>
        </w:rPr>
        <w:t>………………………………………………………</w:t>
      </w:r>
      <w:r>
        <w:rPr>
          <w:rFonts w:hint="eastAsia" w:ascii="Cambria Math" w:hAnsi="Cambria Math"/>
        </w:rPr>
        <w:t>（</w:t>
      </w:r>
      <w:r>
        <w:rPr>
          <w:rFonts w:ascii="Cambria Math" w:hAnsi="Cambria Math"/>
        </w:rPr>
        <w:t>15</w:t>
      </w:r>
      <w:r>
        <w:rPr>
          <w:rFonts w:hint="eastAsia" w:ascii="Cambria Math" w:hAnsi="Cambria Math"/>
        </w:rPr>
        <w:t>）</w:t>
      </w:r>
    </w:p>
    <w:p w14:paraId="17C4B2AF">
      <w:pPr>
        <w:pStyle w:val="229"/>
        <w:jc w:val="left"/>
        <w:rPr>
          <w:lang w:val="en-AU"/>
        </w:rPr>
      </w:pPr>
      <w:r>
        <w:rPr>
          <w:rFonts w:hint="eastAsia"/>
          <w:lang w:val="en-AU"/>
        </w:rPr>
        <w:t>式中：</w:t>
      </w:r>
    </w:p>
    <w:p w14:paraId="34E22122">
      <w:pPr>
        <w:pStyle w:val="229"/>
        <w:ind w:firstLine="431" w:firstLineChars="0"/>
        <w:jc w:val="left"/>
        <w:rPr>
          <w:lang w:val="en-AU"/>
        </w:rPr>
      </w:pPr>
      <m:oMath>
        <m:sSub>
          <m:sSubPr>
            <m:ctrlPr>
              <w:rPr>
                <w:rFonts w:ascii="Cambria Math" w:hAnsi="Cambria Math"/>
                <w:i/>
              </w:rPr>
            </m:ctrlPr>
          </m:sSubPr>
          <m:e>
            <m:r>
              <m:rPr/>
              <w:rPr>
                <w:rFonts w:ascii="Cambria Math" w:hAnsi="Cambria Math"/>
                <w:lang w:val="en-AU"/>
              </w:rPr>
              <m:t>L</m:t>
            </m:r>
            <m:r>
              <m:rPr/>
              <w:rPr>
                <w:rFonts w:ascii="Cambria Math" w:hAnsi="Cambria Math"/>
              </w:rPr>
              <m:t>E</m:t>
            </m:r>
            <m:ctrlPr>
              <w:rPr>
                <w:rFonts w:ascii="Cambria Math" w:hAnsi="Cambria Math"/>
                <w:i/>
              </w:rPr>
            </m:ctrlPr>
          </m:e>
          <m:sub>
            <m:r>
              <m:rPr/>
              <w:rPr>
                <w:rFonts w:ascii="Cambria Math" w:hAnsi="Cambria Math"/>
              </w:rPr>
              <m:t>y</m:t>
            </m:r>
            <m:ctrlPr>
              <w:rPr>
                <w:rFonts w:ascii="Cambria Math" w:hAnsi="Cambria Math"/>
                <w:i/>
              </w:rPr>
            </m:ctrlPr>
          </m:sub>
        </m:sSub>
      </m:oMath>
      <w:r>
        <w:t>——</w:t>
      </w:r>
      <w:r>
        <w:rPr>
          <w:rFonts w:hint="eastAsia"/>
        </w:rPr>
        <w:t>第y年泄漏量，单位为</w:t>
      </w:r>
      <w:r>
        <w:rPr>
          <w:rFonts w:ascii="Times New Roman"/>
          <w:lang w:val="en-AU"/>
        </w:rPr>
        <w:t>吨二氧化碳（tCO</w:t>
      </w:r>
      <w:r>
        <w:rPr>
          <w:rFonts w:ascii="Times New Roman"/>
          <w:vertAlign w:val="subscript"/>
          <w:lang w:val="en-AU"/>
        </w:rPr>
        <w:t>2</w:t>
      </w:r>
      <w:r>
        <w:rPr>
          <w:rFonts w:ascii="Times New Roman"/>
          <w:lang w:val="en-AU"/>
        </w:rPr>
        <w:t>）</w:t>
      </w:r>
      <w:r>
        <w:rPr>
          <w:rFonts w:hint="eastAsia" w:ascii="Times New Roman"/>
          <w:lang w:val="en-AU"/>
        </w:rPr>
        <w:t>。</w:t>
      </w:r>
    </w:p>
    <w:p w14:paraId="481373F4">
      <w:pPr>
        <w:pStyle w:val="105"/>
        <w:spacing w:before="156" w:after="156"/>
      </w:pPr>
      <w:bookmarkStart w:id="83" w:name="_Toc130559568"/>
      <w:bookmarkStart w:id="84" w:name="_Toc130559700"/>
      <w:bookmarkStart w:id="85" w:name="_Toc131518021"/>
      <w:r>
        <w:rPr>
          <w:rFonts w:hint="eastAsia"/>
        </w:rPr>
        <w:t>碳减排量</w:t>
      </w:r>
      <w:bookmarkEnd w:id="83"/>
      <w:bookmarkEnd w:id="84"/>
      <w:bookmarkEnd w:id="85"/>
    </w:p>
    <w:p w14:paraId="6C70FC91">
      <w:pPr>
        <w:pStyle w:val="56"/>
        <w:ind w:firstLine="420"/>
      </w:pPr>
      <w:r>
        <w:rPr>
          <w:rFonts w:hint="eastAsia"/>
        </w:rPr>
        <w:t>碳减排量计算公式见式（</w:t>
      </w:r>
      <w:r>
        <w:t>16</w:t>
      </w:r>
      <w:r>
        <w:rPr>
          <w:rFonts w:hint="eastAsia"/>
        </w:rPr>
        <w:t>）。</w:t>
      </w:r>
    </w:p>
    <w:p w14:paraId="2001F626">
      <w:pPr>
        <w:pStyle w:val="113"/>
      </w:pPr>
      <w:r>
        <w:tab/>
      </w: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hint="eastAsia"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lang w:val="en-AU"/>
              </w:rPr>
              <m:t>L</m:t>
            </m:r>
            <m:r>
              <m:rPr/>
              <w:rPr>
                <w:rFonts w:ascii="Cambria Math" w:hAnsi="Cambria Math"/>
              </w:rPr>
              <m:t>E</m:t>
            </m:r>
            <m:ctrlPr>
              <w:rPr>
                <w:rFonts w:ascii="Cambria Math" w:hAnsi="Cambria Math"/>
                <w:i/>
              </w:rPr>
            </m:ctrlPr>
          </m:e>
          <m:sub>
            <m:r>
              <m:rPr/>
              <w:rPr>
                <w:rFonts w:ascii="Cambria Math" w:hAnsi="Cambria Math"/>
              </w:rPr>
              <m:t>y</m:t>
            </m:r>
            <m:ctrlPr>
              <w:rPr>
                <w:rFonts w:ascii="Cambria Math" w:hAnsi="Cambria Math"/>
                <w:i/>
              </w:rPr>
            </m:ctrlPr>
          </m:sub>
        </m:sSub>
      </m:oMath>
      <w:r>
        <w:rPr>
          <w:rFonts w:ascii="微软雅黑" w:hAnsi="微软雅黑" w:eastAsia="微软雅黑"/>
        </w:rPr>
        <w:tab/>
      </w:r>
      <w:r>
        <w:t>(16)</w:t>
      </w:r>
    </w:p>
    <w:p w14:paraId="1D2BDB99">
      <w:pPr>
        <w:pStyle w:val="55"/>
        <w:ind w:firstLine="420"/>
      </w:pPr>
      <w:r>
        <w:rPr>
          <w:rFonts w:hint="eastAsia"/>
        </w:rPr>
        <w:t>式中：</w:t>
      </w:r>
    </w:p>
    <w:p w14:paraId="3A3D314D">
      <w:pPr>
        <w:pStyle w:val="229"/>
        <w:rPr>
          <w:rFonts w:ascii="Times New Roman"/>
          <w:iCs/>
        </w:rPr>
      </w:pPr>
      <m:oMath>
        <m:sSub>
          <m:sSubPr>
            <m:ctrlPr>
              <w:rPr>
                <w:rFonts w:ascii="Cambria Math" w:hAnsi="Cambria Math"/>
                <w:i/>
              </w:rPr>
            </m:ctrlPr>
          </m:sSubPr>
          <m:e>
            <m:r>
              <m:rPr/>
              <w:rPr>
                <w:rFonts w:ascii="Cambria Math" w:hAnsi="Cambria Math"/>
              </w:rPr>
              <m:t>ER</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hAnsi="宋体"/>
        </w:rPr>
        <w:t>——</w:t>
      </w:r>
      <w:r>
        <w:rPr>
          <w:rFonts w:hint="eastAsia"/>
          <w:iCs/>
        </w:rPr>
        <w:t>为第y年碳减排量，</w:t>
      </w:r>
      <w:r>
        <w:rPr>
          <w:rFonts w:ascii="Times New Roman"/>
          <w:iCs/>
        </w:rPr>
        <w:t>单位为</w:t>
      </w:r>
      <w:r>
        <w:rPr>
          <w:rFonts w:ascii="Times New Roman"/>
          <w:lang w:val="en-AU"/>
        </w:rPr>
        <w:t>吨二氧化碳</w:t>
      </w:r>
      <w:r>
        <w:rPr>
          <w:rFonts w:ascii="Times New Roman"/>
          <w:iCs/>
        </w:rPr>
        <w:t>（tCO</w:t>
      </w:r>
      <w:r>
        <w:rPr>
          <w:rFonts w:ascii="Times New Roman"/>
          <w:iCs/>
          <w:vertAlign w:val="subscript"/>
        </w:rPr>
        <w:t>2</w:t>
      </w:r>
      <w:r>
        <w:rPr>
          <w:rFonts w:ascii="Times New Roman"/>
          <w:iCs/>
        </w:rPr>
        <w:t>）；</w:t>
      </w:r>
    </w:p>
    <w:p w14:paraId="1F8F5A0F">
      <w:pPr>
        <w:pStyle w:val="229"/>
        <w:rPr>
          <w:rFonts w:ascii="Times New Roman"/>
          <w:iCs/>
        </w:rPr>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r>
        <w:rPr>
          <w:rFonts w:ascii="Times New Roman"/>
        </w:rPr>
        <w:t>——</w:t>
      </w:r>
      <w:r>
        <w:rPr>
          <w:rFonts w:ascii="Times New Roman"/>
          <w:iCs/>
        </w:rPr>
        <w:t>为</w:t>
      </w:r>
      <w:r>
        <w:rPr>
          <w:rFonts w:hint="eastAsia" w:ascii="Times New Roman"/>
          <w:iCs/>
        </w:rPr>
        <w:t>第</w:t>
      </w:r>
      <w:r>
        <w:rPr>
          <w:rFonts w:ascii="Times New Roman"/>
          <w:iCs/>
        </w:rPr>
        <w:t>y年基准</w:t>
      </w:r>
      <w:r>
        <w:rPr>
          <w:rFonts w:hint="eastAsia" w:ascii="Times New Roman"/>
          <w:iCs/>
        </w:rPr>
        <w:t>高排放行为</w:t>
      </w:r>
      <w:r>
        <w:rPr>
          <w:rFonts w:ascii="Times New Roman"/>
          <w:iCs/>
        </w:rPr>
        <w:t>碳排放量，单位为</w:t>
      </w:r>
      <w:r>
        <w:rPr>
          <w:rFonts w:ascii="Times New Roman"/>
          <w:lang w:val="en-AU"/>
        </w:rPr>
        <w:t>吨二氧化碳</w:t>
      </w:r>
      <w:r>
        <w:rPr>
          <w:rFonts w:ascii="Times New Roman"/>
          <w:iCs/>
        </w:rPr>
        <w:t>（tCO</w:t>
      </w:r>
      <w:r>
        <w:rPr>
          <w:rFonts w:ascii="Times New Roman"/>
          <w:iCs/>
          <w:vertAlign w:val="subscript"/>
        </w:rPr>
        <w:t>2</w:t>
      </w:r>
      <w:r>
        <w:rPr>
          <w:rFonts w:ascii="Times New Roman"/>
          <w:iCs/>
        </w:rPr>
        <w:t>）；</w:t>
      </w:r>
    </w:p>
    <w:p w14:paraId="196D4FF7">
      <w:pPr>
        <w:pStyle w:val="229"/>
        <w:ind w:firstLineChars="0"/>
        <w:rPr>
          <w:rFonts w:ascii="Times New Roman"/>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ascii="Times New Roman"/>
        </w:rPr>
        <w:t>——为</w:t>
      </w:r>
      <w:r>
        <w:rPr>
          <w:rFonts w:hint="eastAsia" w:ascii="Times New Roman"/>
        </w:rPr>
        <w:t>第</w:t>
      </w:r>
      <w:r>
        <w:rPr>
          <w:rFonts w:ascii="Times New Roman"/>
        </w:rPr>
        <w:t>y年</w:t>
      </w:r>
      <w:r>
        <w:rPr>
          <w:rFonts w:hint="eastAsia" w:ascii="Times New Roman"/>
        </w:rPr>
        <w:t>绿色出行行为</w:t>
      </w:r>
      <w:r>
        <w:rPr>
          <w:rFonts w:ascii="Times New Roman"/>
        </w:rPr>
        <w:t>碳排放量，单位为</w:t>
      </w:r>
      <w:r>
        <w:rPr>
          <w:rFonts w:ascii="Times New Roman"/>
          <w:lang w:val="en-AU"/>
        </w:rPr>
        <w:t>吨二氧化碳</w:t>
      </w:r>
      <w:r>
        <w:rPr>
          <w:rFonts w:ascii="Times New Roman"/>
        </w:rPr>
        <w:t>（tCO</w:t>
      </w:r>
      <w:r>
        <w:rPr>
          <w:rFonts w:ascii="Times New Roman"/>
          <w:vertAlign w:val="subscript"/>
        </w:rPr>
        <w:t>2</w:t>
      </w:r>
      <w:r>
        <w:rPr>
          <w:rFonts w:ascii="Times New Roman"/>
        </w:rPr>
        <w:t>）</w:t>
      </w:r>
      <w:r>
        <w:rPr>
          <w:rFonts w:hint="eastAsia" w:ascii="Times New Roman"/>
        </w:rPr>
        <w:t>；</w:t>
      </w:r>
    </w:p>
    <w:p w14:paraId="254724A0">
      <w:pPr>
        <w:pStyle w:val="229"/>
        <w:ind w:firstLine="431" w:firstLineChars="0"/>
        <w:jc w:val="left"/>
        <w:rPr>
          <w:lang w:val="en-AU"/>
        </w:rPr>
      </w:pPr>
      <m:oMath>
        <m:sSub>
          <m:sSubPr>
            <m:ctrlPr>
              <w:rPr>
                <w:rFonts w:ascii="Cambria Math" w:hAnsi="Cambria Math"/>
                <w:i/>
              </w:rPr>
            </m:ctrlPr>
          </m:sSubPr>
          <m:e>
            <m:r>
              <m:rPr/>
              <w:rPr>
                <w:rFonts w:ascii="Cambria Math" w:hAnsi="Cambria Math"/>
                <w:lang w:val="en-AU"/>
              </w:rPr>
              <m:t>L</m:t>
            </m:r>
            <m:r>
              <m:rPr/>
              <w:rPr>
                <w:rFonts w:ascii="Cambria Math" w:hAnsi="Cambria Math"/>
              </w:rPr>
              <m:t>E</m:t>
            </m:r>
            <m:ctrlPr>
              <w:rPr>
                <w:rFonts w:ascii="Cambria Math" w:hAnsi="Cambria Math"/>
                <w:i/>
              </w:rPr>
            </m:ctrlPr>
          </m:e>
          <m:sub>
            <m:r>
              <m:rPr/>
              <w:rPr>
                <w:rFonts w:ascii="Cambria Math" w:hAnsi="Cambria Math"/>
              </w:rPr>
              <m:t>y</m:t>
            </m:r>
            <m:ctrlPr>
              <w:rPr>
                <w:rFonts w:ascii="Cambria Math" w:hAnsi="Cambria Math"/>
                <w:i/>
              </w:rPr>
            </m:ctrlPr>
          </m:sub>
        </m:sSub>
      </m:oMath>
      <w:r>
        <w:t>——</w:t>
      </w:r>
      <w:r>
        <w:rPr>
          <w:rFonts w:hint="eastAsia"/>
        </w:rPr>
        <w:t>第y年泄漏量，单位为</w:t>
      </w:r>
      <w:r>
        <w:rPr>
          <w:rFonts w:ascii="Times New Roman"/>
          <w:lang w:val="en-AU"/>
        </w:rPr>
        <w:t>吨二氧化碳（tCO</w:t>
      </w:r>
      <w:r>
        <w:rPr>
          <w:rFonts w:ascii="Times New Roman"/>
          <w:vertAlign w:val="subscript"/>
          <w:lang w:val="en-AU"/>
        </w:rPr>
        <w:t>2</w:t>
      </w:r>
      <w:r>
        <w:rPr>
          <w:rFonts w:ascii="Times New Roman"/>
          <w:lang w:val="en-AU"/>
        </w:rPr>
        <w:t>）</w:t>
      </w:r>
      <w:r>
        <w:rPr>
          <w:rFonts w:hint="eastAsia" w:ascii="Times New Roman"/>
          <w:lang w:val="en-AU"/>
        </w:rPr>
        <w:t>。</w:t>
      </w:r>
    </w:p>
    <w:p w14:paraId="6B904844">
      <w:pPr>
        <w:pStyle w:val="104"/>
        <w:spacing w:before="312" w:after="312"/>
      </w:pPr>
      <w:bookmarkStart w:id="86" w:name="_Toc131518022"/>
      <w:r>
        <w:rPr>
          <w:rFonts w:hint="eastAsia"/>
        </w:rPr>
        <w:t>数据来源</w:t>
      </w:r>
      <w:bookmarkEnd w:id="86"/>
    </w:p>
    <w:p w14:paraId="4E3EB1A2">
      <w:pPr>
        <w:pStyle w:val="105"/>
        <w:spacing w:before="156" w:after="156"/>
      </w:pPr>
      <w:bookmarkStart w:id="87" w:name="_Toc130559702"/>
      <w:bookmarkStart w:id="88" w:name="_Toc131518023"/>
      <w:bookmarkStart w:id="89" w:name="_Toc130559570"/>
      <w:r>
        <w:rPr>
          <w:rFonts w:hint="eastAsia"/>
        </w:rPr>
        <w:t>事前确定的数据和参数</w:t>
      </w:r>
      <w:bookmarkEnd w:id="87"/>
      <w:bookmarkEnd w:id="88"/>
      <w:bookmarkEnd w:id="89"/>
    </w:p>
    <w:p w14:paraId="164FDDCF">
      <w:pPr>
        <w:pStyle w:val="56"/>
        <w:ind w:firstLine="420"/>
      </w:pPr>
      <w:r>
        <w:rPr>
          <w:rFonts w:hint="eastAsia"/>
        </w:rPr>
        <w:t>事前确定的数据和参数的更新周期为一年。事前确定的数据和参数主要为人公里速度排放因子、小微型客车总数和年均行驶里程、特定时间段的路网平均运行速度、里程转化系数等参数。具体数据和参数的单位和物理表述见表2。</w:t>
      </w:r>
    </w:p>
    <w:p w14:paraId="65F290CB">
      <w:pPr>
        <w:pStyle w:val="112"/>
        <w:spacing w:before="156" w:after="156"/>
      </w:pPr>
      <w:r>
        <w:rPr>
          <w:rFonts w:hint="eastAsia"/>
        </w:rPr>
        <w:t>事前确定的数据和参数</w:t>
      </w:r>
    </w:p>
    <w:tbl>
      <w:tblPr>
        <w:tblStyle w:val="27"/>
        <w:tblW w:w="50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1"/>
        <w:gridCol w:w="2090"/>
        <w:gridCol w:w="6255"/>
      </w:tblGrid>
      <w:tr w14:paraId="31A24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tcBorders>
              <w:top w:val="single" w:color="auto" w:sz="8" w:space="0"/>
              <w:bottom w:val="single" w:color="auto" w:sz="8" w:space="0"/>
            </w:tcBorders>
            <w:shd w:val="clear" w:color="auto" w:fill="auto"/>
            <w:noWrap/>
            <w:vAlign w:val="center"/>
          </w:tcPr>
          <w:p w14:paraId="4699C93C">
            <w:pPr>
              <w:spacing w:line="240" w:lineRule="auto"/>
              <w:jc w:val="center"/>
              <w:rPr>
                <w:kern w:val="0"/>
                <w:sz w:val="18"/>
                <w:szCs w:val="20"/>
              </w:rPr>
            </w:pPr>
            <w:r>
              <w:rPr>
                <w:rFonts w:hint="eastAsia"/>
                <w:kern w:val="0"/>
                <w:sz w:val="18"/>
                <w:szCs w:val="20"/>
              </w:rPr>
              <w:t>数据/参数</w:t>
            </w:r>
          </w:p>
        </w:tc>
        <w:tc>
          <w:tcPr>
            <w:tcW w:w="1101" w:type="pct"/>
            <w:tcBorders>
              <w:top w:val="single" w:color="auto" w:sz="8" w:space="0"/>
              <w:bottom w:val="single" w:color="auto" w:sz="8" w:space="0"/>
            </w:tcBorders>
            <w:shd w:val="clear" w:color="auto" w:fill="auto"/>
            <w:noWrap/>
            <w:vAlign w:val="center"/>
          </w:tcPr>
          <w:p w14:paraId="12E23BE3">
            <w:pPr>
              <w:spacing w:line="240" w:lineRule="auto"/>
              <w:jc w:val="center"/>
              <w:rPr>
                <w:kern w:val="0"/>
                <w:sz w:val="18"/>
                <w:szCs w:val="20"/>
              </w:rPr>
            </w:pPr>
            <w:r>
              <w:rPr>
                <w:rFonts w:hint="eastAsia"/>
                <w:kern w:val="0"/>
                <w:sz w:val="18"/>
                <w:szCs w:val="20"/>
              </w:rPr>
              <w:t>单位</w:t>
            </w:r>
          </w:p>
        </w:tc>
        <w:tc>
          <w:tcPr>
            <w:tcW w:w="3296" w:type="pct"/>
            <w:tcBorders>
              <w:top w:val="single" w:color="auto" w:sz="8" w:space="0"/>
              <w:bottom w:val="single" w:color="auto" w:sz="8" w:space="0"/>
            </w:tcBorders>
            <w:shd w:val="clear" w:color="auto" w:fill="auto"/>
            <w:noWrap/>
            <w:vAlign w:val="center"/>
          </w:tcPr>
          <w:p w14:paraId="3410C260">
            <w:pPr>
              <w:spacing w:line="240" w:lineRule="auto"/>
              <w:jc w:val="center"/>
              <w:rPr>
                <w:kern w:val="0"/>
                <w:sz w:val="18"/>
                <w:szCs w:val="20"/>
              </w:rPr>
            </w:pPr>
            <w:r>
              <w:rPr>
                <w:rFonts w:hint="eastAsia"/>
                <w:kern w:val="0"/>
                <w:sz w:val="18"/>
                <w:szCs w:val="20"/>
              </w:rPr>
              <w:t>描述</w:t>
            </w:r>
          </w:p>
        </w:tc>
      </w:tr>
      <w:tr w14:paraId="34B52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tcBorders>
              <w:top w:val="single" w:color="auto" w:sz="8" w:space="0"/>
            </w:tcBorders>
            <w:shd w:val="clear" w:color="auto" w:fill="auto"/>
            <w:noWrap/>
            <w:vAlign w:val="center"/>
          </w:tcPr>
          <w:p w14:paraId="6E426A22">
            <w:pPr>
              <w:spacing w:line="240" w:lineRule="auto"/>
              <w:jc w:val="left"/>
              <w:rPr>
                <w:kern w:val="0"/>
                <w:sz w:val="18"/>
                <w:szCs w:val="18"/>
              </w:rPr>
            </w:pPr>
            <m:oMathPara>
              <m:oMath>
                <m:sSub>
                  <m:sSubPr>
                    <m:ctrlPr>
                      <w:rPr>
                        <w:rFonts w:hint="eastAsia" w:ascii="Cambria Math" w:hAnsi="Cambria Math"/>
                        <w:iCs/>
                        <w:kern w:val="0"/>
                        <w:sz w:val="18"/>
                        <w:szCs w:val="18"/>
                      </w:rPr>
                    </m:ctrlPr>
                  </m:sSubPr>
                  <m:e>
                    <m:r>
                      <m:rPr>
                        <m:sty m:val="p"/>
                      </m:rPr>
                      <w:rPr>
                        <w:rFonts w:ascii="Cambria Math" w:hAnsi="Cambria Math"/>
                        <w:kern w:val="0"/>
                        <w:sz w:val="18"/>
                        <w:szCs w:val="18"/>
                      </w:rPr>
                      <m:t>EF</m:t>
                    </m:r>
                    <m:ctrlPr>
                      <w:rPr>
                        <w:rFonts w:hint="eastAsia" w:ascii="Cambria Math" w:hAnsi="Cambria Math"/>
                        <w:iCs/>
                        <w:kern w:val="0"/>
                        <w:sz w:val="18"/>
                        <w:szCs w:val="18"/>
                      </w:rPr>
                    </m:ctrlPr>
                  </m:e>
                  <m:sub>
                    <m:r>
                      <m:rPr>
                        <m:sty m:val="p"/>
                      </m:rPr>
                      <w:rPr>
                        <w:rFonts w:ascii="Cambria Math" w:hAnsi="Cambria Math"/>
                        <w:kern w:val="0"/>
                        <w:sz w:val="18"/>
                        <w:szCs w:val="18"/>
                      </w:rPr>
                      <m:t>x,j,v</m:t>
                    </m:r>
                    <m:ctrlPr>
                      <w:rPr>
                        <w:rFonts w:hint="eastAsia" w:ascii="Cambria Math" w:hAnsi="Cambria Math"/>
                        <w:iCs/>
                        <w:kern w:val="0"/>
                        <w:sz w:val="18"/>
                        <w:szCs w:val="18"/>
                      </w:rPr>
                    </m:ctrlPr>
                  </m:sub>
                </m:sSub>
              </m:oMath>
            </m:oMathPara>
          </w:p>
        </w:tc>
        <w:tc>
          <w:tcPr>
            <w:tcW w:w="1101" w:type="pct"/>
            <w:tcBorders>
              <w:top w:val="single" w:color="auto" w:sz="8" w:space="0"/>
            </w:tcBorders>
            <w:shd w:val="clear" w:color="auto" w:fill="auto"/>
            <w:noWrap/>
            <w:vAlign w:val="center"/>
          </w:tcPr>
          <w:p w14:paraId="67D44BF1">
            <w:pPr>
              <w:spacing w:line="240" w:lineRule="auto"/>
              <w:jc w:val="center"/>
              <w:rPr>
                <w:kern w:val="0"/>
                <w:sz w:val="18"/>
                <w:szCs w:val="18"/>
              </w:rPr>
            </w:pPr>
            <w:r>
              <w:rPr>
                <w:kern w:val="0"/>
                <w:sz w:val="18"/>
                <w:szCs w:val="18"/>
              </w:rPr>
              <w:t>tCO</w:t>
            </w:r>
            <w:r>
              <w:rPr>
                <w:kern w:val="0"/>
                <w:sz w:val="18"/>
                <w:szCs w:val="18"/>
                <w:vertAlign w:val="subscript"/>
              </w:rPr>
              <w:t>2</w:t>
            </w:r>
            <w:r>
              <w:rPr>
                <w:kern w:val="0"/>
                <w:sz w:val="18"/>
                <w:szCs w:val="18"/>
              </w:rPr>
              <w:t>/PKM</w:t>
            </w:r>
          </w:p>
        </w:tc>
        <w:tc>
          <w:tcPr>
            <w:tcW w:w="3296" w:type="pct"/>
            <w:tcBorders>
              <w:top w:val="single" w:color="auto" w:sz="8" w:space="0"/>
            </w:tcBorders>
            <w:shd w:val="clear" w:color="auto" w:fill="auto"/>
            <w:noWrap/>
            <w:vAlign w:val="center"/>
          </w:tcPr>
          <w:p w14:paraId="4CA98D30">
            <w:pPr>
              <w:spacing w:line="240" w:lineRule="auto"/>
              <w:jc w:val="left"/>
              <w:rPr>
                <w:kern w:val="0"/>
                <w:sz w:val="18"/>
                <w:szCs w:val="18"/>
              </w:rPr>
            </w:pPr>
            <w:r>
              <w:rPr>
                <w:rFonts w:hint="eastAsia"/>
                <w:kern w:val="0"/>
                <w:sz w:val="18"/>
                <w:szCs w:val="18"/>
              </w:rPr>
              <w:t>基础年</w:t>
            </w:r>
            <w:r>
              <w:rPr>
                <w:kern w:val="0"/>
                <w:sz w:val="18"/>
                <w:szCs w:val="18"/>
              </w:rPr>
              <w:t>x</w:t>
            </w:r>
            <w:r>
              <w:rPr>
                <w:rFonts w:hint="eastAsia"/>
                <w:kern w:val="0"/>
                <w:sz w:val="18"/>
                <w:szCs w:val="18"/>
              </w:rPr>
              <w:t>能源类型排量为</w:t>
            </w:r>
            <w:r>
              <w:rPr>
                <w:kern w:val="0"/>
                <w:sz w:val="18"/>
                <w:szCs w:val="18"/>
              </w:rPr>
              <w:t>j</w:t>
            </w:r>
            <w:r>
              <w:rPr>
                <w:rFonts w:hint="eastAsia"/>
                <w:kern w:val="0"/>
                <w:sz w:val="18"/>
                <w:szCs w:val="18"/>
              </w:rPr>
              <w:t>的小微型客车的人公里速度排放因子</w:t>
            </w:r>
          </w:p>
        </w:tc>
      </w:tr>
      <w:tr w14:paraId="07097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40D899C1">
            <w:pPr>
              <w:spacing w:line="240" w:lineRule="auto"/>
              <w:jc w:val="left"/>
              <w:rPr>
                <w:iCs/>
                <w:kern w:val="0"/>
                <w:sz w:val="18"/>
                <w:szCs w:val="18"/>
              </w:rPr>
            </w:pPr>
            <m:oMathPara>
              <m:oMath>
                <m:sSub>
                  <m:sSubPr>
                    <m:ctrlPr>
                      <w:rPr>
                        <w:rFonts w:ascii="Cambria Math" w:hAnsi="Cambria Math" w:eastAsia="楷体_GB2312"/>
                        <w:iCs/>
                        <w:sz w:val="18"/>
                        <w:szCs w:val="18"/>
                      </w:rPr>
                    </m:ctrlPr>
                  </m:sSubPr>
                  <m:e>
                    <m:r>
                      <m:rPr>
                        <m:sty m:val="p"/>
                      </m:rPr>
                      <w:rPr>
                        <w:rFonts w:ascii="Cambria Math" w:hAnsi="Cambria Math" w:eastAsia="楷体_GB2312"/>
                        <w:sz w:val="18"/>
                        <w:szCs w:val="18"/>
                      </w:rPr>
                      <m:t>I</m:t>
                    </m:r>
                    <m:ctrlPr>
                      <w:rPr>
                        <w:rFonts w:ascii="Cambria Math" w:hAnsi="Cambria Math" w:eastAsia="楷体_GB2312"/>
                        <w:iCs/>
                        <w:sz w:val="18"/>
                        <w:szCs w:val="18"/>
                      </w:rPr>
                    </m:ctrlPr>
                  </m:e>
                  <m:sub>
                    <m:r>
                      <m:rPr>
                        <m:sty m:val="p"/>
                      </m:rPr>
                      <w:rPr>
                        <w:rFonts w:ascii="Cambria Math" w:hAnsi="Cambria Math" w:eastAsia="楷体_GB2312"/>
                        <w:sz w:val="18"/>
                        <w:szCs w:val="18"/>
                      </w:rPr>
                      <m:t>x,j</m:t>
                    </m:r>
                    <m:ctrlPr>
                      <w:rPr>
                        <w:rFonts w:ascii="Cambria Math" w:hAnsi="Cambria Math" w:eastAsia="楷体_GB2312"/>
                        <w:iCs/>
                        <w:sz w:val="18"/>
                        <w:szCs w:val="18"/>
                      </w:rPr>
                    </m:ctrlPr>
                  </m:sub>
                </m:sSub>
              </m:oMath>
            </m:oMathPara>
          </w:p>
        </w:tc>
        <w:tc>
          <w:tcPr>
            <w:tcW w:w="1101" w:type="pct"/>
            <w:shd w:val="clear" w:color="auto" w:fill="auto"/>
            <w:noWrap/>
            <w:vAlign w:val="center"/>
          </w:tcPr>
          <w:p w14:paraId="26379CA3">
            <w:pPr>
              <w:spacing w:line="240" w:lineRule="auto"/>
              <w:jc w:val="center"/>
              <w:rPr>
                <w:kern w:val="0"/>
                <w:sz w:val="18"/>
                <w:szCs w:val="18"/>
              </w:rPr>
            </w:pPr>
            <w:r>
              <w:rPr>
                <w:rFonts w:hint="eastAsia"/>
                <w:kern w:val="0"/>
                <w:sz w:val="18"/>
                <w:szCs w:val="18"/>
              </w:rPr>
              <w:t>数量</w:t>
            </w:r>
          </w:p>
        </w:tc>
        <w:tc>
          <w:tcPr>
            <w:tcW w:w="3296" w:type="pct"/>
            <w:shd w:val="clear" w:color="auto" w:fill="auto"/>
            <w:noWrap/>
            <w:vAlign w:val="center"/>
          </w:tcPr>
          <w:p w14:paraId="6313506A">
            <w:pPr>
              <w:spacing w:line="240" w:lineRule="auto"/>
              <w:jc w:val="left"/>
              <w:rPr>
                <w:kern w:val="0"/>
                <w:sz w:val="18"/>
                <w:szCs w:val="18"/>
              </w:rPr>
            </w:pPr>
            <w:r>
              <w:rPr>
                <w:rFonts w:hint="eastAsia"/>
                <w:kern w:val="0"/>
                <w:sz w:val="18"/>
                <w:szCs w:val="18"/>
              </w:rPr>
              <w:t>基础年</w:t>
            </w:r>
            <w:r>
              <w:rPr>
                <w:kern w:val="0"/>
                <w:sz w:val="18"/>
                <w:szCs w:val="18"/>
              </w:rPr>
              <w:t>x能源类型</w:t>
            </w:r>
            <w:r>
              <w:rPr>
                <w:rFonts w:hint="eastAsia"/>
                <w:kern w:val="0"/>
                <w:sz w:val="18"/>
                <w:szCs w:val="18"/>
              </w:rPr>
              <w:t>排量为</w:t>
            </w:r>
            <w:r>
              <w:rPr>
                <w:kern w:val="0"/>
                <w:sz w:val="18"/>
                <w:szCs w:val="18"/>
              </w:rPr>
              <w:t>j的</w:t>
            </w:r>
            <w:r>
              <w:rPr>
                <w:rFonts w:hint="eastAsia"/>
                <w:kern w:val="0"/>
                <w:sz w:val="18"/>
                <w:szCs w:val="18"/>
              </w:rPr>
              <w:t>小微型客车</w:t>
            </w:r>
            <w:r>
              <w:rPr>
                <w:kern w:val="0"/>
                <w:sz w:val="18"/>
                <w:szCs w:val="18"/>
              </w:rPr>
              <w:t>的总数量</w:t>
            </w:r>
          </w:p>
        </w:tc>
      </w:tr>
      <w:tr w14:paraId="1C514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7BED0D08">
            <w:pPr>
              <w:spacing w:line="240" w:lineRule="auto"/>
              <w:jc w:val="left"/>
              <w:rPr>
                <w:iCs/>
                <w:kern w:val="0"/>
                <w:sz w:val="18"/>
                <w:szCs w:val="18"/>
              </w:rPr>
            </w:pPr>
            <m:oMathPara>
              <m:oMath>
                <m:sSub>
                  <m:sSubPr>
                    <m:ctrlPr>
                      <w:rPr>
                        <w:rFonts w:ascii="Cambria Math" w:hAnsi="Cambria Math" w:eastAsia="楷体_GB2312"/>
                        <w:iCs/>
                        <w:sz w:val="18"/>
                        <w:szCs w:val="18"/>
                      </w:rPr>
                    </m:ctrlPr>
                  </m:sSubPr>
                  <m:e>
                    <m:r>
                      <m:rPr>
                        <m:sty m:val="p"/>
                      </m:rPr>
                      <w:rPr>
                        <w:rFonts w:ascii="Cambria Math" w:hAnsi="Cambria Math" w:eastAsia="楷体_GB2312"/>
                        <w:sz w:val="18"/>
                        <w:szCs w:val="18"/>
                      </w:rPr>
                      <m:t>D</m:t>
                    </m:r>
                    <m:ctrlPr>
                      <w:rPr>
                        <w:rFonts w:ascii="Cambria Math" w:hAnsi="Cambria Math" w:eastAsia="楷体_GB2312"/>
                        <w:iCs/>
                        <w:sz w:val="18"/>
                        <w:szCs w:val="18"/>
                      </w:rPr>
                    </m:ctrlPr>
                  </m:e>
                  <m:sub>
                    <m:r>
                      <m:rPr>
                        <m:sty m:val="p"/>
                      </m:rPr>
                      <w:rPr>
                        <w:rFonts w:ascii="Cambria Math" w:hAnsi="Cambria Math" w:eastAsia="楷体_GB2312"/>
                        <w:sz w:val="18"/>
                        <w:szCs w:val="18"/>
                      </w:rPr>
                      <m:t>x,j</m:t>
                    </m:r>
                    <m:ctrlPr>
                      <w:rPr>
                        <w:rFonts w:ascii="Cambria Math" w:hAnsi="Cambria Math" w:eastAsia="楷体_GB2312"/>
                        <w:iCs/>
                        <w:sz w:val="18"/>
                        <w:szCs w:val="18"/>
                      </w:rPr>
                    </m:ctrlPr>
                  </m:sub>
                </m:sSub>
              </m:oMath>
            </m:oMathPara>
          </w:p>
        </w:tc>
        <w:tc>
          <w:tcPr>
            <w:tcW w:w="1101" w:type="pct"/>
            <w:shd w:val="clear" w:color="auto" w:fill="auto"/>
            <w:noWrap/>
            <w:vAlign w:val="center"/>
          </w:tcPr>
          <w:p w14:paraId="76E50A22">
            <w:pPr>
              <w:spacing w:line="240" w:lineRule="auto"/>
              <w:jc w:val="center"/>
              <w:rPr>
                <w:kern w:val="0"/>
                <w:sz w:val="18"/>
                <w:szCs w:val="18"/>
              </w:rPr>
            </w:pPr>
            <w:r>
              <w:rPr>
                <w:kern w:val="0"/>
                <w:sz w:val="18"/>
                <w:szCs w:val="18"/>
              </w:rPr>
              <w:t>km</w:t>
            </w:r>
          </w:p>
        </w:tc>
        <w:tc>
          <w:tcPr>
            <w:tcW w:w="3296" w:type="pct"/>
            <w:shd w:val="clear" w:color="auto" w:fill="auto"/>
            <w:noWrap/>
            <w:vAlign w:val="center"/>
          </w:tcPr>
          <w:p w14:paraId="52FBA019">
            <w:pPr>
              <w:spacing w:line="240" w:lineRule="auto"/>
              <w:jc w:val="left"/>
              <w:rPr>
                <w:kern w:val="0"/>
                <w:sz w:val="18"/>
                <w:szCs w:val="18"/>
              </w:rPr>
            </w:pPr>
            <w:r>
              <w:rPr>
                <w:rFonts w:hint="eastAsia"/>
                <w:kern w:val="0"/>
                <w:sz w:val="18"/>
                <w:szCs w:val="18"/>
              </w:rPr>
              <w:t>基础</w:t>
            </w:r>
            <w:r>
              <w:rPr>
                <w:kern w:val="0"/>
                <w:sz w:val="18"/>
                <w:szCs w:val="18"/>
              </w:rPr>
              <w:t>年x能源类型</w:t>
            </w:r>
            <w:r>
              <w:rPr>
                <w:rFonts w:hint="eastAsia"/>
                <w:kern w:val="0"/>
                <w:sz w:val="18"/>
                <w:szCs w:val="18"/>
              </w:rPr>
              <w:t>排量为</w:t>
            </w:r>
            <w:r>
              <w:rPr>
                <w:kern w:val="0"/>
                <w:sz w:val="18"/>
                <w:szCs w:val="18"/>
              </w:rPr>
              <w:t>j的</w:t>
            </w:r>
            <w:r>
              <w:rPr>
                <w:rFonts w:hint="eastAsia"/>
                <w:kern w:val="0"/>
                <w:sz w:val="18"/>
                <w:szCs w:val="18"/>
              </w:rPr>
              <w:t>小微型客车</w:t>
            </w:r>
            <w:r>
              <w:rPr>
                <w:kern w:val="0"/>
                <w:sz w:val="18"/>
                <w:szCs w:val="18"/>
              </w:rPr>
              <w:t>的年均行驶里程</w:t>
            </w:r>
          </w:p>
        </w:tc>
      </w:tr>
      <w:tr w14:paraId="14FC4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6AE3A35A">
            <w:pPr>
              <w:spacing w:line="240" w:lineRule="auto"/>
              <w:jc w:val="left"/>
              <w:rPr>
                <w:iCs/>
                <w:kern w:val="0"/>
                <w:sz w:val="18"/>
                <w:szCs w:val="18"/>
              </w:rPr>
            </w:pPr>
            <m:oMathPara>
              <m:oMath>
                <m:acc>
                  <m:accPr>
                    <m:chr m:val="̅"/>
                    <m:ctrlPr>
                      <w:rPr>
                        <w:rFonts w:ascii="Cambria Math" w:hAnsi="Cambria Math" w:eastAsia="楷体_GB2312"/>
                        <w:iCs/>
                        <w:sz w:val="18"/>
                        <w:szCs w:val="18"/>
                      </w:rPr>
                    </m:ctrlPr>
                  </m:accPr>
                  <m:e>
                    <m:sSub>
                      <m:sSubPr>
                        <m:ctrlPr>
                          <w:rPr>
                            <w:rFonts w:ascii="Cambria Math" w:hAnsi="Cambria Math" w:eastAsia="楷体_GB2312"/>
                            <w:iCs/>
                            <w:sz w:val="18"/>
                            <w:szCs w:val="18"/>
                          </w:rPr>
                        </m:ctrlPr>
                      </m:sSubPr>
                      <m:e>
                        <m:r>
                          <m:rPr>
                            <m:sty m:val="p"/>
                          </m:rPr>
                          <w:rPr>
                            <w:rFonts w:ascii="Cambria Math" w:hAnsi="Cambria Math" w:eastAsia="楷体_GB2312"/>
                            <w:sz w:val="18"/>
                            <w:szCs w:val="18"/>
                          </w:rPr>
                          <m:t>V</m:t>
                        </m:r>
                        <m:ctrlPr>
                          <w:rPr>
                            <w:rFonts w:ascii="Cambria Math" w:hAnsi="Cambria Math" w:eastAsia="楷体_GB2312"/>
                            <w:iCs/>
                            <w:sz w:val="18"/>
                            <w:szCs w:val="18"/>
                          </w:rPr>
                        </m:ctrlPr>
                      </m:e>
                      <m:sub>
                        <m:r>
                          <m:rPr>
                            <m:sty m:val="p"/>
                          </m:rPr>
                          <w:rPr>
                            <w:rFonts w:ascii="Cambria Math" w:hAnsi="Cambria Math" w:eastAsia="楷体_GB2312"/>
                            <w:sz w:val="18"/>
                            <w:szCs w:val="18"/>
                          </w:rPr>
                          <m:t>T</m:t>
                        </m:r>
                        <m:ctrlPr>
                          <w:rPr>
                            <w:rFonts w:ascii="Cambria Math" w:hAnsi="Cambria Math" w:eastAsia="楷体_GB2312"/>
                            <w:iCs/>
                            <w:sz w:val="18"/>
                            <w:szCs w:val="18"/>
                          </w:rPr>
                        </m:ctrlPr>
                      </m:sub>
                    </m:sSub>
                    <m:ctrlPr>
                      <w:rPr>
                        <w:rFonts w:ascii="Cambria Math" w:hAnsi="Cambria Math" w:eastAsia="楷体_GB2312"/>
                        <w:iCs/>
                        <w:sz w:val="18"/>
                        <w:szCs w:val="18"/>
                      </w:rPr>
                    </m:ctrlPr>
                  </m:e>
                </m:acc>
              </m:oMath>
            </m:oMathPara>
          </w:p>
        </w:tc>
        <w:tc>
          <w:tcPr>
            <w:tcW w:w="1101" w:type="pct"/>
            <w:shd w:val="clear" w:color="auto" w:fill="auto"/>
            <w:noWrap/>
            <w:vAlign w:val="center"/>
          </w:tcPr>
          <w:p w14:paraId="291727C8">
            <w:pPr>
              <w:spacing w:line="240" w:lineRule="auto"/>
              <w:jc w:val="center"/>
              <w:rPr>
                <w:kern w:val="0"/>
                <w:sz w:val="18"/>
                <w:szCs w:val="18"/>
              </w:rPr>
            </w:pPr>
            <w:r>
              <w:rPr>
                <w:kern w:val="0"/>
                <w:sz w:val="18"/>
                <w:szCs w:val="18"/>
              </w:rPr>
              <w:t>km/h</w:t>
            </w:r>
          </w:p>
        </w:tc>
        <w:tc>
          <w:tcPr>
            <w:tcW w:w="3296" w:type="pct"/>
            <w:shd w:val="clear" w:color="auto" w:fill="auto"/>
            <w:noWrap/>
            <w:vAlign w:val="center"/>
          </w:tcPr>
          <w:p w14:paraId="5CC9D2F4">
            <w:pPr>
              <w:spacing w:line="240" w:lineRule="auto"/>
              <w:jc w:val="left"/>
              <w:rPr>
                <w:kern w:val="0"/>
                <w:sz w:val="18"/>
                <w:szCs w:val="18"/>
              </w:rPr>
            </w:pPr>
            <w:r>
              <w:rPr>
                <w:rFonts w:hint="eastAsia"/>
                <w:kern w:val="0"/>
                <w:sz w:val="18"/>
                <w:szCs w:val="18"/>
              </w:rPr>
              <w:t>基础年特定时间段T的路网平均运行速度</w:t>
            </w:r>
          </w:p>
        </w:tc>
      </w:tr>
      <w:tr w14:paraId="76D8A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68C4D72B">
            <w:pPr>
              <w:spacing w:line="240" w:lineRule="auto"/>
              <w:jc w:val="left"/>
              <w:rPr>
                <w:kern w:val="0"/>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m</m:t>
                    </m:r>
                    <m:ctrlPr>
                      <w:rPr>
                        <w:rFonts w:ascii="Cambria Math" w:hAnsi="Cambria Math"/>
                        <w:i/>
                        <w:kern w:val="0"/>
                        <w:sz w:val="18"/>
                        <w:szCs w:val="18"/>
                      </w:rPr>
                    </m:ctrlPr>
                  </m:e>
                  <m:sub>
                    <m:r>
                      <m:rPr/>
                      <w:rPr>
                        <w:rFonts w:ascii="Cambria Math" w:hAnsi="Cambria Math"/>
                        <w:kern w:val="0"/>
                        <w:sz w:val="18"/>
                        <w:szCs w:val="18"/>
                      </w:rPr>
                      <m:t>k</m:t>
                    </m:r>
                    <m:ctrlPr>
                      <w:rPr>
                        <w:rFonts w:ascii="Cambria Math" w:hAnsi="Cambria Math"/>
                        <w:i/>
                        <w:kern w:val="0"/>
                        <w:sz w:val="18"/>
                        <w:szCs w:val="18"/>
                      </w:rPr>
                    </m:ctrlPr>
                  </m:sub>
                </m:sSub>
              </m:oMath>
            </m:oMathPara>
          </w:p>
        </w:tc>
        <w:tc>
          <w:tcPr>
            <w:tcW w:w="1101" w:type="pct"/>
            <w:shd w:val="clear" w:color="auto" w:fill="auto"/>
            <w:noWrap/>
            <w:vAlign w:val="center"/>
          </w:tcPr>
          <w:p w14:paraId="22C6EC7D">
            <w:pPr>
              <w:spacing w:line="240" w:lineRule="auto"/>
              <w:jc w:val="center"/>
              <w:rPr>
                <w:kern w:val="0"/>
                <w:sz w:val="18"/>
                <w:szCs w:val="18"/>
              </w:rPr>
            </w:pPr>
            <w:r>
              <w:rPr>
                <w:rFonts w:hint="eastAsia"/>
                <w:kern w:val="0"/>
                <w:sz w:val="18"/>
                <w:szCs w:val="18"/>
              </w:rPr>
              <w:t>无量纲</w:t>
            </w:r>
          </w:p>
        </w:tc>
        <w:tc>
          <w:tcPr>
            <w:tcW w:w="3296" w:type="pct"/>
            <w:shd w:val="clear" w:color="auto" w:fill="auto"/>
            <w:noWrap/>
            <w:vAlign w:val="center"/>
          </w:tcPr>
          <w:p w14:paraId="216324A4">
            <w:pPr>
              <w:spacing w:line="240" w:lineRule="auto"/>
              <w:jc w:val="left"/>
              <w:rPr>
                <w:kern w:val="0"/>
                <w:sz w:val="18"/>
                <w:szCs w:val="18"/>
              </w:rPr>
            </w:pPr>
            <w:r>
              <w:rPr>
                <w:rFonts w:hint="eastAsia"/>
                <w:kern w:val="0"/>
                <w:sz w:val="18"/>
                <w:szCs w:val="18"/>
              </w:rPr>
              <w:t>基础年，城市路网条件下，相同起讫点情况小微型客车最短出行距离与方式k出行距离比值的平均值</w:t>
            </w:r>
          </w:p>
        </w:tc>
      </w:tr>
      <w:tr w14:paraId="44F98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7DD9FD6B">
            <w:pPr>
              <w:spacing w:line="240" w:lineRule="auto"/>
              <w:jc w:val="left"/>
              <w:rPr>
                <w:kern w:val="0"/>
                <w:sz w:val="18"/>
                <w:szCs w:val="18"/>
              </w:rPr>
            </w:pPr>
            <m:oMathPara>
              <m:oMath>
                <m:sSub>
                  <m:sSubPr>
                    <m:ctrlPr>
                      <w:rPr>
                        <w:rFonts w:ascii="Cambria Math" w:hAnsi="Cambria Math" w:eastAsia="楷体_GB2312"/>
                        <w:iCs/>
                        <w:sz w:val="18"/>
                        <w:szCs w:val="18"/>
                      </w:rPr>
                    </m:ctrlPr>
                  </m:sSubPr>
                  <m:e>
                    <m:r>
                      <m:rPr>
                        <m:sty m:val="p"/>
                      </m:rPr>
                      <w:rPr>
                        <w:rFonts w:ascii="Cambria Math" w:hAnsi="Cambria Math" w:eastAsia="楷体_GB2312"/>
                        <w:sz w:val="18"/>
                        <w:szCs w:val="18"/>
                      </w:rPr>
                      <m:t>FC</m:t>
                    </m:r>
                    <m:ctrlPr>
                      <w:rPr>
                        <w:rFonts w:ascii="Cambria Math" w:hAnsi="Cambria Math" w:eastAsia="楷体_GB2312"/>
                        <w:iCs/>
                        <w:sz w:val="18"/>
                        <w:szCs w:val="18"/>
                      </w:rPr>
                    </m:ctrlPr>
                  </m:e>
                  <m:sub>
                    <m:r>
                      <m:rPr>
                        <m:sty m:val="p"/>
                      </m:rPr>
                      <w:rPr>
                        <w:rFonts w:ascii="Cambria Math" w:hAnsi="Cambria Math" w:eastAsia="楷体_GB2312"/>
                        <w:sz w:val="18"/>
                        <w:szCs w:val="18"/>
                      </w:rPr>
                      <m:t>k,x</m:t>
                    </m:r>
                    <m:ctrlPr>
                      <w:rPr>
                        <w:rFonts w:ascii="Cambria Math" w:hAnsi="Cambria Math" w:eastAsia="楷体_GB2312"/>
                        <w:iCs/>
                        <w:sz w:val="18"/>
                        <w:szCs w:val="18"/>
                      </w:rPr>
                    </m:ctrlPr>
                  </m:sub>
                </m:sSub>
              </m:oMath>
            </m:oMathPara>
          </w:p>
        </w:tc>
        <w:tc>
          <w:tcPr>
            <w:tcW w:w="1101" w:type="pct"/>
            <w:shd w:val="clear" w:color="auto" w:fill="auto"/>
            <w:noWrap/>
            <w:vAlign w:val="center"/>
          </w:tcPr>
          <w:p w14:paraId="60D651C6">
            <w:pPr>
              <w:spacing w:line="240" w:lineRule="auto"/>
              <w:jc w:val="center"/>
              <w:rPr>
                <w:kern w:val="0"/>
                <w:sz w:val="18"/>
                <w:szCs w:val="18"/>
              </w:rPr>
            </w:pPr>
            <w:r>
              <w:rPr>
                <w:rFonts w:hint="eastAsia"/>
                <w:kern w:val="0"/>
                <w:sz w:val="18"/>
                <w:szCs w:val="18"/>
              </w:rPr>
              <w:t>质量或体积单位，</w:t>
            </w:r>
            <w:r>
              <w:rPr>
                <w:kern w:val="0"/>
                <w:sz w:val="18"/>
                <w:szCs w:val="18"/>
              </w:rPr>
              <w:t>ton</w:t>
            </w:r>
            <w:r>
              <w:rPr>
                <w:rFonts w:hint="eastAsia"/>
                <w:kern w:val="0"/>
                <w:sz w:val="18"/>
                <w:szCs w:val="18"/>
              </w:rPr>
              <w:t>、</w:t>
            </w:r>
            <w:r>
              <w:rPr>
                <w:kern w:val="0"/>
                <w:sz w:val="18"/>
                <w:szCs w:val="18"/>
              </w:rPr>
              <w:t>m</w:t>
            </w:r>
            <w:r>
              <w:rPr>
                <w:kern w:val="0"/>
                <w:sz w:val="18"/>
                <w:szCs w:val="18"/>
                <w:vertAlign w:val="superscript"/>
              </w:rPr>
              <w:t>3</w:t>
            </w:r>
          </w:p>
        </w:tc>
        <w:tc>
          <w:tcPr>
            <w:tcW w:w="3296" w:type="pct"/>
            <w:shd w:val="clear" w:color="auto" w:fill="auto"/>
            <w:noWrap/>
            <w:vAlign w:val="center"/>
          </w:tcPr>
          <w:p w14:paraId="7CD04AB2">
            <w:pPr>
              <w:spacing w:line="240" w:lineRule="auto"/>
              <w:jc w:val="left"/>
              <w:rPr>
                <w:kern w:val="0"/>
                <w:sz w:val="18"/>
                <w:szCs w:val="18"/>
              </w:rPr>
            </w:pPr>
            <w:r>
              <w:rPr>
                <w:rFonts w:hint="eastAsia"/>
                <w:kern w:val="0"/>
                <w:sz w:val="18"/>
                <w:szCs w:val="18"/>
              </w:rPr>
              <w:t>基础年出行方式k使用能源x的消耗总量</w:t>
            </w:r>
          </w:p>
        </w:tc>
      </w:tr>
      <w:tr w14:paraId="2C43A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336F16ED">
            <w:pPr>
              <w:spacing w:line="240" w:lineRule="auto"/>
              <w:jc w:val="left"/>
              <w:rPr>
                <w:kern w:val="0"/>
                <w:sz w:val="18"/>
                <w:szCs w:val="18"/>
              </w:rPr>
            </w:pPr>
            <m:oMathPara>
              <m:oMath>
                <m:sSub>
                  <m:sSubPr>
                    <m:ctrlPr>
                      <w:rPr>
                        <w:rFonts w:ascii="Cambria Math" w:hAnsi="Cambria Math" w:eastAsia="楷体_GB2312"/>
                        <w:iCs/>
                        <w:sz w:val="18"/>
                        <w:szCs w:val="18"/>
                      </w:rPr>
                    </m:ctrlPr>
                  </m:sSubPr>
                  <m:e>
                    <m:r>
                      <m:rPr>
                        <m:sty m:val="p"/>
                      </m:rPr>
                      <w:rPr>
                        <w:rFonts w:ascii="Cambria Math" w:hAnsi="Cambria Math" w:eastAsia="楷体_GB2312"/>
                        <w:sz w:val="18"/>
                        <w:szCs w:val="18"/>
                      </w:rPr>
                      <m:t>NCV</m:t>
                    </m:r>
                    <m:ctrlPr>
                      <w:rPr>
                        <w:rFonts w:ascii="Cambria Math" w:hAnsi="Cambria Math" w:eastAsia="楷体_GB2312"/>
                        <w:iCs/>
                        <w:sz w:val="18"/>
                        <w:szCs w:val="18"/>
                      </w:rPr>
                    </m:ctrlPr>
                  </m:e>
                  <m:sub>
                    <m:r>
                      <m:rPr>
                        <m:sty m:val="p"/>
                      </m:rPr>
                      <w:rPr>
                        <w:rFonts w:ascii="Cambria Math" w:hAnsi="Cambria Math" w:eastAsia="楷体_GB2312"/>
                        <w:sz w:val="18"/>
                        <w:szCs w:val="18"/>
                      </w:rPr>
                      <m:t>k,x</m:t>
                    </m:r>
                    <m:ctrlPr>
                      <w:rPr>
                        <w:rFonts w:ascii="Cambria Math" w:hAnsi="Cambria Math" w:eastAsia="楷体_GB2312"/>
                        <w:iCs/>
                        <w:sz w:val="18"/>
                        <w:szCs w:val="18"/>
                      </w:rPr>
                    </m:ctrlPr>
                  </m:sub>
                </m:sSub>
              </m:oMath>
            </m:oMathPara>
          </w:p>
        </w:tc>
        <w:tc>
          <w:tcPr>
            <w:tcW w:w="1101" w:type="pct"/>
            <w:shd w:val="clear" w:color="auto" w:fill="auto"/>
            <w:noWrap/>
            <w:vAlign w:val="center"/>
          </w:tcPr>
          <w:p w14:paraId="577BFC34">
            <w:pPr>
              <w:spacing w:line="240" w:lineRule="auto"/>
              <w:jc w:val="center"/>
              <w:rPr>
                <w:kern w:val="0"/>
                <w:sz w:val="18"/>
                <w:szCs w:val="18"/>
              </w:rPr>
            </w:pPr>
            <w:r>
              <w:rPr>
                <w:kern w:val="0"/>
                <w:sz w:val="18"/>
                <w:szCs w:val="18"/>
              </w:rPr>
              <w:t>MJ/</w:t>
            </w:r>
            <w:r>
              <w:rPr>
                <w:rFonts w:hint="eastAsia"/>
                <w:kern w:val="0"/>
                <w:sz w:val="18"/>
                <w:szCs w:val="18"/>
              </w:rPr>
              <w:t>质量或体积单位</w:t>
            </w:r>
          </w:p>
        </w:tc>
        <w:tc>
          <w:tcPr>
            <w:tcW w:w="3296" w:type="pct"/>
            <w:shd w:val="clear" w:color="auto" w:fill="auto"/>
            <w:noWrap/>
            <w:vAlign w:val="center"/>
          </w:tcPr>
          <w:p w14:paraId="45F7189C">
            <w:pPr>
              <w:spacing w:line="240" w:lineRule="auto"/>
              <w:jc w:val="left"/>
              <w:rPr>
                <w:kern w:val="0"/>
                <w:sz w:val="18"/>
                <w:szCs w:val="18"/>
              </w:rPr>
            </w:pPr>
            <w:r>
              <w:rPr>
                <w:rFonts w:hint="eastAsia"/>
                <w:kern w:val="0"/>
                <w:sz w:val="18"/>
                <w:szCs w:val="18"/>
              </w:rPr>
              <w:t>基础年出行方式k使用能源x的净热值</w:t>
            </w:r>
          </w:p>
        </w:tc>
      </w:tr>
      <w:tr w14:paraId="7F54A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4C733CFD">
            <w:pPr>
              <w:spacing w:line="240" w:lineRule="auto"/>
              <w:jc w:val="left"/>
              <w:rPr>
                <w:kern w:val="0"/>
                <w:sz w:val="18"/>
                <w:szCs w:val="18"/>
              </w:rPr>
            </w:pPr>
            <m:oMathPara>
              <m:oMath>
                <m:sSub>
                  <m:sSubPr>
                    <m:ctrlPr>
                      <w:rPr>
                        <w:rFonts w:ascii="Cambria Math" w:hAnsi="Cambria Math" w:eastAsia="楷体_GB2312"/>
                        <w:iCs/>
                        <w:sz w:val="18"/>
                        <w:szCs w:val="18"/>
                      </w:rPr>
                    </m:ctrlPr>
                  </m:sSubPr>
                  <m:e>
                    <m:r>
                      <m:rPr>
                        <m:sty m:val="p"/>
                      </m:rPr>
                      <w:rPr>
                        <w:rFonts w:ascii="Cambria Math" w:hAnsi="Cambria Math" w:eastAsia="楷体_GB2312"/>
                        <w:sz w:val="18"/>
                        <w:szCs w:val="18"/>
                      </w:rPr>
                      <m:t>EC</m:t>
                    </m:r>
                    <m:ctrlPr>
                      <w:rPr>
                        <w:rFonts w:ascii="Cambria Math" w:hAnsi="Cambria Math" w:eastAsia="楷体_GB2312"/>
                        <w:iCs/>
                        <w:sz w:val="18"/>
                        <w:szCs w:val="18"/>
                      </w:rPr>
                    </m:ctrlPr>
                  </m:e>
                  <m:sub>
                    <m:r>
                      <m:rPr>
                        <m:sty m:val="p"/>
                      </m:rPr>
                      <w:rPr>
                        <w:rFonts w:ascii="Cambria Math" w:hAnsi="Cambria Math" w:eastAsia="楷体_GB2312"/>
                        <w:sz w:val="18"/>
                        <w:szCs w:val="18"/>
                      </w:rPr>
                      <m:t>k</m:t>
                    </m:r>
                    <m:ctrlPr>
                      <w:rPr>
                        <w:rFonts w:ascii="Cambria Math" w:hAnsi="Cambria Math" w:eastAsia="楷体_GB2312"/>
                        <w:iCs/>
                        <w:sz w:val="18"/>
                        <w:szCs w:val="18"/>
                      </w:rPr>
                    </m:ctrlPr>
                  </m:sub>
                </m:sSub>
              </m:oMath>
            </m:oMathPara>
          </w:p>
        </w:tc>
        <w:tc>
          <w:tcPr>
            <w:tcW w:w="1101" w:type="pct"/>
            <w:shd w:val="clear" w:color="auto" w:fill="auto"/>
            <w:noWrap/>
            <w:vAlign w:val="center"/>
          </w:tcPr>
          <w:p w14:paraId="60FBE899">
            <w:pPr>
              <w:spacing w:line="240" w:lineRule="auto"/>
              <w:jc w:val="center"/>
              <w:rPr>
                <w:kern w:val="0"/>
                <w:sz w:val="18"/>
                <w:szCs w:val="18"/>
              </w:rPr>
            </w:pPr>
            <w:r>
              <w:rPr>
                <w:kern w:val="0"/>
                <w:sz w:val="18"/>
                <w:szCs w:val="18"/>
                <w:lang w:val="en-AU"/>
              </w:rPr>
              <w:t>M</w:t>
            </w:r>
            <w:r>
              <w:rPr>
                <w:kern w:val="0"/>
                <w:sz w:val="18"/>
                <w:szCs w:val="18"/>
              </w:rPr>
              <w:t>Wh</w:t>
            </w:r>
          </w:p>
        </w:tc>
        <w:tc>
          <w:tcPr>
            <w:tcW w:w="3296" w:type="pct"/>
            <w:shd w:val="clear" w:color="auto" w:fill="auto"/>
            <w:noWrap/>
            <w:vAlign w:val="center"/>
          </w:tcPr>
          <w:p w14:paraId="7A9F70BE">
            <w:pPr>
              <w:spacing w:line="240" w:lineRule="auto"/>
              <w:jc w:val="left"/>
              <w:rPr>
                <w:kern w:val="0"/>
                <w:sz w:val="18"/>
                <w:szCs w:val="18"/>
              </w:rPr>
            </w:pPr>
            <w:r>
              <w:rPr>
                <w:rFonts w:hint="eastAsia"/>
                <w:kern w:val="0"/>
                <w:sz w:val="18"/>
                <w:szCs w:val="18"/>
              </w:rPr>
              <w:t>基础年出行方式</w:t>
            </w:r>
            <w:r>
              <w:rPr>
                <w:kern w:val="0"/>
                <w:sz w:val="18"/>
                <w:szCs w:val="18"/>
              </w:rPr>
              <w:t>k</w:t>
            </w:r>
            <w:r>
              <w:rPr>
                <w:rFonts w:hint="eastAsia"/>
                <w:kern w:val="0"/>
                <w:sz w:val="18"/>
                <w:szCs w:val="18"/>
              </w:rPr>
              <w:t>使用电力的耗电总量</w:t>
            </w:r>
          </w:p>
        </w:tc>
      </w:tr>
      <w:tr w14:paraId="57F9A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27EE9545">
            <w:pPr>
              <w:spacing w:line="240" w:lineRule="auto"/>
              <w:jc w:val="left"/>
              <w:rPr>
                <w:kern w:val="0"/>
                <w:sz w:val="18"/>
                <w:szCs w:val="18"/>
              </w:rPr>
            </w:pPr>
            <m:oMathPara>
              <m:oMath>
                <m:r>
                  <m:rPr>
                    <m:sty m:val="p"/>
                  </m:rPr>
                  <w:rPr>
                    <w:rFonts w:ascii="Cambria Math" w:hAnsi="Cambria Math" w:eastAsia="楷体_GB2312"/>
                    <w:sz w:val="18"/>
                    <w:szCs w:val="18"/>
                  </w:rPr>
                  <m:t>TDL</m:t>
                </m:r>
              </m:oMath>
            </m:oMathPara>
          </w:p>
        </w:tc>
        <w:tc>
          <w:tcPr>
            <w:tcW w:w="1101" w:type="pct"/>
            <w:shd w:val="clear" w:color="auto" w:fill="auto"/>
            <w:noWrap/>
            <w:vAlign w:val="center"/>
          </w:tcPr>
          <w:p w14:paraId="6195CAE1">
            <w:pPr>
              <w:spacing w:line="240" w:lineRule="auto"/>
              <w:jc w:val="center"/>
              <w:rPr>
                <w:kern w:val="0"/>
                <w:sz w:val="18"/>
                <w:szCs w:val="18"/>
              </w:rPr>
            </w:pPr>
            <w:r>
              <w:rPr>
                <w:rFonts w:hint="eastAsia"/>
                <w:kern w:val="0"/>
                <w:sz w:val="18"/>
                <w:szCs w:val="18"/>
              </w:rPr>
              <w:t>无量纲</w:t>
            </w:r>
          </w:p>
        </w:tc>
        <w:tc>
          <w:tcPr>
            <w:tcW w:w="3296" w:type="pct"/>
            <w:shd w:val="clear" w:color="auto" w:fill="auto"/>
            <w:noWrap/>
            <w:vAlign w:val="center"/>
          </w:tcPr>
          <w:p w14:paraId="7E2B5BAB">
            <w:pPr>
              <w:spacing w:line="240" w:lineRule="auto"/>
              <w:jc w:val="left"/>
              <w:rPr>
                <w:kern w:val="0"/>
                <w:sz w:val="18"/>
                <w:szCs w:val="18"/>
              </w:rPr>
            </w:pPr>
            <w:r>
              <w:rPr>
                <w:rFonts w:hint="eastAsia"/>
                <w:kern w:val="0"/>
                <w:sz w:val="18"/>
                <w:szCs w:val="18"/>
              </w:rPr>
              <w:t>基础年的电力系统平均技术传输与分配损失系数</w:t>
            </w:r>
          </w:p>
        </w:tc>
      </w:tr>
      <w:tr w14:paraId="58AFD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4AB3A1A6">
            <w:pPr>
              <w:spacing w:line="240" w:lineRule="auto"/>
              <w:jc w:val="left"/>
              <w:rPr>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EF</m:t>
                    </m:r>
                    <m:ctrlPr>
                      <w:rPr>
                        <w:rFonts w:ascii="Cambria Math" w:hAnsi="Cambria Math"/>
                        <w:i/>
                        <w:kern w:val="0"/>
                        <w:sz w:val="18"/>
                        <w:szCs w:val="18"/>
                      </w:rPr>
                    </m:ctrlPr>
                  </m:e>
                  <m:sub>
                    <m:r>
                      <m:rPr/>
                      <w:rPr>
                        <w:rFonts w:ascii="Cambria Math" w:hAnsi="Cambria Math"/>
                        <w:kern w:val="0"/>
                        <w:sz w:val="18"/>
                        <w:szCs w:val="18"/>
                      </w:rPr>
                      <m:t>CO2,x</m:t>
                    </m:r>
                    <m:ctrlPr>
                      <w:rPr>
                        <w:rFonts w:ascii="Cambria Math" w:hAnsi="Cambria Math"/>
                        <w:i/>
                        <w:kern w:val="0"/>
                        <w:sz w:val="18"/>
                        <w:szCs w:val="18"/>
                      </w:rPr>
                    </m:ctrlPr>
                  </m:sub>
                </m:sSub>
              </m:oMath>
            </m:oMathPara>
          </w:p>
        </w:tc>
        <w:tc>
          <w:tcPr>
            <w:tcW w:w="1101" w:type="pct"/>
            <w:shd w:val="clear" w:color="auto" w:fill="auto"/>
            <w:noWrap/>
            <w:vAlign w:val="center"/>
          </w:tcPr>
          <w:p w14:paraId="7D873829">
            <w:pPr>
              <w:spacing w:line="240" w:lineRule="auto"/>
              <w:jc w:val="center"/>
              <w:rPr>
                <w:kern w:val="0"/>
                <w:sz w:val="18"/>
                <w:szCs w:val="18"/>
              </w:rPr>
            </w:pPr>
            <w:r>
              <w:rPr>
                <w:rFonts w:hint="eastAsia"/>
                <w:kern w:val="0"/>
                <w:sz w:val="18"/>
                <w:szCs w:val="18"/>
              </w:rPr>
              <w:t>化石燃料为</w:t>
            </w:r>
            <w:r>
              <w:rPr>
                <w:kern w:val="0"/>
                <w:sz w:val="18"/>
                <w:szCs w:val="18"/>
              </w:rPr>
              <w:t>tCO</w:t>
            </w:r>
            <w:r>
              <w:rPr>
                <w:kern w:val="0"/>
                <w:sz w:val="18"/>
                <w:szCs w:val="18"/>
                <w:vertAlign w:val="subscript"/>
              </w:rPr>
              <w:t>2</w:t>
            </w:r>
            <w:r>
              <w:rPr>
                <w:kern w:val="0"/>
                <w:sz w:val="18"/>
                <w:szCs w:val="18"/>
              </w:rPr>
              <w:t>/MJ</w:t>
            </w:r>
          </w:p>
        </w:tc>
        <w:tc>
          <w:tcPr>
            <w:tcW w:w="3296" w:type="pct"/>
            <w:shd w:val="clear" w:color="auto" w:fill="auto"/>
            <w:noWrap/>
            <w:vAlign w:val="center"/>
          </w:tcPr>
          <w:p w14:paraId="14C00E40">
            <w:pPr>
              <w:spacing w:line="240" w:lineRule="auto"/>
              <w:jc w:val="left"/>
              <w:rPr>
                <w:kern w:val="0"/>
                <w:sz w:val="18"/>
                <w:szCs w:val="18"/>
              </w:rPr>
            </w:pPr>
            <w:r>
              <w:rPr>
                <w:rFonts w:hint="eastAsia"/>
                <w:kern w:val="0"/>
                <w:sz w:val="18"/>
                <w:szCs w:val="18"/>
              </w:rPr>
              <w:t>基础年能源类型</w:t>
            </w:r>
            <w:r>
              <w:rPr>
                <w:kern w:val="0"/>
                <w:sz w:val="18"/>
                <w:szCs w:val="18"/>
              </w:rPr>
              <w:t>x</w:t>
            </w:r>
            <w:r>
              <w:rPr>
                <w:rFonts w:hint="eastAsia"/>
                <w:kern w:val="0"/>
                <w:sz w:val="18"/>
                <w:szCs w:val="18"/>
              </w:rPr>
              <w:t>的碳排放因子</w:t>
            </w:r>
          </w:p>
        </w:tc>
      </w:tr>
      <w:tr w14:paraId="0766E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601" w:type="pct"/>
            <w:shd w:val="clear" w:color="auto" w:fill="auto"/>
            <w:noWrap/>
            <w:vAlign w:val="center"/>
          </w:tcPr>
          <w:p w14:paraId="25F9699E">
            <w:pPr>
              <w:spacing w:line="240" w:lineRule="auto"/>
              <w:jc w:val="left"/>
              <w:rPr>
                <w:kern w:val="0"/>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EF</m:t>
                    </m:r>
                    <m:ctrlPr>
                      <w:rPr>
                        <w:rFonts w:ascii="Cambria Math" w:hAnsi="Cambria Math"/>
                        <w:i/>
                        <w:kern w:val="0"/>
                        <w:sz w:val="18"/>
                        <w:szCs w:val="18"/>
                      </w:rPr>
                    </m:ctrlPr>
                  </m:e>
                  <m:sub>
                    <m:r>
                      <m:rPr/>
                      <w:rPr>
                        <w:rFonts w:ascii="Cambria Math" w:hAnsi="Cambria Math"/>
                        <w:kern w:val="0"/>
                        <w:sz w:val="18"/>
                        <w:szCs w:val="18"/>
                      </w:rPr>
                      <m:t>CO2,</m:t>
                    </m:r>
                    <m:r>
                      <m:rPr/>
                      <w:rPr>
                        <w:rFonts w:hint="eastAsia" w:ascii="Cambria Math" w:hAnsi="Cambria Math"/>
                        <w:kern w:val="0"/>
                        <w:sz w:val="18"/>
                        <w:szCs w:val="18"/>
                      </w:rPr>
                      <m:t>电</m:t>
                    </m:r>
                    <m:ctrlPr>
                      <w:rPr>
                        <w:rFonts w:ascii="Cambria Math" w:hAnsi="Cambria Math"/>
                        <w:i/>
                        <w:kern w:val="0"/>
                        <w:sz w:val="18"/>
                        <w:szCs w:val="18"/>
                      </w:rPr>
                    </m:ctrlPr>
                  </m:sub>
                </m:sSub>
              </m:oMath>
            </m:oMathPara>
          </w:p>
        </w:tc>
        <w:tc>
          <w:tcPr>
            <w:tcW w:w="1101" w:type="pct"/>
            <w:shd w:val="clear" w:color="auto" w:fill="auto"/>
            <w:noWrap/>
            <w:vAlign w:val="center"/>
          </w:tcPr>
          <w:p w14:paraId="74B6C78B">
            <w:pPr>
              <w:spacing w:line="240" w:lineRule="auto"/>
              <w:jc w:val="center"/>
              <w:rPr>
                <w:kern w:val="0"/>
                <w:sz w:val="18"/>
                <w:szCs w:val="18"/>
              </w:rPr>
            </w:pPr>
            <w:r>
              <w:rPr>
                <w:rFonts w:hint="eastAsia"/>
                <w:kern w:val="0"/>
                <w:sz w:val="18"/>
                <w:szCs w:val="18"/>
              </w:rPr>
              <w:t>电力为</w:t>
            </w:r>
            <w:r>
              <w:rPr>
                <w:kern w:val="0"/>
                <w:sz w:val="18"/>
                <w:szCs w:val="18"/>
              </w:rPr>
              <w:t>tCO</w:t>
            </w:r>
            <w:r>
              <w:rPr>
                <w:kern w:val="0"/>
                <w:sz w:val="18"/>
                <w:szCs w:val="18"/>
                <w:vertAlign w:val="subscript"/>
              </w:rPr>
              <w:t>2</w:t>
            </w:r>
            <w:r>
              <w:rPr>
                <w:kern w:val="0"/>
                <w:sz w:val="18"/>
                <w:szCs w:val="18"/>
              </w:rPr>
              <w:t>/MWh</w:t>
            </w:r>
          </w:p>
        </w:tc>
        <w:tc>
          <w:tcPr>
            <w:tcW w:w="3296" w:type="pct"/>
            <w:shd w:val="clear" w:color="auto" w:fill="auto"/>
            <w:noWrap/>
            <w:vAlign w:val="center"/>
          </w:tcPr>
          <w:p w14:paraId="26A2315B">
            <w:pPr>
              <w:spacing w:line="240" w:lineRule="auto"/>
              <w:jc w:val="left"/>
              <w:rPr>
                <w:kern w:val="0"/>
                <w:sz w:val="18"/>
                <w:szCs w:val="18"/>
              </w:rPr>
            </w:pPr>
            <w:r>
              <w:rPr>
                <w:rFonts w:hint="eastAsia"/>
                <w:kern w:val="0"/>
                <w:sz w:val="18"/>
                <w:szCs w:val="18"/>
              </w:rPr>
              <w:t>基础年能源类型为电力的碳排放因子</w:t>
            </w:r>
          </w:p>
        </w:tc>
      </w:tr>
      <w:tr w14:paraId="358A2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0EC958E0">
            <w:pPr>
              <w:spacing w:line="240" w:lineRule="auto"/>
              <w:jc w:val="left"/>
              <w:rPr>
                <w:sz w:val="18"/>
                <w:szCs w:val="18"/>
              </w:rPr>
            </w:pPr>
            <m:oMathPara>
              <m:oMath>
                <m:sSub>
                  <m:sSubPr>
                    <m:ctrlPr>
                      <w:rPr>
                        <w:rFonts w:ascii="Cambria Math" w:hAnsi="Cambria Math" w:eastAsia="楷体_GB2312"/>
                        <w:sz w:val="18"/>
                        <w:szCs w:val="18"/>
                      </w:rPr>
                    </m:ctrlPr>
                  </m:sSubPr>
                  <m:e>
                    <m:r>
                      <m:rPr/>
                      <w:rPr>
                        <w:rFonts w:ascii="Cambria Math" w:hAnsi="Cambria Math" w:eastAsia="楷体_GB2312"/>
                        <w:sz w:val="18"/>
                        <w:szCs w:val="18"/>
                      </w:rPr>
                      <m:t>D</m:t>
                    </m:r>
                    <m:ctrlPr>
                      <w:rPr>
                        <w:rFonts w:ascii="Cambria Math" w:hAnsi="Cambria Math" w:eastAsia="楷体_GB2312"/>
                        <w:sz w:val="18"/>
                        <w:szCs w:val="18"/>
                      </w:rPr>
                    </m:ctrlPr>
                  </m:e>
                  <m:sub>
                    <m:r>
                      <m:rPr/>
                      <w:rPr>
                        <w:rFonts w:ascii="Cambria Math" w:hAnsi="Cambria Math" w:eastAsia="楷体_GB2312"/>
                        <w:sz w:val="18"/>
                        <w:szCs w:val="18"/>
                      </w:rPr>
                      <m:t>k</m:t>
                    </m:r>
                    <m:ctrlPr>
                      <w:rPr>
                        <w:rFonts w:ascii="Cambria Math" w:hAnsi="Cambria Math" w:eastAsia="楷体_GB2312"/>
                        <w:sz w:val="18"/>
                        <w:szCs w:val="18"/>
                      </w:rPr>
                    </m:ctrlPr>
                  </m:sub>
                </m:sSub>
              </m:oMath>
            </m:oMathPara>
          </w:p>
        </w:tc>
        <w:tc>
          <w:tcPr>
            <w:tcW w:w="1101" w:type="pct"/>
            <w:shd w:val="clear" w:color="auto" w:fill="auto"/>
            <w:noWrap/>
            <w:vAlign w:val="center"/>
          </w:tcPr>
          <w:p w14:paraId="5CA53B9E">
            <w:pPr>
              <w:spacing w:line="240" w:lineRule="auto"/>
              <w:jc w:val="center"/>
              <w:rPr>
                <w:kern w:val="0"/>
                <w:sz w:val="18"/>
                <w:szCs w:val="18"/>
              </w:rPr>
            </w:pPr>
            <w:r>
              <w:rPr>
                <w:kern w:val="0"/>
                <w:sz w:val="18"/>
                <w:szCs w:val="18"/>
              </w:rPr>
              <w:t>PKM/</w:t>
            </w:r>
            <w:r>
              <w:rPr>
                <w:rFonts w:hint="eastAsia"/>
                <w:kern w:val="0"/>
                <w:sz w:val="18"/>
                <w:szCs w:val="18"/>
              </w:rPr>
              <w:t>次</w:t>
            </w:r>
          </w:p>
        </w:tc>
        <w:tc>
          <w:tcPr>
            <w:tcW w:w="3296" w:type="pct"/>
            <w:shd w:val="clear" w:color="auto" w:fill="auto"/>
            <w:noWrap/>
            <w:vAlign w:val="center"/>
          </w:tcPr>
          <w:p w14:paraId="076B8A2C">
            <w:pPr>
              <w:spacing w:line="240" w:lineRule="auto"/>
              <w:jc w:val="left"/>
              <w:rPr>
                <w:kern w:val="0"/>
                <w:sz w:val="18"/>
                <w:szCs w:val="18"/>
              </w:rPr>
            </w:pPr>
            <w:r>
              <w:rPr>
                <w:rFonts w:hint="eastAsia"/>
                <w:kern w:val="0"/>
                <w:sz w:val="18"/>
                <w:szCs w:val="18"/>
              </w:rPr>
              <w:t>基础年出行方式</w:t>
            </w:r>
            <w:r>
              <w:rPr>
                <w:kern w:val="0"/>
                <w:sz w:val="18"/>
                <w:szCs w:val="18"/>
              </w:rPr>
              <w:t>k</w:t>
            </w:r>
            <w:r>
              <w:rPr>
                <w:rFonts w:hint="eastAsia"/>
                <w:kern w:val="0"/>
                <w:sz w:val="18"/>
                <w:szCs w:val="18"/>
              </w:rPr>
              <w:t>的人均单次出行距离</w:t>
            </w:r>
          </w:p>
        </w:tc>
      </w:tr>
      <w:tr w14:paraId="7F4A6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001150D6">
            <w:pPr>
              <w:spacing w:line="240" w:lineRule="auto"/>
              <w:jc w:val="left"/>
              <w:rPr>
                <w:sz w:val="18"/>
                <w:szCs w:val="18"/>
              </w:rPr>
            </w:pPr>
            <m:oMathPara>
              <m:oMath>
                <m:sSub>
                  <m:sSubPr>
                    <m:ctrlPr>
                      <w:rPr>
                        <w:rFonts w:ascii="Cambria Math" w:hAnsi="Cambria Math" w:eastAsia="楷体_GB2312"/>
                        <w:sz w:val="18"/>
                        <w:szCs w:val="18"/>
                      </w:rPr>
                    </m:ctrlPr>
                  </m:sSubPr>
                  <m:e>
                    <m:r>
                      <m:rPr/>
                      <w:rPr>
                        <w:rFonts w:ascii="Cambria Math" w:hAnsi="Cambria Math" w:eastAsia="楷体_GB2312"/>
                        <w:sz w:val="18"/>
                        <w:szCs w:val="18"/>
                      </w:rPr>
                      <m:t>P</m:t>
                    </m:r>
                    <m:ctrlPr>
                      <w:rPr>
                        <w:rFonts w:ascii="Cambria Math" w:hAnsi="Cambria Math" w:eastAsia="楷体_GB2312"/>
                        <w:sz w:val="18"/>
                        <w:szCs w:val="18"/>
                      </w:rPr>
                    </m:ctrlPr>
                  </m:e>
                  <m:sub>
                    <m:r>
                      <m:rPr/>
                      <w:rPr>
                        <w:rFonts w:ascii="Cambria Math" w:hAnsi="Cambria Math" w:eastAsia="楷体_GB2312"/>
                        <w:sz w:val="18"/>
                        <w:szCs w:val="18"/>
                      </w:rPr>
                      <m:t>k</m:t>
                    </m:r>
                    <m:ctrlPr>
                      <w:rPr>
                        <w:rFonts w:ascii="Cambria Math" w:hAnsi="Cambria Math" w:eastAsia="楷体_GB2312"/>
                        <w:sz w:val="18"/>
                        <w:szCs w:val="18"/>
                      </w:rPr>
                    </m:ctrlPr>
                  </m:sub>
                </m:sSub>
              </m:oMath>
            </m:oMathPara>
          </w:p>
        </w:tc>
        <w:tc>
          <w:tcPr>
            <w:tcW w:w="1101" w:type="pct"/>
            <w:shd w:val="clear" w:color="auto" w:fill="auto"/>
            <w:noWrap/>
            <w:vAlign w:val="center"/>
          </w:tcPr>
          <w:p w14:paraId="7F3B106E">
            <w:pPr>
              <w:spacing w:line="240" w:lineRule="auto"/>
              <w:jc w:val="center"/>
              <w:rPr>
                <w:kern w:val="0"/>
                <w:sz w:val="18"/>
                <w:szCs w:val="18"/>
              </w:rPr>
            </w:pPr>
            <w:r>
              <w:rPr>
                <w:rFonts w:hint="eastAsia"/>
                <w:kern w:val="0"/>
                <w:sz w:val="18"/>
                <w:szCs w:val="18"/>
              </w:rPr>
              <w:t>次</w:t>
            </w:r>
          </w:p>
        </w:tc>
        <w:tc>
          <w:tcPr>
            <w:tcW w:w="3296" w:type="pct"/>
            <w:shd w:val="clear" w:color="auto" w:fill="auto"/>
            <w:noWrap/>
            <w:vAlign w:val="center"/>
          </w:tcPr>
          <w:p w14:paraId="3CD156D9">
            <w:pPr>
              <w:spacing w:line="240" w:lineRule="auto"/>
              <w:jc w:val="left"/>
              <w:rPr>
                <w:kern w:val="0"/>
                <w:sz w:val="18"/>
                <w:szCs w:val="18"/>
              </w:rPr>
            </w:pPr>
            <w:r>
              <w:rPr>
                <w:rFonts w:hint="eastAsia"/>
                <w:kern w:val="0"/>
                <w:sz w:val="18"/>
                <w:szCs w:val="18"/>
              </w:rPr>
              <w:t>基础年出行方式</w:t>
            </w:r>
            <w:r>
              <w:rPr>
                <w:kern w:val="0"/>
                <w:sz w:val="18"/>
                <w:szCs w:val="18"/>
              </w:rPr>
              <w:t>k</w:t>
            </w:r>
            <w:r>
              <w:rPr>
                <w:rFonts w:hint="eastAsia"/>
                <w:kern w:val="0"/>
                <w:sz w:val="18"/>
                <w:szCs w:val="18"/>
              </w:rPr>
              <w:t>的年出行总量</w:t>
            </w:r>
          </w:p>
        </w:tc>
      </w:tr>
      <w:tr w14:paraId="1FC60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01" w:type="pct"/>
            <w:shd w:val="clear" w:color="auto" w:fill="auto"/>
            <w:noWrap/>
            <w:vAlign w:val="center"/>
          </w:tcPr>
          <w:p w14:paraId="17145649">
            <w:pPr>
              <w:pStyle w:val="229"/>
              <w:ind w:firstLineChars="0"/>
              <w:jc w:val="left"/>
              <w:rPr>
                <w:rFonts w:ascii="Times New Roman"/>
                <w:sz w:val="18"/>
              </w:rPr>
            </w:pPr>
            <m:oMathPara>
              <m:oMath>
                <m:sSub>
                  <m:sSubPr>
                    <m:ctrlPr>
                      <w:rPr>
                        <w:rFonts w:ascii="Cambria Math" w:hAnsi="Cambria Math"/>
                        <w:i/>
                        <w:sz w:val="18"/>
                        <w:szCs w:val="24"/>
                      </w:rPr>
                    </m:ctrlPr>
                  </m:sSubPr>
                  <m:e>
                    <m:r>
                      <m:rPr/>
                      <w:rPr>
                        <w:rFonts w:ascii="Cambria Math" w:hAnsi="Cambria Math"/>
                        <w:sz w:val="18"/>
                      </w:rPr>
                      <m:t>M</m:t>
                    </m:r>
                    <m:ctrlPr>
                      <w:rPr>
                        <w:rFonts w:ascii="Cambria Math" w:hAnsi="Cambria Math"/>
                        <w:i/>
                        <w:sz w:val="18"/>
                        <w:szCs w:val="24"/>
                      </w:rPr>
                    </m:ctrlPr>
                  </m:e>
                  <m:sub>
                    <m:r>
                      <m:rPr/>
                      <w:rPr>
                        <w:rFonts w:ascii="Cambria Math" w:hAnsi="Cambria Math"/>
                        <w:sz w:val="18"/>
                      </w:rPr>
                      <m:t>k</m:t>
                    </m:r>
                    <m:ctrlPr>
                      <w:rPr>
                        <w:rFonts w:ascii="Cambria Math" w:hAnsi="Cambria Math"/>
                        <w:i/>
                        <w:sz w:val="18"/>
                        <w:szCs w:val="24"/>
                      </w:rPr>
                    </m:ctrlPr>
                  </m:sub>
                </m:sSub>
              </m:oMath>
            </m:oMathPara>
          </w:p>
        </w:tc>
        <w:tc>
          <w:tcPr>
            <w:tcW w:w="1101" w:type="pct"/>
            <w:shd w:val="clear" w:color="auto" w:fill="auto"/>
            <w:noWrap/>
            <w:vAlign w:val="center"/>
          </w:tcPr>
          <w:p w14:paraId="453CF44A">
            <w:pPr>
              <w:spacing w:line="240" w:lineRule="auto"/>
              <w:jc w:val="center"/>
              <w:rPr>
                <w:kern w:val="0"/>
                <w:sz w:val="18"/>
                <w:szCs w:val="18"/>
              </w:rPr>
            </w:pPr>
            <w:r>
              <w:rPr>
                <w:rFonts w:hint="eastAsia" w:ascii="Times New Roman"/>
                <w:sz w:val="18"/>
              </w:rPr>
              <w:t>人公里</w:t>
            </w:r>
          </w:p>
        </w:tc>
        <w:tc>
          <w:tcPr>
            <w:tcW w:w="3296" w:type="pct"/>
            <w:shd w:val="clear" w:color="auto" w:fill="auto"/>
            <w:noWrap/>
            <w:vAlign w:val="center"/>
          </w:tcPr>
          <w:p w14:paraId="6E2DAFEC">
            <w:pPr>
              <w:spacing w:line="240" w:lineRule="auto"/>
              <w:jc w:val="left"/>
              <w:rPr>
                <w:kern w:val="0"/>
                <w:sz w:val="18"/>
                <w:szCs w:val="18"/>
              </w:rPr>
            </w:pPr>
            <w:r>
              <w:rPr>
                <w:rFonts w:ascii="Times New Roman"/>
                <w:sz w:val="18"/>
              </w:rPr>
              <w:t>基础年出行方式k的</w:t>
            </w:r>
            <w:r>
              <w:rPr>
                <w:rFonts w:hint="eastAsia" w:ascii="Times New Roman"/>
                <w:sz w:val="18"/>
              </w:rPr>
              <w:t>年客运周转量</w:t>
            </w:r>
          </w:p>
        </w:tc>
      </w:tr>
    </w:tbl>
    <w:p w14:paraId="58E57298">
      <w:pPr>
        <w:pStyle w:val="105"/>
        <w:spacing w:before="156" w:after="156"/>
      </w:pPr>
      <w:bookmarkStart w:id="90" w:name="_Toc130559703"/>
      <w:bookmarkStart w:id="91" w:name="_Toc130559571"/>
      <w:bookmarkStart w:id="92" w:name="_Toc131518024"/>
      <w:r>
        <w:rPr>
          <w:rFonts w:hint="eastAsia"/>
        </w:rPr>
        <w:t>一般监测规则</w:t>
      </w:r>
      <w:bookmarkEnd w:id="90"/>
      <w:bookmarkEnd w:id="91"/>
      <w:bookmarkEnd w:id="92"/>
    </w:p>
    <w:p w14:paraId="4CE85592">
      <w:pPr>
        <w:pStyle w:val="56"/>
        <w:ind w:firstLine="420"/>
      </w:pPr>
      <w:r>
        <w:rPr>
          <w:rFonts w:hint="eastAsia"/>
        </w:rPr>
        <w:t>作为监测的一部分，应当对收集的所有监测数据进行电子版存档并且至少保存至最后一个计入期结束后两年。如果在下表中没有特殊的说明，所有的数据都需要进行全部监测，监测频率为实时监测。所有的测量都应该采用符合相关行业标准的校准测量仪器进行。</w:t>
      </w:r>
    </w:p>
    <w:p w14:paraId="12EF504B">
      <w:pPr>
        <w:pStyle w:val="105"/>
        <w:spacing w:before="156" w:after="156"/>
      </w:pPr>
      <w:bookmarkStart w:id="93" w:name="_Toc131518025"/>
      <w:bookmarkStart w:id="94" w:name="_Toc130559704"/>
      <w:bookmarkStart w:id="95" w:name="_Toc130559572"/>
      <w:r>
        <w:rPr>
          <w:rFonts w:hint="eastAsia"/>
        </w:rPr>
        <w:t>需要监测的数据和参数</w:t>
      </w:r>
      <w:bookmarkEnd w:id="93"/>
      <w:bookmarkEnd w:id="94"/>
      <w:bookmarkEnd w:id="95"/>
    </w:p>
    <w:p w14:paraId="55726B3F">
      <w:pPr>
        <w:pStyle w:val="56"/>
        <w:ind w:firstLine="420"/>
      </w:pPr>
      <w:r>
        <w:rPr>
          <w:rFonts w:hint="eastAsia"/>
        </w:rPr>
        <w:t>需要监测的数据和参数主要为绿色出行次数、绿色出行的时段、绿色出行方式、出行的起始位置和出行过程中的轨迹坐标等。具体数据和参数的单位和物理表述见表3。</w:t>
      </w:r>
    </w:p>
    <w:p w14:paraId="198711A3">
      <w:pPr>
        <w:pStyle w:val="112"/>
        <w:spacing w:before="156" w:after="156"/>
      </w:pPr>
      <w:r>
        <w:rPr>
          <w:rFonts w:hint="eastAsia"/>
        </w:rPr>
        <w:t>需要监测的数据和参数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77"/>
        <w:gridCol w:w="1529"/>
        <w:gridCol w:w="3943"/>
        <w:gridCol w:w="2895"/>
      </w:tblGrid>
      <w:tr w14:paraId="14184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tblHeader/>
          <w:jc w:val="center"/>
        </w:trPr>
        <w:tc>
          <w:tcPr>
            <w:tcW w:w="977" w:type="dxa"/>
            <w:tcBorders>
              <w:top w:val="single" w:color="auto" w:sz="8" w:space="0"/>
              <w:bottom w:val="single" w:color="auto" w:sz="8" w:space="0"/>
            </w:tcBorders>
            <w:shd w:val="clear" w:color="auto" w:fill="auto"/>
            <w:noWrap/>
            <w:vAlign w:val="center"/>
          </w:tcPr>
          <w:p w14:paraId="03C5AF4C">
            <w:pPr>
              <w:widowControl/>
              <w:spacing w:line="240" w:lineRule="auto"/>
              <w:jc w:val="center"/>
              <w:rPr>
                <w:rFonts w:hAnsi="宋体" w:cs="Calibri"/>
                <w:color w:val="000000"/>
                <w:kern w:val="0"/>
                <w:sz w:val="18"/>
                <w:lang w:val="en-AU"/>
              </w:rPr>
            </w:pPr>
            <w:r>
              <w:rPr>
                <w:rFonts w:hint="eastAsia" w:hAnsi="宋体" w:cs="Calibri"/>
                <w:color w:val="000000"/>
                <w:kern w:val="0"/>
                <w:sz w:val="18"/>
                <w:lang w:val="en-AU"/>
              </w:rPr>
              <w:t>数据/参数</w:t>
            </w:r>
          </w:p>
        </w:tc>
        <w:tc>
          <w:tcPr>
            <w:tcW w:w="1529" w:type="dxa"/>
            <w:tcBorders>
              <w:top w:val="single" w:color="auto" w:sz="8" w:space="0"/>
              <w:bottom w:val="single" w:color="auto" w:sz="8" w:space="0"/>
            </w:tcBorders>
            <w:shd w:val="clear" w:color="auto" w:fill="auto"/>
            <w:noWrap/>
            <w:vAlign w:val="center"/>
          </w:tcPr>
          <w:p w14:paraId="73B2B078">
            <w:pPr>
              <w:widowControl/>
              <w:spacing w:line="240" w:lineRule="auto"/>
              <w:jc w:val="center"/>
              <w:rPr>
                <w:rFonts w:hAnsi="宋体" w:cs="Calibri"/>
                <w:color w:val="000000"/>
                <w:kern w:val="0"/>
                <w:sz w:val="18"/>
                <w:lang w:val="en-AU"/>
              </w:rPr>
            </w:pPr>
            <w:r>
              <w:rPr>
                <w:rFonts w:hint="eastAsia" w:hAnsi="宋体" w:cs="Calibri"/>
                <w:color w:val="000000"/>
                <w:kern w:val="0"/>
                <w:sz w:val="18"/>
                <w:lang w:val="en-AU"/>
              </w:rPr>
              <w:t>单位</w:t>
            </w:r>
          </w:p>
        </w:tc>
        <w:tc>
          <w:tcPr>
            <w:tcW w:w="3943" w:type="dxa"/>
            <w:tcBorders>
              <w:top w:val="single" w:color="auto" w:sz="8" w:space="0"/>
              <w:bottom w:val="single" w:color="auto" w:sz="8" w:space="0"/>
            </w:tcBorders>
            <w:shd w:val="clear" w:color="auto" w:fill="auto"/>
            <w:noWrap/>
            <w:vAlign w:val="center"/>
          </w:tcPr>
          <w:p w14:paraId="1623F90D">
            <w:pPr>
              <w:widowControl/>
              <w:spacing w:line="240" w:lineRule="auto"/>
              <w:jc w:val="center"/>
              <w:rPr>
                <w:rFonts w:hAnsi="宋体" w:cs="Calibri"/>
                <w:color w:val="000000"/>
                <w:kern w:val="0"/>
                <w:sz w:val="18"/>
                <w:lang w:val="en-AU"/>
              </w:rPr>
            </w:pPr>
            <w:r>
              <w:rPr>
                <w:rFonts w:hint="eastAsia" w:hAnsi="宋体" w:cs="Calibri"/>
                <w:color w:val="000000"/>
                <w:kern w:val="0"/>
                <w:sz w:val="18"/>
                <w:lang w:val="en-AU"/>
              </w:rPr>
              <w:t>描述</w:t>
            </w:r>
          </w:p>
        </w:tc>
        <w:tc>
          <w:tcPr>
            <w:tcW w:w="2895" w:type="dxa"/>
            <w:tcBorders>
              <w:top w:val="single" w:color="auto" w:sz="8" w:space="0"/>
              <w:bottom w:val="single" w:color="auto" w:sz="8" w:space="0"/>
            </w:tcBorders>
            <w:shd w:val="clear" w:color="auto" w:fill="auto"/>
            <w:noWrap/>
            <w:vAlign w:val="center"/>
          </w:tcPr>
          <w:p w14:paraId="3A71BA4D">
            <w:pPr>
              <w:widowControl/>
              <w:spacing w:line="240" w:lineRule="auto"/>
              <w:jc w:val="center"/>
              <w:rPr>
                <w:rFonts w:hAnsi="宋体" w:cs="Calibri"/>
                <w:color w:val="000000"/>
                <w:kern w:val="0"/>
                <w:sz w:val="18"/>
                <w:lang w:val="en-AU"/>
              </w:rPr>
            </w:pPr>
            <w:r>
              <w:rPr>
                <w:rFonts w:hint="eastAsia" w:hAnsi="宋体" w:cs="Calibri"/>
                <w:color w:val="000000"/>
                <w:kern w:val="0"/>
                <w:sz w:val="18"/>
                <w:lang w:val="en-AU"/>
              </w:rPr>
              <w:t>其他说明</w:t>
            </w:r>
          </w:p>
        </w:tc>
      </w:tr>
      <w:tr w14:paraId="6B5A8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tcBorders>
              <w:top w:val="single" w:color="auto" w:sz="8" w:space="0"/>
            </w:tcBorders>
            <w:shd w:val="clear" w:color="auto" w:fill="auto"/>
            <w:noWrap/>
            <w:vAlign w:val="center"/>
          </w:tcPr>
          <w:p w14:paraId="31A731BE">
            <w:pPr>
              <w:spacing w:line="240" w:lineRule="auto"/>
              <w:jc w:val="center"/>
              <w:rPr>
                <w:kern w:val="0"/>
                <w:sz w:val="18"/>
                <w:szCs w:val="18"/>
              </w:rPr>
            </w:pPr>
            <w:r>
              <w:rPr>
                <w:kern w:val="0"/>
                <w:sz w:val="18"/>
                <w:szCs w:val="18"/>
              </w:rPr>
              <w:t>i</w:t>
            </w:r>
          </w:p>
        </w:tc>
        <w:tc>
          <w:tcPr>
            <w:tcW w:w="1529" w:type="dxa"/>
            <w:tcBorders>
              <w:top w:val="single" w:color="auto" w:sz="8" w:space="0"/>
            </w:tcBorders>
            <w:shd w:val="clear" w:color="auto" w:fill="auto"/>
            <w:noWrap/>
            <w:vAlign w:val="center"/>
          </w:tcPr>
          <w:p w14:paraId="2565D97C">
            <w:pPr>
              <w:spacing w:line="240" w:lineRule="auto"/>
              <w:jc w:val="center"/>
              <w:rPr>
                <w:kern w:val="0"/>
                <w:sz w:val="18"/>
                <w:szCs w:val="18"/>
              </w:rPr>
            </w:pPr>
            <w:r>
              <w:rPr>
                <w:rFonts w:hint="eastAsia"/>
                <w:kern w:val="0"/>
                <w:sz w:val="18"/>
                <w:szCs w:val="18"/>
              </w:rPr>
              <w:t>次</w:t>
            </w:r>
          </w:p>
        </w:tc>
        <w:tc>
          <w:tcPr>
            <w:tcW w:w="3943" w:type="dxa"/>
            <w:tcBorders>
              <w:top w:val="single" w:color="auto" w:sz="8" w:space="0"/>
            </w:tcBorders>
            <w:shd w:val="clear" w:color="auto" w:fill="auto"/>
            <w:noWrap/>
            <w:vAlign w:val="center"/>
          </w:tcPr>
          <w:p w14:paraId="6FD8354F">
            <w:pPr>
              <w:spacing w:line="240" w:lineRule="auto"/>
              <w:jc w:val="both"/>
              <w:rPr>
                <w:kern w:val="0"/>
                <w:sz w:val="18"/>
                <w:szCs w:val="18"/>
              </w:rPr>
            </w:pPr>
            <w:r>
              <w:rPr>
                <w:rFonts w:hint="eastAsia"/>
                <w:kern w:val="0"/>
                <w:sz w:val="18"/>
                <w:szCs w:val="18"/>
              </w:rPr>
              <w:t>第y年替代高排放出行的绿色出行次数</w:t>
            </w:r>
          </w:p>
        </w:tc>
        <w:tc>
          <w:tcPr>
            <w:tcW w:w="2895" w:type="dxa"/>
            <w:tcBorders>
              <w:top w:val="single" w:color="auto" w:sz="8" w:space="0"/>
            </w:tcBorders>
            <w:shd w:val="clear" w:color="auto" w:fill="auto"/>
            <w:noWrap/>
            <w:vAlign w:val="center"/>
          </w:tcPr>
          <w:p w14:paraId="42D48C65">
            <w:pPr>
              <w:spacing w:line="240" w:lineRule="auto"/>
              <w:jc w:val="both"/>
              <w:rPr>
                <w:kern w:val="0"/>
                <w:sz w:val="18"/>
                <w:szCs w:val="18"/>
              </w:rPr>
            </w:pPr>
            <w:r>
              <w:rPr>
                <w:rFonts w:hint="eastAsia"/>
                <w:kern w:val="0"/>
                <w:sz w:val="18"/>
                <w:szCs w:val="18"/>
              </w:rPr>
              <w:t>计算基准线情景和项目情景碳排放量</w:t>
            </w:r>
          </w:p>
        </w:tc>
      </w:tr>
      <w:tr w14:paraId="1D1A9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143B4E61">
            <w:pPr>
              <w:spacing w:line="240" w:lineRule="auto"/>
              <w:jc w:val="center"/>
              <w:rPr>
                <w:kern w:val="0"/>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T</m:t>
                    </m:r>
                    <m:ctrlPr>
                      <w:rPr>
                        <w:rFonts w:ascii="Cambria Math" w:hAnsi="Cambria Math"/>
                        <w:i/>
                        <w:kern w:val="0"/>
                        <w:sz w:val="18"/>
                        <w:szCs w:val="18"/>
                      </w:rPr>
                    </m:ctrlPr>
                  </m:e>
                  <m:sub>
                    <m:r>
                      <m:rPr/>
                      <w:rPr>
                        <w:rFonts w:ascii="Cambria Math" w:hAnsi="Cambria Math"/>
                        <w:kern w:val="0"/>
                        <w:sz w:val="18"/>
                        <w:szCs w:val="18"/>
                      </w:rPr>
                      <m:t>i</m:t>
                    </m:r>
                    <m:ctrlPr>
                      <w:rPr>
                        <w:rFonts w:ascii="Cambria Math" w:hAnsi="Cambria Math"/>
                        <w:i/>
                        <w:kern w:val="0"/>
                        <w:sz w:val="18"/>
                        <w:szCs w:val="18"/>
                      </w:rPr>
                    </m:ctrlPr>
                  </m:sub>
                </m:sSub>
              </m:oMath>
            </m:oMathPara>
          </w:p>
        </w:tc>
        <w:tc>
          <w:tcPr>
            <w:tcW w:w="1529" w:type="dxa"/>
            <w:shd w:val="clear" w:color="auto" w:fill="auto"/>
            <w:noWrap/>
            <w:vAlign w:val="center"/>
          </w:tcPr>
          <w:p w14:paraId="4CA08808">
            <w:pPr>
              <w:spacing w:line="240" w:lineRule="auto"/>
              <w:jc w:val="center"/>
              <w:rPr>
                <w:kern w:val="0"/>
                <w:sz w:val="18"/>
                <w:szCs w:val="18"/>
              </w:rPr>
            </w:pPr>
            <w:r>
              <w:rPr>
                <w:rFonts w:hint="eastAsia"/>
                <w:kern w:val="0"/>
                <w:sz w:val="18"/>
                <w:szCs w:val="18"/>
              </w:rPr>
              <w:t>时间</w:t>
            </w:r>
          </w:p>
        </w:tc>
        <w:tc>
          <w:tcPr>
            <w:tcW w:w="3943" w:type="dxa"/>
            <w:shd w:val="clear" w:color="auto" w:fill="auto"/>
            <w:noWrap/>
            <w:vAlign w:val="center"/>
          </w:tcPr>
          <w:p w14:paraId="3869CF8E">
            <w:pPr>
              <w:spacing w:line="240" w:lineRule="auto"/>
              <w:jc w:val="both"/>
              <w:rPr>
                <w:kern w:val="0"/>
                <w:sz w:val="18"/>
                <w:szCs w:val="18"/>
              </w:rPr>
            </w:pPr>
            <w:r>
              <w:rPr>
                <w:rFonts w:hint="eastAsia"/>
                <w:kern w:val="0"/>
                <w:sz w:val="18"/>
                <w:szCs w:val="18"/>
              </w:rPr>
              <w:t>第</w:t>
            </w:r>
            <w:r>
              <w:rPr>
                <w:kern w:val="0"/>
                <w:sz w:val="18"/>
                <w:szCs w:val="18"/>
              </w:rPr>
              <w:t>i</w:t>
            </w:r>
            <w:r>
              <w:rPr>
                <w:rFonts w:hint="eastAsia"/>
                <w:kern w:val="0"/>
                <w:sz w:val="18"/>
                <w:szCs w:val="18"/>
              </w:rPr>
              <w:t>次出行的起始时间段对应的基础年特定时间段</w:t>
            </w:r>
          </w:p>
        </w:tc>
        <w:tc>
          <w:tcPr>
            <w:tcW w:w="2895" w:type="dxa"/>
            <w:shd w:val="clear" w:color="auto" w:fill="auto"/>
            <w:noWrap/>
            <w:vAlign w:val="center"/>
          </w:tcPr>
          <w:p w14:paraId="7B690434">
            <w:pPr>
              <w:spacing w:line="240" w:lineRule="auto"/>
              <w:jc w:val="both"/>
              <w:rPr>
                <w:kern w:val="0"/>
                <w:sz w:val="18"/>
                <w:szCs w:val="18"/>
              </w:rPr>
            </w:pPr>
            <w:r>
              <w:rPr>
                <w:rFonts w:hint="eastAsia"/>
                <w:kern w:val="0"/>
                <w:sz w:val="18"/>
                <w:szCs w:val="18"/>
              </w:rPr>
              <w:t>计算基准线情景碳排放量</w:t>
            </w:r>
          </w:p>
        </w:tc>
      </w:tr>
      <w:tr w14:paraId="17321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5A8802D5">
            <w:pPr>
              <w:spacing w:line="240" w:lineRule="auto"/>
              <w:jc w:val="center"/>
              <w:rPr>
                <w:kern w:val="0"/>
                <w:sz w:val="18"/>
                <w:szCs w:val="18"/>
              </w:rPr>
            </w:pPr>
            <w:r>
              <w:rPr>
                <w:kern w:val="0"/>
                <w:sz w:val="18"/>
                <w:szCs w:val="18"/>
              </w:rPr>
              <w:t>k</w:t>
            </w:r>
          </w:p>
        </w:tc>
        <w:tc>
          <w:tcPr>
            <w:tcW w:w="1529" w:type="dxa"/>
            <w:shd w:val="clear" w:color="auto" w:fill="auto"/>
            <w:noWrap/>
            <w:vAlign w:val="center"/>
          </w:tcPr>
          <w:p w14:paraId="289BF0DA">
            <w:pPr>
              <w:spacing w:line="240" w:lineRule="auto"/>
              <w:jc w:val="center"/>
              <w:rPr>
                <w:kern w:val="0"/>
                <w:sz w:val="18"/>
                <w:szCs w:val="18"/>
              </w:rPr>
            </w:pPr>
            <w:r>
              <w:rPr>
                <w:rFonts w:hint="eastAsia"/>
                <w:kern w:val="0"/>
                <w:sz w:val="18"/>
                <w:szCs w:val="18"/>
              </w:rPr>
              <w:t>无量纲</w:t>
            </w:r>
          </w:p>
        </w:tc>
        <w:tc>
          <w:tcPr>
            <w:tcW w:w="3943" w:type="dxa"/>
            <w:shd w:val="clear" w:color="auto" w:fill="auto"/>
            <w:noWrap/>
            <w:vAlign w:val="center"/>
          </w:tcPr>
          <w:p w14:paraId="283DDABC">
            <w:pPr>
              <w:spacing w:line="240" w:lineRule="auto"/>
              <w:jc w:val="both"/>
              <w:rPr>
                <w:kern w:val="0"/>
                <w:sz w:val="18"/>
                <w:szCs w:val="18"/>
              </w:rPr>
            </w:pPr>
            <w:r>
              <w:rPr>
                <w:rFonts w:hint="eastAsia"/>
                <w:kern w:val="0"/>
                <w:sz w:val="18"/>
                <w:szCs w:val="18"/>
              </w:rPr>
              <w:t>第</w:t>
            </w:r>
            <w:r>
              <w:rPr>
                <w:kern w:val="0"/>
                <w:sz w:val="18"/>
                <w:szCs w:val="18"/>
              </w:rPr>
              <w:t>i</w:t>
            </w:r>
            <w:r>
              <w:rPr>
                <w:rFonts w:hint="eastAsia"/>
                <w:kern w:val="0"/>
                <w:sz w:val="18"/>
                <w:szCs w:val="18"/>
              </w:rPr>
              <w:t>次绿色出行的方式</w:t>
            </w:r>
          </w:p>
        </w:tc>
        <w:tc>
          <w:tcPr>
            <w:tcW w:w="2895" w:type="dxa"/>
            <w:shd w:val="clear" w:color="auto" w:fill="auto"/>
            <w:noWrap/>
            <w:vAlign w:val="center"/>
          </w:tcPr>
          <w:p w14:paraId="32C0E9DF">
            <w:pPr>
              <w:spacing w:line="240" w:lineRule="auto"/>
              <w:jc w:val="both"/>
              <w:rPr>
                <w:kern w:val="0"/>
                <w:sz w:val="18"/>
                <w:szCs w:val="18"/>
              </w:rPr>
            </w:pPr>
            <w:r>
              <w:rPr>
                <w:rFonts w:hint="eastAsia"/>
                <w:kern w:val="0"/>
                <w:sz w:val="18"/>
                <w:szCs w:val="18"/>
              </w:rPr>
              <w:t>计算项目情景碳排放量</w:t>
            </w:r>
          </w:p>
        </w:tc>
      </w:tr>
      <w:tr w14:paraId="5ACB2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63736A51">
            <w:pPr>
              <w:spacing w:line="240" w:lineRule="auto"/>
              <w:jc w:val="center"/>
              <w:rPr>
                <w:kern w:val="0"/>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L</m:t>
                    </m:r>
                    <m:ctrlPr>
                      <w:rPr>
                        <w:rFonts w:ascii="Cambria Math" w:hAnsi="Cambria Math"/>
                        <w:i/>
                        <w:kern w:val="0"/>
                        <w:sz w:val="18"/>
                        <w:szCs w:val="18"/>
                      </w:rPr>
                    </m:ctrlPr>
                  </m:e>
                  <m:sub>
                    <m:r>
                      <m:rPr/>
                      <w:rPr>
                        <w:rFonts w:ascii="Cambria Math" w:hAnsi="Cambria Math"/>
                        <w:kern w:val="0"/>
                        <w:sz w:val="18"/>
                        <w:szCs w:val="18"/>
                      </w:rPr>
                      <m:t>s,i</m:t>
                    </m:r>
                    <m:ctrlPr>
                      <w:rPr>
                        <w:rFonts w:ascii="Cambria Math" w:hAnsi="Cambria Math"/>
                        <w:i/>
                        <w:kern w:val="0"/>
                        <w:sz w:val="18"/>
                        <w:szCs w:val="18"/>
                      </w:rPr>
                    </m:ctrlPr>
                  </m:sub>
                </m:sSub>
              </m:oMath>
            </m:oMathPara>
          </w:p>
        </w:tc>
        <w:tc>
          <w:tcPr>
            <w:tcW w:w="1529" w:type="dxa"/>
            <w:shd w:val="clear" w:color="auto" w:fill="auto"/>
            <w:noWrap/>
            <w:vAlign w:val="center"/>
          </w:tcPr>
          <w:p w14:paraId="441B5F42">
            <w:pPr>
              <w:spacing w:line="240" w:lineRule="auto"/>
              <w:jc w:val="center"/>
              <w:rPr>
                <w:kern w:val="0"/>
                <w:sz w:val="18"/>
                <w:szCs w:val="18"/>
              </w:rPr>
            </w:pPr>
            <w:r>
              <w:rPr>
                <w:rFonts w:hint="eastAsia"/>
                <w:kern w:val="0"/>
                <w:sz w:val="18"/>
                <w:szCs w:val="18"/>
              </w:rPr>
              <w:t>平面地图二维坐标</w:t>
            </w:r>
          </w:p>
        </w:tc>
        <w:tc>
          <w:tcPr>
            <w:tcW w:w="3943" w:type="dxa"/>
            <w:shd w:val="clear" w:color="auto" w:fill="auto"/>
            <w:noWrap/>
            <w:vAlign w:val="center"/>
          </w:tcPr>
          <w:p w14:paraId="5566E00A">
            <w:pPr>
              <w:spacing w:line="240" w:lineRule="auto"/>
              <w:jc w:val="both"/>
              <w:rPr>
                <w:kern w:val="0"/>
                <w:sz w:val="18"/>
                <w:szCs w:val="18"/>
              </w:rPr>
            </w:pPr>
            <w:r>
              <w:rPr>
                <w:rFonts w:hint="eastAsia"/>
                <w:kern w:val="0"/>
                <w:sz w:val="18"/>
                <w:szCs w:val="18"/>
              </w:rPr>
              <w:t>第</w:t>
            </w:r>
            <w:r>
              <w:rPr>
                <w:kern w:val="0"/>
                <w:sz w:val="18"/>
                <w:szCs w:val="18"/>
              </w:rPr>
              <w:t>y年i</w:t>
            </w:r>
            <w:r>
              <w:rPr>
                <w:rFonts w:hint="eastAsia"/>
                <w:kern w:val="0"/>
                <w:sz w:val="18"/>
                <w:szCs w:val="18"/>
              </w:rPr>
              <w:t>次出行的起始位置</w:t>
            </w:r>
          </w:p>
        </w:tc>
        <w:tc>
          <w:tcPr>
            <w:tcW w:w="2895" w:type="dxa"/>
            <w:shd w:val="clear" w:color="auto" w:fill="auto"/>
            <w:noWrap/>
            <w:vAlign w:val="center"/>
          </w:tcPr>
          <w:p w14:paraId="6092E9D6">
            <w:pPr>
              <w:spacing w:line="240" w:lineRule="auto"/>
              <w:jc w:val="both"/>
              <w:rPr>
                <w:kern w:val="0"/>
                <w:sz w:val="18"/>
                <w:szCs w:val="18"/>
              </w:rPr>
            </w:pPr>
            <w:r>
              <w:rPr>
                <w:rFonts w:hint="eastAsia"/>
                <w:kern w:val="0"/>
                <w:sz w:val="18"/>
                <w:szCs w:val="18"/>
              </w:rPr>
              <w:t>计算基准线情景和项目情景碳排放量</w:t>
            </w:r>
          </w:p>
        </w:tc>
      </w:tr>
      <w:tr w14:paraId="047E6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7326680F">
            <w:pPr>
              <w:spacing w:line="240" w:lineRule="auto"/>
              <w:jc w:val="center"/>
              <w:rPr>
                <w:kern w:val="0"/>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L</m:t>
                    </m:r>
                    <m:ctrlPr>
                      <w:rPr>
                        <w:rFonts w:ascii="Cambria Math" w:hAnsi="Cambria Math"/>
                        <w:i/>
                        <w:kern w:val="0"/>
                        <w:sz w:val="18"/>
                        <w:szCs w:val="18"/>
                      </w:rPr>
                    </m:ctrlPr>
                  </m:e>
                  <m:sub>
                    <m:r>
                      <m:rPr/>
                      <w:rPr>
                        <w:rFonts w:ascii="Cambria Math" w:hAnsi="Cambria Math"/>
                        <w:kern w:val="0"/>
                        <w:sz w:val="18"/>
                        <w:szCs w:val="18"/>
                      </w:rPr>
                      <m:t>c,i</m:t>
                    </m:r>
                    <m:ctrlPr>
                      <w:rPr>
                        <w:rFonts w:ascii="Cambria Math" w:hAnsi="Cambria Math"/>
                        <w:i/>
                        <w:kern w:val="0"/>
                        <w:sz w:val="18"/>
                        <w:szCs w:val="18"/>
                      </w:rPr>
                    </m:ctrlPr>
                  </m:sub>
                </m:sSub>
              </m:oMath>
            </m:oMathPara>
          </w:p>
        </w:tc>
        <w:tc>
          <w:tcPr>
            <w:tcW w:w="1529" w:type="dxa"/>
            <w:shd w:val="clear" w:color="auto" w:fill="auto"/>
            <w:noWrap/>
            <w:vAlign w:val="center"/>
          </w:tcPr>
          <w:p w14:paraId="2848A7E8">
            <w:pPr>
              <w:spacing w:line="240" w:lineRule="auto"/>
              <w:jc w:val="center"/>
              <w:rPr>
                <w:kern w:val="0"/>
                <w:sz w:val="18"/>
                <w:szCs w:val="18"/>
              </w:rPr>
            </w:pPr>
            <w:r>
              <w:rPr>
                <w:rFonts w:hint="eastAsia"/>
                <w:kern w:val="0"/>
                <w:sz w:val="18"/>
                <w:szCs w:val="18"/>
              </w:rPr>
              <w:t>平面地图二维坐标</w:t>
            </w:r>
          </w:p>
        </w:tc>
        <w:tc>
          <w:tcPr>
            <w:tcW w:w="3943" w:type="dxa"/>
            <w:shd w:val="clear" w:color="auto" w:fill="auto"/>
            <w:noWrap/>
            <w:vAlign w:val="center"/>
          </w:tcPr>
          <w:p w14:paraId="60950316">
            <w:pPr>
              <w:spacing w:line="240" w:lineRule="auto"/>
              <w:jc w:val="both"/>
              <w:rPr>
                <w:kern w:val="0"/>
                <w:sz w:val="18"/>
                <w:szCs w:val="18"/>
              </w:rPr>
            </w:pPr>
            <w:r>
              <w:rPr>
                <w:rFonts w:hint="eastAsia"/>
                <w:kern w:val="0"/>
                <w:sz w:val="18"/>
                <w:szCs w:val="18"/>
              </w:rPr>
              <w:t>第</w:t>
            </w:r>
            <w:r>
              <w:rPr>
                <w:kern w:val="0"/>
                <w:sz w:val="18"/>
                <w:szCs w:val="18"/>
              </w:rPr>
              <w:t>y年i</w:t>
            </w:r>
            <w:r>
              <w:rPr>
                <w:rFonts w:hint="eastAsia"/>
                <w:kern w:val="0"/>
                <w:sz w:val="18"/>
                <w:szCs w:val="18"/>
              </w:rPr>
              <w:t>次出行过程中的轨迹坐标</w:t>
            </w:r>
          </w:p>
        </w:tc>
        <w:tc>
          <w:tcPr>
            <w:tcW w:w="2895" w:type="dxa"/>
            <w:shd w:val="clear" w:color="auto" w:fill="auto"/>
            <w:noWrap/>
            <w:vAlign w:val="center"/>
          </w:tcPr>
          <w:p w14:paraId="0C47615F">
            <w:pPr>
              <w:spacing w:line="240" w:lineRule="auto"/>
              <w:jc w:val="both"/>
              <w:rPr>
                <w:kern w:val="0"/>
                <w:sz w:val="18"/>
                <w:szCs w:val="18"/>
              </w:rPr>
            </w:pPr>
            <w:r>
              <w:rPr>
                <w:rFonts w:hint="eastAsia"/>
                <w:kern w:val="0"/>
                <w:sz w:val="18"/>
                <w:szCs w:val="18"/>
              </w:rPr>
              <w:t>计算基准线情景和项目情景碳排放</w:t>
            </w:r>
          </w:p>
        </w:tc>
      </w:tr>
      <w:tr w14:paraId="70E70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7A6C268B">
            <w:pPr>
              <w:spacing w:line="240" w:lineRule="auto"/>
              <w:jc w:val="center"/>
              <w:rPr>
                <w:kern w:val="0"/>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L</m:t>
                    </m:r>
                    <m:ctrlPr>
                      <w:rPr>
                        <w:rFonts w:ascii="Cambria Math" w:hAnsi="Cambria Math"/>
                        <w:i/>
                        <w:kern w:val="0"/>
                        <w:sz w:val="18"/>
                        <w:szCs w:val="18"/>
                      </w:rPr>
                    </m:ctrlPr>
                  </m:e>
                  <m:sub>
                    <m:r>
                      <m:rPr/>
                      <w:rPr>
                        <w:rFonts w:ascii="Cambria Math" w:hAnsi="Cambria Math"/>
                        <w:kern w:val="0"/>
                        <w:sz w:val="18"/>
                        <w:szCs w:val="18"/>
                      </w:rPr>
                      <m:t>e,i</m:t>
                    </m:r>
                    <m:ctrlPr>
                      <w:rPr>
                        <w:rFonts w:ascii="Cambria Math" w:hAnsi="Cambria Math"/>
                        <w:i/>
                        <w:kern w:val="0"/>
                        <w:sz w:val="18"/>
                        <w:szCs w:val="18"/>
                      </w:rPr>
                    </m:ctrlPr>
                  </m:sub>
                </m:sSub>
              </m:oMath>
            </m:oMathPara>
          </w:p>
        </w:tc>
        <w:tc>
          <w:tcPr>
            <w:tcW w:w="1529" w:type="dxa"/>
            <w:shd w:val="clear" w:color="auto" w:fill="auto"/>
            <w:noWrap/>
            <w:vAlign w:val="center"/>
          </w:tcPr>
          <w:p w14:paraId="7132563D">
            <w:pPr>
              <w:spacing w:line="240" w:lineRule="auto"/>
              <w:jc w:val="center"/>
              <w:rPr>
                <w:kern w:val="0"/>
                <w:sz w:val="18"/>
                <w:szCs w:val="18"/>
              </w:rPr>
            </w:pPr>
            <w:r>
              <w:rPr>
                <w:rFonts w:hint="eastAsia"/>
                <w:kern w:val="0"/>
                <w:sz w:val="18"/>
                <w:szCs w:val="18"/>
              </w:rPr>
              <w:t>平面地图二维坐标</w:t>
            </w:r>
          </w:p>
        </w:tc>
        <w:tc>
          <w:tcPr>
            <w:tcW w:w="3943" w:type="dxa"/>
            <w:shd w:val="clear" w:color="auto" w:fill="auto"/>
            <w:noWrap/>
            <w:vAlign w:val="center"/>
          </w:tcPr>
          <w:p w14:paraId="6455AB9C">
            <w:pPr>
              <w:spacing w:line="240" w:lineRule="auto"/>
              <w:jc w:val="both"/>
              <w:rPr>
                <w:kern w:val="0"/>
                <w:sz w:val="18"/>
                <w:szCs w:val="18"/>
              </w:rPr>
            </w:pPr>
            <w:r>
              <w:rPr>
                <w:rFonts w:hint="eastAsia"/>
                <w:kern w:val="0"/>
                <w:sz w:val="18"/>
                <w:szCs w:val="18"/>
              </w:rPr>
              <w:t>第</w:t>
            </w:r>
            <w:r>
              <w:rPr>
                <w:kern w:val="0"/>
                <w:sz w:val="18"/>
                <w:szCs w:val="18"/>
              </w:rPr>
              <w:t>y年i</w:t>
            </w:r>
            <w:r>
              <w:rPr>
                <w:rFonts w:hint="eastAsia"/>
                <w:kern w:val="0"/>
                <w:sz w:val="18"/>
                <w:szCs w:val="18"/>
              </w:rPr>
              <w:t>次出行的结束位置</w:t>
            </w:r>
          </w:p>
        </w:tc>
        <w:tc>
          <w:tcPr>
            <w:tcW w:w="2895" w:type="dxa"/>
            <w:shd w:val="clear" w:color="auto" w:fill="auto"/>
            <w:noWrap/>
            <w:vAlign w:val="center"/>
          </w:tcPr>
          <w:p w14:paraId="7D7C8F40">
            <w:pPr>
              <w:spacing w:line="240" w:lineRule="auto"/>
              <w:jc w:val="both"/>
              <w:rPr>
                <w:kern w:val="0"/>
                <w:sz w:val="18"/>
                <w:szCs w:val="18"/>
              </w:rPr>
            </w:pPr>
            <w:r>
              <w:rPr>
                <w:rFonts w:hint="eastAsia"/>
                <w:kern w:val="0"/>
                <w:sz w:val="18"/>
                <w:szCs w:val="18"/>
              </w:rPr>
              <w:t>计算基准线情景和项目情景碳排放量</w:t>
            </w:r>
          </w:p>
        </w:tc>
      </w:tr>
      <w:tr w14:paraId="1FF2C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6E99CE1A">
            <w:pPr>
              <w:spacing w:line="240" w:lineRule="auto"/>
              <w:jc w:val="center"/>
              <w:rPr>
                <w:kern w:val="0"/>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n</m:t>
                    </m:r>
                    <m:ctrlPr>
                      <w:rPr>
                        <w:rFonts w:ascii="Cambria Math" w:hAnsi="Cambria Math"/>
                        <w:i/>
                        <w:kern w:val="0"/>
                        <w:sz w:val="18"/>
                        <w:szCs w:val="18"/>
                      </w:rPr>
                    </m:ctrlPr>
                  </m:e>
                  <m:sub>
                    <m:r>
                      <m:rPr/>
                      <w:rPr>
                        <w:rFonts w:ascii="Cambria Math" w:hAnsi="Cambria Math"/>
                        <w:kern w:val="0"/>
                        <w:sz w:val="18"/>
                        <w:szCs w:val="18"/>
                      </w:rPr>
                      <m:t>i</m:t>
                    </m:r>
                    <m:ctrlPr>
                      <w:rPr>
                        <w:rFonts w:ascii="Cambria Math" w:hAnsi="Cambria Math"/>
                        <w:i/>
                        <w:kern w:val="0"/>
                        <w:sz w:val="18"/>
                        <w:szCs w:val="18"/>
                      </w:rPr>
                    </m:ctrlPr>
                  </m:sub>
                </m:sSub>
              </m:oMath>
            </m:oMathPara>
          </w:p>
        </w:tc>
        <w:tc>
          <w:tcPr>
            <w:tcW w:w="1529" w:type="dxa"/>
            <w:shd w:val="clear" w:color="auto" w:fill="auto"/>
            <w:noWrap/>
            <w:vAlign w:val="center"/>
          </w:tcPr>
          <w:p w14:paraId="34A7F84F">
            <w:pPr>
              <w:spacing w:line="240" w:lineRule="auto"/>
              <w:jc w:val="center"/>
              <w:rPr>
                <w:kern w:val="0"/>
                <w:sz w:val="18"/>
                <w:szCs w:val="18"/>
              </w:rPr>
            </w:pPr>
            <w:r>
              <w:rPr>
                <w:rFonts w:hint="eastAsia"/>
                <w:kern w:val="0"/>
                <w:sz w:val="18"/>
                <w:szCs w:val="18"/>
              </w:rPr>
              <w:t>人数</w:t>
            </w:r>
          </w:p>
        </w:tc>
        <w:tc>
          <w:tcPr>
            <w:tcW w:w="3943" w:type="dxa"/>
            <w:shd w:val="clear" w:color="auto" w:fill="auto"/>
            <w:noWrap/>
            <w:vAlign w:val="center"/>
          </w:tcPr>
          <w:p w14:paraId="53F8187E">
            <w:pPr>
              <w:spacing w:line="240" w:lineRule="auto"/>
              <w:jc w:val="both"/>
              <w:rPr>
                <w:kern w:val="0"/>
                <w:sz w:val="18"/>
                <w:szCs w:val="18"/>
              </w:rPr>
            </w:pPr>
            <w:r>
              <w:rPr>
                <w:rFonts w:hint="eastAsia"/>
                <w:kern w:val="0"/>
                <w:sz w:val="18"/>
                <w:szCs w:val="18"/>
              </w:rPr>
              <w:t>第</w:t>
            </w:r>
            <w:r>
              <w:rPr>
                <w:kern w:val="0"/>
                <w:sz w:val="18"/>
                <w:szCs w:val="18"/>
              </w:rPr>
              <w:t>i</w:t>
            </w:r>
            <w:r>
              <w:rPr>
                <w:rFonts w:hint="eastAsia"/>
                <w:kern w:val="0"/>
                <w:sz w:val="18"/>
                <w:szCs w:val="18"/>
              </w:rPr>
              <w:t>次燃油/新能源小微型客车合乘出行的人数</w:t>
            </w:r>
          </w:p>
        </w:tc>
        <w:tc>
          <w:tcPr>
            <w:tcW w:w="2895" w:type="dxa"/>
            <w:shd w:val="clear" w:color="auto" w:fill="auto"/>
            <w:noWrap/>
            <w:vAlign w:val="center"/>
          </w:tcPr>
          <w:p w14:paraId="47D55BA3">
            <w:pPr>
              <w:spacing w:line="240" w:lineRule="auto"/>
              <w:jc w:val="both"/>
              <w:rPr>
                <w:kern w:val="0"/>
                <w:sz w:val="18"/>
                <w:szCs w:val="18"/>
              </w:rPr>
            </w:pPr>
            <w:r>
              <w:rPr>
                <w:rFonts w:hint="eastAsia"/>
                <w:kern w:val="0"/>
                <w:sz w:val="18"/>
                <w:szCs w:val="18"/>
              </w:rPr>
              <w:t>计算项目情景碳排放量</w:t>
            </w:r>
          </w:p>
        </w:tc>
      </w:tr>
      <w:tr w14:paraId="58515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43374A18">
            <w:pPr>
              <w:spacing w:line="240" w:lineRule="auto"/>
              <w:jc w:val="center"/>
              <w:rPr>
                <w:kern w:val="0"/>
                <w:sz w:val="18"/>
                <w:szCs w:val="18"/>
              </w:rPr>
            </w:pPr>
            <m:oMathPara>
              <m:oMath>
                <m:sSub>
                  <m:sSubPr>
                    <m:ctrlPr>
                      <w:rPr>
                        <w:rFonts w:ascii="Cambria Math" w:hAnsi="Cambria Math"/>
                        <w:i/>
                        <w:kern w:val="0"/>
                        <w:sz w:val="18"/>
                        <w:szCs w:val="18"/>
                      </w:rPr>
                    </m:ctrlPr>
                  </m:sSubPr>
                  <m:e>
                    <m:r>
                      <m:rPr/>
                      <w:rPr>
                        <w:rFonts w:ascii="Cambria Math" w:hAnsi="Cambria Math"/>
                        <w:kern w:val="0"/>
                        <w:sz w:val="18"/>
                        <w:szCs w:val="18"/>
                      </w:rPr>
                      <m:t>PD</m:t>
                    </m:r>
                    <m:ctrlPr>
                      <w:rPr>
                        <w:rFonts w:ascii="Cambria Math" w:hAnsi="Cambria Math"/>
                        <w:i/>
                        <w:kern w:val="0"/>
                        <w:sz w:val="18"/>
                        <w:szCs w:val="18"/>
                      </w:rPr>
                    </m:ctrlPr>
                  </m:e>
                  <m:sub>
                    <m:r>
                      <m:rPr/>
                      <w:rPr>
                        <w:rFonts w:ascii="Cambria Math" w:hAnsi="Cambria Math"/>
                        <w:kern w:val="0"/>
                        <w:sz w:val="18"/>
                        <w:szCs w:val="18"/>
                      </w:rPr>
                      <m:t>i,k,y</m:t>
                    </m:r>
                    <m:ctrlPr>
                      <w:rPr>
                        <w:rFonts w:ascii="Cambria Math" w:hAnsi="Cambria Math"/>
                        <w:i/>
                        <w:kern w:val="0"/>
                        <w:sz w:val="18"/>
                        <w:szCs w:val="18"/>
                      </w:rPr>
                    </m:ctrlPr>
                  </m:sub>
                </m:sSub>
              </m:oMath>
            </m:oMathPara>
          </w:p>
        </w:tc>
        <w:tc>
          <w:tcPr>
            <w:tcW w:w="1529" w:type="dxa"/>
            <w:shd w:val="clear" w:color="auto" w:fill="auto"/>
            <w:noWrap/>
            <w:vAlign w:val="center"/>
          </w:tcPr>
          <w:p w14:paraId="75BBC56C">
            <w:pPr>
              <w:spacing w:line="240" w:lineRule="auto"/>
              <w:jc w:val="center"/>
              <w:rPr>
                <w:kern w:val="0"/>
                <w:sz w:val="18"/>
                <w:szCs w:val="18"/>
              </w:rPr>
            </w:pPr>
            <w:r>
              <w:rPr>
                <w:kern w:val="0"/>
                <w:sz w:val="18"/>
                <w:szCs w:val="18"/>
              </w:rPr>
              <w:t>km</w:t>
            </w:r>
          </w:p>
        </w:tc>
        <w:tc>
          <w:tcPr>
            <w:tcW w:w="3943" w:type="dxa"/>
            <w:shd w:val="clear" w:color="auto" w:fill="auto"/>
            <w:noWrap/>
            <w:vAlign w:val="center"/>
          </w:tcPr>
          <w:p w14:paraId="7B5FFCE1">
            <w:pPr>
              <w:spacing w:line="240" w:lineRule="auto"/>
              <w:jc w:val="both"/>
              <w:rPr>
                <w:kern w:val="0"/>
                <w:sz w:val="18"/>
                <w:szCs w:val="18"/>
              </w:rPr>
            </w:pPr>
            <w:r>
              <w:rPr>
                <w:rFonts w:hint="eastAsia"/>
                <w:kern w:val="0"/>
                <w:sz w:val="18"/>
                <w:szCs w:val="18"/>
              </w:rPr>
              <w:t>第</w:t>
            </w:r>
            <w:r>
              <w:rPr>
                <w:kern w:val="0"/>
                <w:sz w:val="18"/>
                <w:szCs w:val="18"/>
              </w:rPr>
              <w:t>y年i</w:t>
            </w:r>
            <w:r>
              <w:rPr>
                <w:rFonts w:hint="eastAsia"/>
                <w:kern w:val="0"/>
                <w:sz w:val="18"/>
                <w:szCs w:val="18"/>
              </w:rPr>
              <w:t>次出行采用</w:t>
            </w:r>
            <w:r>
              <w:rPr>
                <w:kern w:val="0"/>
                <w:sz w:val="18"/>
                <w:szCs w:val="18"/>
              </w:rPr>
              <w:t>k</w:t>
            </w:r>
            <w:r>
              <w:rPr>
                <w:rFonts w:hint="eastAsia"/>
                <w:kern w:val="0"/>
                <w:sz w:val="18"/>
                <w:szCs w:val="18"/>
              </w:rPr>
              <w:t>种交通方式的出行距离</w:t>
            </w:r>
          </w:p>
        </w:tc>
        <w:tc>
          <w:tcPr>
            <w:tcW w:w="2895" w:type="dxa"/>
            <w:shd w:val="clear" w:color="auto" w:fill="auto"/>
            <w:noWrap/>
            <w:vAlign w:val="center"/>
          </w:tcPr>
          <w:p w14:paraId="2A6D6332">
            <w:pPr>
              <w:spacing w:line="240" w:lineRule="auto"/>
              <w:jc w:val="both"/>
              <w:rPr>
                <w:kern w:val="0"/>
                <w:sz w:val="18"/>
                <w:szCs w:val="18"/>
              </w:rPr>
            </w:pPr>
            <w:r>
              <w:rPr>
                <w:rFonts w:hint="eastAsia"/>
                <w:kern w:val="0"/>
                <w:sz w:val="18"/>
                <w:szCs w:val="18"/>
              </w:rPr>
              <w:t>计算基准线情景和项目情景碳排放量</w:t>
            </w:r>
          </w:p>
        </w:tc>
      </w:tr>
      <w:tr w14:paraId="35B8E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7703943E">
            <w:pPr>
              <w:spacing w:line="240" w:lineRule="auto"/>
              <w:jc w:val="center"/>
              <w:rPr>
                <w:kern w:val="0"/>
                <w:sz w:val="18"/>
                <w:szCs w:val="18"/>
              </w:rPr>
            </w:pPr>
            <m:oMathPara>
              <m:oMath>
                <m:sSub>
                  <m:sSubPr>
                    <m:ctrlPr>
                      <w:rPr>
                        <w:rFonts w:ascii="Cambria Math" w:hAnsi="Cambria Math"/>
                        <w:i/>
                        <w:sz w:val="18"/>
                        <w:szCs w:val="24"/>
                      </w:rPr>
                    </m:ctrlPr>
                  </m:sSubPr>
                  <m:e>
                    <m:r>
                      <m:rPr/>
                      <w:rPr>
                        <w:rFonts w:ascii="Cambria Math" w:hAnsi="Cambria Math"/>
                        <w:sz w:val="18"/>
                      </w:rPr>
                      <m:t>EC</m:t>
                    </m:r>
                    <m:ctrlPr>
                      <w:rPr>
                        <w:rFonts w:ascii="Cambria Math" w:hAnsi="Cambria Math"/>
                        <w:i/>
                        <w:sz w:val="18"/>
                        <w:szCs w:val="24"/>
                      </w:rPr>
                    </m:ctrlPr>
                  </m:e>
                  <m:sub>
                    <m:sSub>
                      <m:sSubPr>
                        <m:ctrlPr>
                          <w:rPr>
                            <w:rFonts w:ascii="Cambria Math" w:hAnsi="Cambria Math"/>
                            <w:i/>
                            <w:sz w:val="18"/>
                          </w:rPr>
                        </m:ctrlPr>
                      </m:sSubPr>
                      <m:e>
                        <m:r>
                          <m:rPr/>
                          <w:rPr>
                            <w:rFonts w:hint="eastAsia" w:ascii="Cambria Math" w:hAnsi="Cambria Math"/>
                            <w:sz w:val="18"/>
                          </w:rPr>
                          <m:t>g</m:t>
                        </m:r>
                        <m:ctrlPr>
                          <w:rPr>
                            <w:rFonts w:ascii="Cambria Math" w:hAnsi="Cambria Math"/>
                            <w:i/>
                            <w:sz w:val="18"/>
                          </w:rPr>
                        </m:ctrlPr>
                      </m:e>
                      <m:sub>
                        <m:r>
                          <m:rPr/>
                          <w:rPr>
                            <w:rFonts w:ascii="Cambria Math" w:hAnsi="Cambria Math"/>
                            <w:sz w:val="18"/>
                          </w:rPr>
                          <m:t>r</m:t>
                        </m:r>
                        <m:ctrlPr>
                          <w:rPr>
                            <w:rFonts w:ascii="Cambria Math" w:hAnsi="Cambria Math"/>
                            <w:i/>
                            <w:sz w:val="18"/>
                          </w:rPr>
                        </m:ctrlPr>
                      </m:sub>
                    </m:sSub>
                    <m:r>
                      <m:rPr/>
                      <w:rPr>
                        <w:rFonts w:ascii="Cambria Math" w:hAnsi="Cambria Math"/>
                        <w:sz w:val="18"/>
                      </w:rPr>
                      <m:t>,i,r</m:t>
                    </m:r>
                    <m:ctrlPr>
                      <w:rPr>
                        <w:rFonts w:ascii="Cambria Math" w:hAnsi="Cambria Math"/>
                        <w:i/>
                        <w:sz w:val="18"/>
                        <w:szCs w:val="24"/>
                      </w:rPr>
                    </m:ctrlPr>
                  </m:sub>
                </m:sSub>
              </m:oMath>
            </m:oMathPara>
          </w:p>
        </w:tc>
        <w:tc>
          <w:tcPr>
            <w:tcW w:w="1529" w:type="dxa"/>
            <w:shd w:val="clear" w:color="auto" w:fill="auto"/>
            <w:noWrap/>
            <w:vAlign w:val="center"/>
          </w:tcPr>
          <w:p w14:paraId="088A1B28">
            <w:pPr>
              <w:spacing w:line="240" w:lineRule="auto"/>
              <w:jc w:val="center"/>
              <w:rPr>
                <w:kern w:val="0"/>
                <w:sz w:val="18"/>
                <w:szCs w:val="18"/>
              </w:rPr>
            </w:pPr>
            <w:r>
              <w:rPr>
                <w:rFonts w:hint="eastAsia"/>
                <w:kern w:val="0"/>
                <w:sz w:val="18"/>
                <w:szCs w:val="18"/>
              </w:rPr>
              <w:t>M</w:t>
            </w:r>
            <w:r>
              <w:rPr>
                <w:kern w:val="0"/>
                <w:sz w:val="18"/>
                <w:szCs w:val="18"/>
              </w:rPr>
              <w:t>W</w:t>
            </w:r>
            <w:r>
              <w:rPr>
                <w:rFonts w:hint="eastAsia"/>
                <w:kern w:val="0"/>
                <w:sz w:val="18"/>
                <w:szCs w:val="18"/>
              </w:rPr>
              <w:t>h</w:t>
            </w:r>
            <w:r>
              <w:rPr>
                <w:kern w:val="0"/>
                <w:sz w:val="18"/>
                <w:szCs w:val="18"/>
              </w:rPr>
              <w:t>/km</w:t>
            </w:r>
          </w:p>
        </w:tc>
        <w:tc>
          <w:tcPr>
            <w:tcW w:w="3943" w:type="dxa"/>
            <w:shd w:val="clear" w:color="auto" w:fill="auto"/>
            <w:noWrap/>
            <w:vAlign w:val="center"/>
          </w:tcPr>
          <w:p w14:paraId="6295173B">
            <w:pPr>
              <w:spacing w:line="240" w:lineRule="auto"/>
              <w:jc w:val="both"/>
              <w:rPr>
                <w:kern w:val="0"/>
                <w:sz w:val="18"/>
                <w:szCs w:val="18"/>
              </w:rPr>
            </w:pPr>
            <w:r>
              <w:rPr>
                <w:rFonts w:hint="eastAsia"/>
                <w:kern w:val="0"/>
                <w:sz w:val="18"/>
                <w:szCs w:val="18"/>
              </w:rPr>
              <w:t>能源类型为r，车辆型号为g的新能源小客车第i次出行的单位公里电耗</w:t>
            </w:r>
          </w:p>
        </w:tc>
        <w:tc>
          <w:tcPr>
            <w:tcW w:w="2895" w:type="dxa"/>
            <w:shd w:val="clear" w:color="auto" w:fill="auto"/>
            <w:noWrap/>
            <w:vAlign w:val="center"/>
          </w:tcPr>
          <w:p w14:paraId="5308DEF8">
            <w:pPr>
              <w:spacing w:line="240" w:lineRule="auto"/>
              <w:jc w:val="both"/>
              <w:rPr>
                <w:kern w:val="0"/>
                <w:sz w:val="18"/>
                <w:szCs w:val="18"/>
              </w:rPr>
            </w:pPr>
            <w:r>
              <w:rPr>
                <w:rFonts w:hint="eastAsia"/>
                <w:kern w:val="0"/>
                <w:sz w:val="18"/>
                <w:szCs w:val="18"/>
              </w:rPr>
              <w:t>计算项目情景的碳排放量</w:t>
            </w:r>
          </w:p>
        </w:tc>
      </w:tr>
      <w:tr w14:paraId="7C7B0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5C7D9B17">
            <w:pPr>
              <w:pStyle w:val="229"/>
              <w:ind w:firstLineChars="0"/>
              <w:jc w:val="center"/>
              <w:rPr>
                <w:rFonts w:ascii="Times New Roman"/>
                <w:iCs/>
                <w:sz w:val="18"/>
              </w:rPr>
            </w:pPr>
            <m:oMathPara>
              <m:oMath>
                <m:sSub>
                  <m:sSubPr>
                    <m:ctrlPr>
                      <w:rPr>
                        <w:rFonts w:ascii="Cambria Math" w:hAnsi="Cambria Math"/>
                        <w:i/>
                        <w:sz w:val="18"/>
                        <w:szCs w:val="24"/>
                      </w:rPr>
                    </m:ctrlPr>
                  </m:sSubPr>
                  <m:e>
                    <m:r>
                      <m:rPr/>
                      <w:rPr>
                        <w:rFonts w:ascii="Cambria Math" w:hAnsi="Cambria Math"/>
                        <w:sz w:val="18"/>
                      </w:rPr>
                      <m:t>HC</m:t>
                    </m:r>
                    <m:ctrlPr>
                      <w:rPr>
                        <w:rFonts w:ascii="Cambria Math" w:hAnsi="Cambria Math"/>
                        <w:i/>
                        <w:sz w:val="18"/>
                        <w:szCs w:val="24"/>
                      </w:rPr>
                    </m:ctrlPr>
                  </m:e>
                  <m:sub>
                    <m:sSub>
                      <m:sSubPr>
                        <m:ctrlPr>
                          <w:rPr>
                            <w:rFonts w:ascii="Cambria Math" w:hAnsi="Cambria Math"/>
                            <w:i/>
                            <w:sz w:val="18"/>
                          </w:rPr>
                        </m:ctrlPr>
                      </m:sSubPr>
                      <m:e>
                        <m:r>
                          <m:rPr/>
                          <w:rPr>
                            <w:rFonts w:hint="eastAsia" w:ascii="Cambria Math" w:hAnsi="Cambria Math"/>
                            <w:sz w:val="18"/>
                          </w:rPr>
                          <m:t>g</m:t>
                        </m:r>
                        <m:ctrlPr>
                          <w:rPr>
                            <w:rFonts w:ascii="Cambria Math" w:hAnsi="Cambria Math"/>
                            <w:i/>
                            <w:sz w:val="18"/>
                          </w:rPr>
                        </m:ctrlPr>
                      </m:e>
                      <m:sub>
                        <m:r>
                          <m:rPr/>
                          <w:rPr>
                            <w:rFonts w:ascii="Cambria Math" w:hAnsi="Cambria Math"/>
                            <w:sz w:val="18"/>
                          </w:rPr>
                          <m:t>r</m:t>
                        </m:r>
                        <m:ctrlPr>
                          <w:rPr>
                            <w:rFonts w:ascii="Cambria Math" w:hAnsi="Cambria Math"/>
                            <w:i/>
                            <w:sz w:val="18"/>
                          </w:rPr>
                        </m:ctrlPr>
                      </m:sub>
                    </m:sSub>
                    <m:r>
                      <m:rPr/>
                      <w:rPr>
                        <w:rFonts w:ascii="Cambria Math" w:hAnsi="Cambria Math"/>
                        <w:sz w:val="18"/>
                      </w:rPr>
                      <m:t>,i,r,x</m:t>
                    </m:r>
                    <m:ctrlPr>
                      <w:rPr>
                        <w:rFonts w:ascii="Cambria Math" w:hAnsi="Cambria Math"/>
                        <w:i/>
                        <w:sz w:val="18"/>
                        <w:szCs w:val="24"/>
                      </w:rPr>
                    </m:ctrlPr>
                  </m:sub>
                </m:sSub>
              </m:oMath>
            </m:oMathPara>
          </w:p>
          <w:p w14:paraId="2D3415D0">
            <w:pPr>
              <w:spacing w:line="240" w:lineRule="auto"/>
              <w:jc w:val="center"/>
              <w:rPr>
                <w:sz w:val="18"/>
                <w:szCs w:val="24"/>
              </w:rPr>
            </w:pPr>
          </w:p>
        </w:tc>
        <w:tc>
          <w:tcPr>
            <w:tcW w:w="1529" w:type="dxa"/>
            <w:shd w:val="clear" w:color="auto" w:fill="auto"/>
            <w:noWrap/>
            <w:vAlign w:val="center"/>
          </w:tcPr>
          <w:p w14:paraId="3AD0A496">
            <w:pPr>
              <w:spacing w:line="240" w:lineRule="auto"/>
              <w:jc w:val="center"/>
              <w:rPr>
                <w:kern w:val="0"/>
                <w:sz w:val="18"/>
                <w:szCs w:val="18"/>
              </w:rPr>
            </w:pPr>
            <w:r>
              <w:rPr>
                <w:rFonts w:ascii="Times New Roman"/>
                <w:iCs/>
                <w:sz w:val="18"/>
              </w:rPr>
              <w:t>ton</w:t>
            </w:r>
            <w:r>
              <w:rPr>
                <w:rFonts w:hint="eastAsia" w:ascii="Times New Roman"/>
                <w:iCs/>
                <w:sz w:val="18"/>
              </w:rPr>
              <w:t>/km</w:t>
            </w:r>
          </w:p>
        </w:tc>
        <w:tc>
          <w:tcPr>
            <w:tcW w:w="3943" w:type="dxa"/>
            <w:shd w:val="clear" w:color="auto" w:fill="auto"/>
            <w:noWrap/>
            <w:vAlign w:val="center"/>
          </w:tcPr>
          <w:p w14:paraId="42F86B09">
            <w:pPr>
              <w:spacing w:line="240" w:lineRule="auto"/>
              <w:jc w:val="both"/>
              <w:rPr>
                <w:kern w:val="0"/>
                <w:sz w:val="18"/>
                <w:szCs w:val="18"/>
              </w:rPr>
            </w:pPr>
            <w:r>
              <w:rPr>
                <w:rFonts w:hint="eastAsia" w:ascii="Times New Roman"/>
                <w:sz w:val="18"/>
              </w:rPr>
              <w:t>能源类型为r，</w:t>
            </w:r>
            <w:r>
              <w:rPr>
                <w:rFonts w:hint="eastAsia"/>
                <w:sz w:val="18"/>
                <w:szCs w:val="24"/>
              </w:rPr>
              <w:t>车辆型号为g的新能源小客车第i次出行</w:t>
            </w:r>
            <w:r>
              <w:rPr>
                <w:rFonts w:ascii="Times New Roman"/>
                <w:iCs/>
                <w:sz w:val="18"/>
              </w:rPr>
              <w:t>用能源x的</w:t>
            </w:r>
            <w:r>
              <w:rPr>
                <w:rFonts w:hint="eastAsia" w:ascii="Times New Roman"/>
                <w:iCs/>
                <w:sz w:val="18"/>
              </w:rPr>
              <w:t>单位公里油耗</w:t>
            </w:r>
          </w:p>
        </w:tc>
        <w:tc>
          <w:tcPr>
            <w:tcW w:w="2895" w:type="dxa"/>
            <w:shd w:val="clear" w:color="auto" w:fill="auto"/>
            <w:noWrap/>
            <w:vAlign w:val="center"/>
          </w:tcPr>
          <w:p w14:paraId="606FE871">
            <w:pPr>
              <w:spacing w:line="240" w:lineRule="auto"/>
              <w:jc w:val="both"/>
              <w:rPr>
                <w:kern w:val="0"/>
                <w:sz w:val="18"/>
                <w:szCs w:val="18"/>
              </w:rPr>
            </w:pPr>
            <w:r>
              <w:rPr>
                <w:rFonts w:hint="eastAsia"/>
                <w:kern w:val="0"/>
                <w:sz w:val="18"/>
                <w:szCs w:val="18"/>
              </w:rPr>
              <w:t>计算项目情景的碳排放量</w:t>
            </w:r>
          </w:p>
        </w:tc>
      </w:tr>
      <w:tr w14:paraId="4381F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245BE255">
            <w:pPr>
              <w:pStyle w:val="229"/>
              <w:ind w:firstLineChars="0"/>
              <w:jc w:val="center"/>
              <w:rPr>
                <w:rFonts w:ascii="Calibri" w:hAnsi="Calibri"/>
                <w:sz w:val="18"/>
                <w:szCs w:val="24"/>
              </w:rPr>
            </w:pPr>
            <m:oMathPara>
              <m:oMath>
                <m:sSub>
                  <m:sSubPr>
                    <m:ctrlPr>
                      <w:rPr>
                        <w:rFonts w:ascii="Cambria Math" w:hAnsi="Cambria Math"/>
                        <w:i/>
                        <w:sz w:val="18"/>
                        <w:szCs w:val="24"/>
                      </w:rPr>
                    </m:ctrlPr>
                  </m:sSubPr>
                  <m:e>
                    <m:r>
                      <m:rPr/>
                      <w:rPr>
                        <w:rFonts w:ascii="Cambria Math" w:hAnsi="Cambria Math"/>
                        <w:sz w:val="18"/>
                      </w:rPr>
                      <m:t>EC</m:t>
                    </m:r>
                    <m:ctrlPr>
                      <w:rPr>
                        <w:rFonts w:ascii="Cambria Math" w:hAnsi="Cambria Math"/>
                        <w:i/>
                        <w:sz w:val="18"/>
                        <w:szCs w:val="24"/>
                      </w:rPr>
                    </m:ctrlPr>
                  </m:e>
                  <m:sub>
                    <m:sSub>
                      <m:sSubPr>
                        <m:ctrlPr>
                          <w:rPr>
                            <w:rFonts w:ascii="Cambria Math" w:hAnsi="Cambria Math"/>
                            <w:i/>
                            <w:sz w:val="18"/>
                          </w:rPr>
                        </m:ctrlPr>
                      </m:sSubPr>
                      <m:e>
                        <m:r>
                          <m:rPr/>
                          <w:rPr>
                            <w:rFonts w:hint="eastAsia" w:ascii="Cambria Math" w:hAnsi="Cambria Math"/>
                            <w:sz w:val="18"/>
                          </w:rPr>
                          <m:t>g</m:t>
                        </m:r>
                        <m:ctrlPr>
                          <w:rPr>
                            <w:rFonts w:ascii="Cambria Math" w:hAnsi="Cambria Math"/>
                            <w:i/>
                            <w:sz w:val="18"/>
                          </w:rPr>
                        </m:ctrlPr>
                      </m:e>
                      <m:sub>
                        <m:r>
                          <m:rPr/>
                          <w:rPr>
                            <w:rFonts w:ascii="Cambria Math" w:hAnsi="Cambria Math"/>
                            <w:sz w:val="18"/>
                          </w:rPr>
                          <m:t>r</m:t>
                        </m:r>
                        <m:ctrlPr>
                          <w:rPr>
                            <w:rFonts w:ascii="Cambria Math" w:hAnsi="Cambria Math"/>
                            <w:i/>
                            <w:sz w:val="18"/>
                          </w:rPr>
                        </m:ctrlPr>
                      </m:sub>
                    </m:sSub>
                    <m:r>
                      <m:rPr/>
                      <w:rPr>
                        <w:rFonts w:ascii="Cambria Math" w:hAnsi="Cambria Math"/>
                        <w:sz w:val="18"/>
                      </w:rPr>
                      <m:t>,i,r,v</m:t>
                    </m:r>
                    <m:ctrlPr>
                      <w:rPr>
                        <w:rFonts w:ascii="Cambria Math" w:hAnsi="Cambria Math"/>
                        <w:i/>
                        <w:sz w:val="18"/>
                        <w:szCs w:val="24"/>
                      </w:rPr>
                    </m:ctrlPr>
                  </m:sub>
                </m:sSub>
              </m:oMath>
            </m:oMathPara>
          </w:p>
        </w:tc>
        <w:tc>
          <w:tcPr>
            <w:tcW w:w="1529" w:type="dxa"/>
            <w:shd w:val="clear" w:color="auto" w:fill="auto"/>
            <w:noWrap/>
            <w:vAlign w:val="center"/>
          </w:tcPr>
          <w:p w14:paraId="42AAA2E4">
            <w:pPr>
              <w:spacing w:line="240" w:lineRule="auto"/>
              <w:jc w:val="center"/>
              <w:rPr>
                <w:rFonts w:ascii="Times New Roman"/>
                <w:iCs/>
                <w:sz w:val="18"/>
              </w:rPr>
            </w:pPr>
            <w:r>
              <w:rPr>
                <w:rFonts w:hint="eastAsia"/>
                <w:kern w:val="0"/>
                <w:sz w:val="18"/>
                <w:szCs w:val="18"/>
              </w:rPr>
              <w:t>M</w:t>
            </w:r>
            <w:r>
              <w:rPr>
                <w:kern w:val="0"/>
                <w:sz w:val="18"/>
                <w:szCs w:val="18"/>
              </w:rPr>
              <w:t>W</w:t>
            </w:r>
            <w:r>
              <w:rPr>
                <w:rFonts w:hint="eastAsia"/>
                <w:kern w:val="0"/>
                <w:sz w:val="18"/>
                <w:szCs w:val="18"/>
              </w:rPr>
              <w:t>h</w:t>
            </w:r>
            <w:r>
              <w:rPr>
                <w:kern w:val="0"/>
                <w:sz w:val="18"/>
                <w:szCs w:val="18"/>
              </w:rPr>
              <w:t>/km</w:t>
            </w:r>
          </w:p>
        </w:tc>
        <w:tc>
          <w:tcPr>
            <w:tcW w:w="3943" w:type="dxa"/>
            <w:shd w:val="clear" w:color="auto" w:fill="auto"/>
            <w:noWrap/>
            <w:vAlign w:val="center"/>
          </w:tcPr>
          <w:p w14:paraId="591302B1">
            <w:pPr>
              <w:spacing w:line="240" w:lineRule="auto"/>
              <w:jc w:val="both"/>
              <w:rPr>
                <w:rFonts w:ascii="Times New Roman"/>
                <w:sz w:val="18"/>
              </w:rPr>
            </w:pPr>
            <w:r>
              <w:rPr>
                <w:rFonts w:hint="eastAsia"/>
                <w:kern w:val="0"/>
                <w:sz w:val="18"/>
                <w:szCs w:val="18"/>
              </w:rPr>
              <w:t>能源类型为r，车辆型号为g，行驶速度为v的新能源小客车第i次出行的单位公里电耗</w:t>
            </w:r>
          </w:p>
        </w:tc>
        <w:tc>
          <w:tcPr>
            <w:tcW w:w="2895" w:type="dxa"/>
            <w:shd w:val="clear" w:color="auto" w:fill="auto"/>
            <w:noWrap/>
            <w:vAlign w:val="center"/>
          </w:tcPr>
          <w:p w14:paraId="4631ACF3">
            <w:pPr>
              <w:spacing w:line="240" w:lineRule="auto"/>
              <w:jc w:val="both"/>
              <w:rPr>
                <w:kern w:val="0"/>
                <w:sz w:val="18"/>
                <w:szCs w:val="18"/>
              </w:rPr>
            </w:pPr>
            <w:r>
              <w:rPr>
                <w:rFonts w:hint="eastAsia"/>
                <w:kern w:val="0"/>
                <w:sz w:val="18"/>
                <w:szCs w:val="18"/>
              </w:rPr>
              <w:t>计算项目情景的碳排放量</w:t>
            </w:r>
          </w:p>
        </w:tc>
      </w:tr>
      <w:tr w14:paraId="1ACF6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77" w:type="dxa"/>
            <w:shd w:val="clear" w:color="auto" w:fill="auto"/>
            <w:noWrap/>
            <w:vAlign w:val="center"/>
          </w:tcPr>
          <w:p w14:paraId="237EC3F1">
            <w:pPr>
              <w:pStyle w:val="229"/>
              <w:ind w:firstLineChars="0"/>
              <w:jc w:val="center"/>
              <w:rPr>
                <w:rFonts w:ascii="Times New Roman"/>
                <w:iCs/>
                <w:sz w:val="18"/>
              </w:rPr>
            </w:pPr>
            <m:oMathPara>
              <m:oMath>
                <m:sSub>
                  <m:sSubPr>
                    <m:ctrlPr>
                      <w:rPr>
                        <w:rFonts w:ascii="Cambria Math" w:hAnsi="Cambria Math"/>
                        <w:i/>
                        <w:sz w:val="18"/>
                        <w:szCs w:val="24"/>
                      </w:rPr>
                    </m:ctrlPr>
                  </m:sSubPr>
                  <m:e>
                    <m:r>
                      <m:rPr/>
                      <w:rPr>
                        <w:rFonts w:ascii="Cambria Math" w:hAnsi="Cambria Math"/>
                        <w:sz w:val="18"/>
                      </w:rPr>
                      <m:t>HC</m:t>
                    </m:r>
                    <m:ctrlPr>
                      <w:rPr>
                        <w:rFonts w:ascii="Cambria Math" w:hAnsi="Cambria Math"/>
                        <w:i/>
                        <w:sz w:val="18"/>
                        <w:szCs w:val="24"/>
                      </w:rPr>
                    </m:ctrlPr>
                  </m:e>
                  <m:sub>
                    <m:sSub>
                      <m:sSubPr>
                        <m:ctrlPr>
                          <w:rPr>
                            <w:rFonts w:ascii="Cambria Math" w:hAnsi="Cambria Math"/>
                            <w:i/>
                            <w:sz w:val="18"/>
                          </w:rPr>
                        </m:ctrlPr>
                      </m:sSubPr>
                      <m:e>
                        <m:r>
                          <m:rPr/>
                          <w:rPr>
                            <w:rFonts w:hint="eastAsia" w:ascii="Cambria Math" w:hAnsi="Cambria Math"/>
                            <w:sz w:val="18"/>
                          </w:rPr>
                          <m:t>g</m:t>
                        </m:r>
                        <m:ctrlPr>
                          <w:rPr>
                            <w:rFonts w:ascii="Cambria Math" w:hAnsi="Cambria Math"/>
                            <w:i/>
                            <w:sz w:val="18"/>
                          </w:rPr>
                        </m:ctrlPr>
                      </m:e>
                      <m:sub>
                        <m:r>
                          <m:rPr/>
                          <w:rPr>
                            <w:rFonts w:ascii="Cambria Math" w:hAnsi="Cambria Math"/>
                            <w:sz w:val="18"/>
                          </w:rPr>
                          <m:t>r</m:t>
                        </m:r>
                        <m:ctrlPr>
                          <w:rPr>
                            <w:rFonts w:ascii="Cambria Math" w:hAnsi="Cambria Math"/>
                            <w:i/>
                            <w:sz w:val="18"/>
                          </w:rPr>
                        </m:ctrlPr>
                      </m:sub>
                    </m:sSub>
                    <m:r>
                      <m:rPr/>
                      <w:rPr>
                        <w:rFonts w:ascii="Cambria Math" w:hAnsi="Cambria Math"/>
                        <w:sz w:val="18"/>
                      </w:rPr>
                      <m:t>,i,r,x,v</m:t>
                    </m:r>
                    <m:ctrlPr>
                      <w:rPr>
                        <w:rFonts w:ascii="Cambria Math" w:hAnsi="Cambria Math"/>
                        <w:i/>
                        <w:sz w:val="18"/>
                        <w:szCs w:val="24"/>
                      </w:rPr>
                    </m:ctrlPr>
                  </m:sub>
                </m:sSub>
              </m:oMath>
            </m:oMathPara>
          </w:p>
          <w:p w14:paraId="1BEF76FB">
            <w:pPr>
              <w:pStyle w:val="229"/>
              <w:ind w:firstLineChars="0"/>
              <w:jc w:val="center"/>
              <w:rPr>
                <w:rFonts w:ascii="Calibri" w:hAnsi="Calibri"/>
                <w:sz w:val="18"/>
                <w:szCs w:val="24"/>
              </w:rPr>
            </w:pPr>
          </w:p>
        </w:tc>
        <w:tc>
          <w:tcPr>
            <w:tcW w:w="1529" w:type="dxa"/>
            <w:shd w:val="clear" w:color="auto" w:fill="auto"/>
            <w:noWrap/>
            <w:vAlign w:val="center"/>
          </w:tcPr>
          <w:p w14:paraId="564314B7">
            <w:pPr>
              <w:spacing w:line="240" w:lineRule="auto"/>
              <w:jc w:val="center"/>
              <w:rPr>
                <w:rFonts w:ascii="Times New Roman"/>
                <w:iCs/>
                <w:sz w:val="18"/>
              </w:rPr>
            </w:pPr>
            <w:r>
              <w:rPr>
                <w:rFonts w:ascii="Times New Roman"/>
                <w:iCs/>
                <w:sz w:val="18"/>
              </w:rPr>
              <w:t>ton</w:t>
            </w:r>
            <w:r>
              <w:rPr>
                <w:rFonts w:hint="eastAsia" w:ascii="Times New Roman"/>
                <w:iCs/>
                <w:sz w:val="18"/>
              </w:rPr>
              <w:t>/km</w:t>
            </w:r>
          </w:p>
        </w:tc>
        <w:tc>
          <w:tcPr>
            <w:tcW w:w="3943" w:type="dxa"/>
            <w:shd w:val="clear" w:color="auto" w:fill="auto"/>
            <w:noWrap/>
            <w:vAlign w:val="center"/>
          </w:tcPr>
          <w:p w14:paraId="1848E9EC">
            <w:pPr>
              <w:spacing w:line="240" w:lineRule="auto"/>
              <w:jc w:val="both"/>
              <w:rPr>
                <w:rFonts w:ascii="Times New Roman"/>
                <w:sz w:val="18"/>
              </w:rPr>
            </w:pPr>
            <w:r>
              <w:rPr>
                <w:rFonts w:hint="eastAsia" w:ascii="Times New Roman"/>
                <w:sz w:val="18"/>
              </w:rPr>
              <w:t>能源类型为r，</w:t>
            </w:r>
            <w:r>
              <w:rPr>
                <w:rFonts w:hint="eastAsia"/>
                <w:sz w:val="18"/>
                <w:szCs w:val="24"/>
              </w:rPr>
              <w:t>车辆型号为g</w:t>
            </w:r>
            <w:r>
              <w:rPr>
                <w:sz w:val="18"/>
                <w:szCs w:val="24"/>
              </w:rPr>
              <w:t>,</w:t>
            </w:r>
            <w:r>
              <w:rPr>
                <w:rFonts w:hint="eastAsia"/>
                <w:kern w:val="0"/>
                <w:sz w:val="18"/>
                <w:szCs w:val="18"/>
              </w:rPr>
              <w:t xml:space="preserve"> 行驶速度为v</w:t>
            </w:r>
            <w:r>
              <w:rPr>
                <w:rFonts w:hint="eastAsia"/>
                <w:sz w:val="18"/>
                <w:szCs w:val="24"/>
              </w:rPr>
              <w:t>的新能源小客车第i次出行</w:t>
            </w:r>
            <w:r>
              <w:rPr>
                <w:rFonts w:ascii="Times New Roman"/>
                <w:iCs/>
                <w:sz w:val="18"/>
              </w:rPr>
              <w:t>用能源x的</w:t>
            </w:r>
            <w:r>
              <w:rPr>
                <w:rFonts w:hint="eastAsia" w:ascii="Times New Roman"/>
                <w:iCs/>
                <w:sz w:val="18"/>
              </w:rPr>
              <w:t>单位公里油耗</w:t>
            </w:r>
          </w:p>
        </w:tc>
        <w:tc>
          <w:tcPr>
            <w:tcW w:w="2895" w:type="dxa"/>
            <w:shd w:val="clear" w:color="auto" w:fill="auto"/>
            <w:noWrap/>
            <w:vAlign w:val="center"/>
          </w:tcPr>
          <w:p w14:paraId="315650CA">
            <w:pPr>
              <w:spacing w:line="240" w:lineRule="auto"/>
              <w:jc w:val="both"/>
              <w:rPr>
                <w:kern w:val="0"/>
                <w:sz w:val="18"/>
                <w:szCs w:val="18"/>
              </w:rPr>
            </w:pPr>
            <w:r>
              <w:rPr>
                <w:rFonts w:hint="eastAsia"/>
                <w:kern w:val="0"/>
                <w:sz w:val="18"/>
                <w:szCs w:val="18"/>
              </w:rPr>
              <w:t>计算项目情景的碳排放量</w:t>
            </w:r>
          </w:p>
        </w:tc>
      </w:tr>
    </w:tbl>
    <w:p w14:paraId="5CFC34EC">
      <w:pPr>
        <w:pStyle w:val="112"/>
        <w:numPr>
          <w:ilvl w:val="0"/>
          <w:numId w:val="0"/>
        </w:numPr>
        <w:spacing w:before="156" w:after="156"/>
        <w:jc w:val="both"/>
      </w:pPr>
    </w:p>
    <w:p w14:paraId="1D891FFA">
      <w:pPr>
        <w:pStyle w:val="56"/>
        <w:ind w:firstLine="420"/>
      </w:pPr>
    </w:p>
    <w:p w14:paraId="59CFF1B2">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14:paraId="09E8B2F2">
      <w:pPr>
        <w:pStyle w:val="198"/>
        <w:rPr>
          <w:vanish w:val="0"/>
        </w:rPr>
      </w:pPr>
      <w:bookmarkStart w:id="96" w:name="BookMark5"/>
    </w:p>
    <w:p w14:paraId="7CF2C944">
      <w:pPr>
        <w:pStyle w:val="199"/>
        <w:rPr>
          <w:vanish w:val="0"/>
        </w:rPr>
      </w:pPr>
    </w:p>
    <w:p w14:paraId="445C2752">
      <w:pPr>
        <w:pStyle w:val="76"/>
        <w:spacing w:after="156"/>
      </w:pPr>
      <w:r>
        <w:br w:type="textWrapping"/>
      </w:r>
      <w:bookmarkStart w:id="97" w:name="_Toc131518026"/>
      <w:r>
        <w:rPr>
          <w:rFonts w:hint="eastAsia"/>
        </w:rPr>
        <w:t>（资料性）</w:t>
      </w:r>
      <w:r>
        <w:br w:type="textWrapping"/>
      </w:r>
      <w:r>
        <w:rPr>
          <w:rFonts w:hint="eastAsia"/>
        </w:rPr>
        <w:t>全国城市分情景选值原则</w:t>
      </w:r>
      <w:bookmarkEnd w:id="97"/>
    </w:p>
    <w:p w14:paraId="12882A25">
      <w:pPr>
        <w:pStyle w:val="56"/>
        <w:ind w:firstLine="420"/>
        <w:rPr>
          <w:lang w:val="en-AU"/>
        </w:rPr>
      </w:pPr>
      <w:r>
        <w:rPr>
          <w:rFonts w:hint="eastAsia"/>
          <w:lang w:val="en-AU"/>
        </w:rPr>
        <w:t>表</w:t>
      </w:r>
      <w:r>
        <w:rPr>
          <w:rFonts w:hAnsi="宋体"/>
          <w:lang w:val="en-AU"/>
        </w:rPr>
        <w:t>A.1</w:t>
      </w:r>
      <w:r>
        <w:rPr>
          <w:rFonts w:hint="eastAsia"/>
          <w:lang w:val="en-AU"/>
        </w:rPr>
        <w:t>规定了全国城市分情景选值原则。</w:t>
      </w:r>
    </w:p>
    <w:p w14:paraId="69A1A69F">
      <w:pPr>
        <w:pStyle w:val="77"/>
        <w:spacing w:before="156" w:after="156"/>
      </w:pPr>
      <w:r>
        <w:rPr>
          <w:rFonts w:hint="eastAsia"/>
          <w:lang w:val="en-AU"/>
        </w:rPr>
        <w:t>全国城市分情景选值原则</w:t>
      </w:r>
    </w:p>
    <w:tbl>
      <w:tblPr>
        <w:tblStyle w:val="231"/>
        <w:tblpPr w:leftFromText="180" w:rightFromText="180" w:vertAnchor="text" w:horzAnchor="margin" w:tblpY="90"/>
        <w:tblW w:w="5000" w:type="pct"/>
        <w:tblInd w:w="0" w:type="dxa"/>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18"/>
        <w:gridCol w:w="442"/>
        <w:gridCol w:w="645"/>
        <w:gridCol w:w="352"/>
        <w:gridCol w:w="785"/>
        <w:gridCol w:w="374"/>
        <w:gridCol w:w="900"/>
        <w:gridCol w:w="687"/>
        <w:gridCol w:w="701"/>
        <w:gridCol w:w="723"/>
        <w:gridCol w:w="765"/>
        <w:gridCol w:w="717"/>
        <w:gridCol w:w="752"/>
        <w:gridCol w:w="752"/>
        <w:gridCol w:w="1071"/>
        <w:gridCol w:w="859"/>
        <w:gridCol w:w="751"/>
        <w:gridCol w:w="812"/>
        <w:gridCol w:w="655"/>
        <w:gridCol w:w="789"/>
        <w:tblGridChange w:id="0">
          <w:tblGrid>
            <w:gridCol w:w="509"/>
            <w:gridCol w:w="9"/>
            <w:gridCol w:w="73"/>
            <w:gridCol w:w="353"/>
            <w:gridCol w:w="16"/>
            <w:gridCol w:w="357"/>
            <w:gridCol w:w="261"/>
            <w:gridCol w:w="27"/>
            <w:gridCol w:w="319"/>
            <w:gridCol w:w="56"/>
            <w:gridCol w:w="716"/>
            <w:gridCol w:w="368"/>
            <w:gridCol w:w="885"/>
            <w:gridCol w:w="675"/>
            <w:gridCol w:w="689"/>
            <w:gridCol w:w="711"/>
            <w:gridCol w:w="103"/>
            <w:gridCol w:w="386"/>
            <w:gridCol w:w="263"/>
            <w:gridCol w:w="705"/>
            <w:gridCol w:w="739"/>
            <w:gridCol w:w="739"/>
            <w:gridCol w:w="1053"/>
            <w:gridCol w:w="845"/>
            <w:gridCol w:w="186"/>
            <w:gridCol w:w="3007"/>
          </w:tblGrid>
        </w:tblGridChange>
      </w:tblGrid>
      <w:tr w14:paraId="569EB429">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68" w:hRule="atLeast"/>
          <w:tblHeader/>
        </w:trPr>
        <w:tc>
          <w:tcPr>
            <w:tcW w:w="184" w:type="pct"/>
            <w:vMerge w:val="restart"/>
            <w:shd w:val="clear" w:color="auto" w:fill="auto"/>
            <w:noWrap/>
            <w:vAlign w:val="center"/>
          </w:tcPr>
          <w:p w14:paraId="688710A8">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情景设计</w:t>
            </w:r>
          </w:p>
        </w:tc>
        <w:tc>
          <w:tcPr>
            <w:tcW w:w="157" w:type="pct"/>
            <w:vMerge w:val="restart"/>
            <w:shd w:val="clear" w:color="auto" w:fill="auto"/>
            <w:vAlign w:val="center"/>
          </w:tcPr>
          <w:p w14:paraId="51E9B6F8">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数据基础情况</w:t>
            </w:r>
          </w:p>
        </w:tc>
        <w:tc>
          <w:tcPr>
            <w:tcW w:w="229" w:type="pct"/>
            <w:vMerge w:val="restart"/>
            <w:shd w:val="clear" w:color="auto" w:fill="auto"/>
            <w:noWrap/>
            <w:vAlign w:val="center"/>
          </w:tcPr>
          <w:p w14:paraId="6F8E4B51">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公式调整</w:t>
            </w:r>
          </w:p>
        </w:tc>
        <w:tc>
          <w:tcPr>
            <w:tcW w:w="1607" w:type="pct"/>
            <w:gridSpan w:val="7"/>
            <w:shd w:val="clear" w:color="auto" w:fill="auto"/>
            <w:vAlign w:val="center"/>
          </w:tcPr>
          <w:p w14:paraId="6E5B6BE9">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私人燃油小客车</w:t>
            </w:r>
          </w:p>
        </w:tc>
        <w:tc>
          <w:tcPr>
            <w:tcW w:w="1748" w:type="pct"/>
            <w:gridSpan w:val="6"/>
            <w:shd w:val="clear" w:color="auto" w:fill="auto"/>
            <w:noWrap/>
            <w:vAlign w:val="center"/>
          </w:tcPr>
          <w:p w14:paraId="13A395F6">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城市轨道</w:t>
            </w:r>
          </w:p>
        </w:tc>
        <w:tc>
          <w:tcPr>
            <w:tcW w:w="1070" w:type="pct"/>
            <w:gridSpan w:val="4"/>
            <w:shd w:val="clear" w:color="auto" w:fill="auto"/>
            <w:vAlign w:val="center"/>
          </w:tcPr>
          <w:p w14:paraId="2E5FA520">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公交</w:t>
            </w:r>
          </w:p>
        </w:tc>
      </w:tr>
      <w:tr w14:paraId="2B6881EE">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68" w:hRule="atLeast"/>
          <w:tblHeader/>
        </w:trPr>
        <w:tc>
          <w:tcPr>
            <w:tcW w:w="184" w:type="pct"/>
            <w:vMerge w:val="continue"/>
            <w:shd w:val="clear" w:color="auto" w:fill="auto"/>
            <w:vAlign w:val="center"/>
          </w:tcPr>
          <w:p w14:paraId="112EFA8C">
            <w:pPr>
              <w:widowControl/>
              <w:adjustRightInd/>
              <w:spacing w:line="240" w:lineRule="auto"/>
              <w:jc w:val="center"/>
              <w:rPr>
                <w:rFonts w:ascii="宋体" w:hAnsi="宋体" w:cs="宋体"/>
                <w:bCs/>
                <w:color w:val="000000"/>
                <w:kern w:val="0"/>
                <w:sz w:val="18"/>
                <w:szCs w:val="18"/>
              </w:rPr>
            </w:pPr>
          </w:p>
        </w:tc>
        <w:tc>
          <w:tcPr>
            <w:tcW w:w="157" w:type="pct"/>
            <w:vMerge w:val="continue"/>
            <w:shd w:val="clear" w:color="auto" w:fill="auto"/>
            <w:vAlign w:val="center"/>
          </w:tcPr>
          <w:p w14:paraId="6AB85C6C">
            <w:pPr>
              <w:widowControl/>
              <w:adjustRightInd/>
              <w:spacing w:line="240" w:lineRule="auto"/>
              <w:jc w:val="center"/>
              <w:rPr>
                <w:rFonts w:ascii="宋体" w:hAnsi="宋体" w:cs="宋体"/>
                <w:bCs/>
                <w:color w:val="000000"/>
                <w:kern w:val="0"/>
                <w:sz w:val="18"/>
                <w:szCs w:val="18"/>
              </w:rPr>
            </w:pPr>
          </w:p>
        </w:tc>
        <w:tc>
          <w:tcPr>
            <w:tcW w:w="229" w:type="pct"/>
            <w:vMerge w:val="continue"/>
            <w:shd w:val="clear" w:color="auto" w:fill="auto"/>
            <w:vAlign w:val="center"/>
          </w:tcPr>
          <w:p w14:paraId="1EF092D2">
            <w:pPr>
              <w:widowControl/>
              <w:adjustRightInd/>
              <w:spacing w:line="240" w:lineRule="auto"/>
              <w:jc w:val="center"/>
              <w:rPr>
                <w:rFonts w:ascii="宋体" w:hAnsi="宋体" w:cs="宋体"/>
                <w:bCs/>
                <w:color w:val="000000"/>
                <w:kern w:val="0"/>
                <w:sz w:val="18"/>
                <w:szCs w:val="18"/>
              </w:rPr>
            </w:pPr>
          </w:p>
        </w:tc>
        <w:tc>
          <w:tcPr>
            <w:tcW w:w="537" w:type="pct"/>
            <w:gridSpan w:val="3"/>
            <w:shd w:val="clear" w:color="auto" w:fill="auto"/>
            <w:noWrap/>
            <w:vAlign w:val="center"/>
          </w:tcPr>
          <w:p w14:paraId="08545303">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TOCC平台建设情况</w:t>
            </w:r>
          </w:p>
        </w:tc>
        <w:tc>
          <w:tcPr>
            <w:tcW w:w="320" w:type="pct"/>
            <w:vMerge w:val="restart"/>
            <w:shd w:val="clear" w:color="auto" w:fill="auto"/>
            <w:noWrap/>
            <w:vAlign w:val="center"/>
          </w:tcPr>
          <w:p w14:paraId="0F068A62">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车公里速度排放因子</w:t>
            </w:r>
          </w:p>
        </w:tc>
        <w:tc>
          <w:tcPr>
            <w:tcW w:w="244" w:type="pct"/>
            <w:vMerge w:val="restart"/>
            <w:shd w:val="clear" w:color="auto" w:fill="auto"/>
            <w:noWrap/>
            <w:vAlign w:val="center"/>
          </w:tcPr>
          <w:p w14:paraId="0608D860">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百公里能耗</w:t>
            </w:r>
          </w:p>
        </w:tc>
        <w:tc>
          <w:tcPr>
            <w:tcW w:w="249" w:type="pct"/>
            <w:vMerge w:val="restart"/>
            <w:shd w:val="clear" w:color="auto" w:fill="auto"/>
            <w:vAlign w:val="center"/>
          </w:tcPr>
          <w:p w14:paraId="021AFFB6">
            <w:pPr>
              <w:widowControl/>
              <w:adjustRightInd/>
              <w:spacing w:line="240" w:lineRule="auto"/>
              <w:jc w:val="center"/>
              <w:rPr>
                <w:rFonts w:ascii="宋体" w:hAnsi="宋体" w:cs="宋体"/>
                <w:bCs/>
                <w:color w:val="000000"/>
                <w:kern w:val="0"/>
                <w:sz w:val="18"/>
                <w:szCs w:val="18"/>
                <w:highlight w:val="yellow"/>
              </w:rPr>
            </w:pPr>
            <w:r>
              <w:rPr>
                <w:rFonts w:hint="eastAsia" w:ascii="宋体" w:hAnsi="宋体" w:cs="宋体"/>
                <w:bCs/>
                <w:color w:val="000000"/>
                <w:kern w:val="0"/>
                <w:sz w:val="18"/>
                <w:szCs w:val="18"/>
              </w:rPr>
              <w:t>年均行驶里程</w:t>
            </w:r>
          </w:p>
        </w:tc>
        <w:tc>
          <w:tcPr>
            <w:tcW w:w="256" w:type="pct"/>
            <w:vMerge w:val="restart"/>
            <w:shd w:val="clear" w:color="auto" w:fill="auto"/>
            <w:noWrap/>
            <w:vAlign w:val="center"/>
          </w:tcPr>
          <w:p w14:paraId="5F581C9A">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路网转化系数</w:t>
            </w:r>
          </w:p>
        </w:tc>
        <w:tc>
          <w:tcPr>
            <w:tcW w:w="527" w:type="pct"/>
            <w:gridSpan w:val="2"/>
            <w:shd w:val="clear" w:color="auto" w:fill="auto"/>
            <w:noWrap/>
            <w:vAlign w:val="center"/>
          </w:tcPr>
          <w:p w14:paraId="13DB201D">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城市轨道建设和运营情况</w:t>
            </w:r>
          </w:p>
        </w:tc>
        <w:tc>
          <w:tcPr>
            <w:tcW w:w="267" w:type="pct"/>
            <w:vMerge w:val="restart"/>
            <w:shd w:val="clear" w:color="auto" w:fill="auto"/>
            <w:noWrap/>
            <w:vAlign w:val="center"/>
          </w:tcPr>
          <w:p w14:paraId="4DFA787E">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年能耗总量</w:t>
            </w:r>
          </w:p>
        </w:tc>
        <w:tc>
          <w:tcPr>
            <w:tcW w:w="267" w:type="pct"/>
            <w:vMerge w:val="restart"/>
            <w:shd w:val="clear" w:color="auto" w:fill="auto"/>
            <w:noWrap/>
            <w:vAlign w:val="center"/>
          </w:tcPr>
          <w:p w14:paraId="3D3846B6">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年出行总量</w:t>
            </w:r>
          </w:p>
        </w:tc>
        <w:tc>
          <w:tcPr>
            <w:tcW w:w="381" w:type="pct"/>
            <w:vMerge w:val="restart"/>
            <w:shd w:val="clear" w:color="auto" w:fill="auto"/>
            <w:noWrap/>
            <w:vAlign w:val="center"/>
          </w:tcPr>
          <w:p w14:paraId="58A4FA17">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人均单次出行距离</w:t>
            </w:r>
          </w:p>
        </w:tc>
        <w:tc>
          <w:tcPr>
            <w:tcW w:w="306" w:type="pct"/>
            <w:vMerge w:val="restart"/>
            <w:shd w:val="clear" w:color="auto" w:fill="auto"/>
            <w:noWrap/>
            <w:vAlign w:val="center"/>
          </w:tcPr>
          <w:p w14:paraId="781FC371">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年客运周转量</w:t>
            </w:r>
          </w:p>
        </w:tc>
        <w:tc>
          <w:tcPr>
            <w:tcW w:w="267" w:type="pct"/>
            <w:vMerge w:val="restart"/>
            <w:shd w:val="clear" w:color="auto" w:fill="auto"/>
            <w:noWrap/>
            <w:vAlign w:val="center"/>
          </w:tcPr>
          <w:p w14:paraId="7D0A6F78">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年出行总量</w:t>
            </w:r>
          </w:p>
        </w:tc>
        <w:tc>
          <w:tcPr>
            <w:tcW w:w="289" w:type="pct"/>
            <w:vMerge w:val="restart"/>
            <w:shd w:val="clear" w:color="auto" w:fill="auto"/>
            <w:vAlign w:val="center"/>
          </w:tcPr>
          <w:p w14:paraId="2C3CE279">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分能源类型的年能耗总量</w:t>
            </w:r>
          </w:p>
        </w:tc>
        <w:tc>
          <w:tcPr>
            <w:tcW w:w="233" w:type="pct"/>
            <w:vMerge w:val="restart"/>
            <w:shd w:val="clear" w:color="auto" w:fill="auto"/>
            <w:noWrap/>
            <w:vAlign w:val="center"/>
          </w:tcPr>
          <w:p w14:paraId="7D0EA332">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人均单次出行距离</w:t>
            </w:r>
          </w:p>
        </w:tc>
        <w:tc>
          <w:tcPr>
            <w:tcW w:w="280" w:type="pct"/>
            <w:vMerge w:val="restart"/>
            <w:shd w:val="clear" w:color="auto" w:fill="auto"/>
            <w:noWrap/>
            <w:vAlign w:val="center"/>
          </w:tcPr>
          <w:p w14:paraId="517FC925">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年客运周转量</w:t>
            </w:r>
          </w:p>
        </w:tc>
      </w:tr>
      <w:tr w14:paraId="57436792">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blHeader/>
        </w:trPr>
        <w:tc>
          <w:tcPr>
            <w:tcW w:w="184" w:type="pct"/>
            <w:vMerge w:val="continue"/>
            <w:shd w:val="clear" w:color="auto" w:fill="auto"/>
            <w:vAlign w:val="center"/>
          </w:tcPr>
          <w:p w14:paraId="53E54ABA">
            <w:pPr>
              <w:widowControl/>
              <w:adjustRightInd/>
              <w:spacing w:line="240" w:lineRule="auto"/>
              <w:jc w:val="center"/>
              <w:rPr>
                <w:rFonts w:ascii="宋体" w:hAnsi="宋体" w:cs="宋体"/>
                <w:bCs/>
                <w:color w:val="000000"/>
                <w:kern w:val="0"/>
                <w:sz w:val="18"/>
                <w:szCs w:val="18"/>
              </w:rPr>
            </w:pPr>
          </w:p>
        </w:tc>
        <w:tc>
          <w:tcPr>
            <w:tcW w:w="157" w:type="pct"/>
            <w:vMerge w:val="continue"/>
            <w:shd w:val="clear" w:color="auto" w:fill="auto"/>
            <w:vAlign w:val="center"/>
          </w:tcPr>
          <w:p w14:paraId="24E39DD2">
            <w:pPr>
              <w:widowControl/>
              <w:adjustRightInd/>
              <w:spacing w:line="240" w:lineRule="auto"/>
              <w:jc w:val="center"/>
              <w:rPr>
                <w:rFonts w:ascii="宋体" w:hAnsi="宋体" w:cs="宋体"/>
                <w:bCs/>
                <w:color w:val="000000"/>
                <w:kern w:val="0"/>
                <w:sz w:val="18"/>
                <w:szCs w:val="18"/>
              </w:rPr>
            </w:pPr>
          </w:p>
        </w:tc>
        <w:tc>
          <w:tcPr>
            <w:tcW w:w="229" w:type="pct"/>
            <w:vMerge w:val="continue"/>
            <w:shd w:val="clear" w:color="auto" w:fill="auto"/>
            <w:vAlign w:val="center"/>
          </w:tcPr>
          <w:p w14:paraId="17F7B178">
            <w:pPr>
              <w:widowControl/>
              <w:adjustRightInd/>
              <w:spacing w:line="240" w:lineRule="auto"/>
              <w:jc w:val="center"/>
              <w:rPr>
                <w:rFonts w:ascii="宋体" w:hAnsi="宋体" w:cs="宋体"/>
                <w:bCs/>
                <w:color w:val="000000"/>
                <w:kern w:val="0"/>
                <w:sz w:val="18"/>
                <w:szCs w:val="18"/>
              </w:rPr>
            </w:pPr>
          </w:p>
        </w:tc>
        <w:tc>
          <w:tcPr>
            <w:tcW w:w="125" w:type="pct"/>
            <w:shd w:val="clear" w:color="auto" w:fill="auto"/>
            <w:noWrap/>
            <w:vAlign w:val="center"/>
          </w:tcPr>
          <w:p w14:paraId="16FF4168">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良好</w:t>
            </w:r>
          </w:p>
        </w:tc>
        <w:tc>
          <w:tcPr>
            <w:tcW w:w="279" w:type="pct"/>
            <w:shd w:val="clear" w:color="auto" w:fill="auto"/>
            <w:vAlign w:val="center"/>
          </w:tcPr>
          <w:p w14:paraId="6F30DDF0">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无但设立专门机构</w:t>
            </w:r>
          </w:p>
        </w:tc>
        <w:tc>
          <w:tcPr>
            <w:tcW w:w="132" w:type="pct"/>
            <w:shd w:val="clear" w:color="auto" w:fill="auto"/>
            <w:noWrap/>
            <w:vAlign w:val="center"/>
          </w:tcPr>
          <w:p w14:paraId="3BD30B3C">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无</w:t>
            </w:r>
          </w:p>
        </w:tc>
        <w:tc>
          <w:tcPr>
            <w:tcW w:w="320" w:type="pct"/>
            <w:vMerge w:val="continue"/>
            <w:shd w:val="clear" w:color="auto" w:fill="auto"/>
            <w:vAlign w:val="center"/>
          </w:tcPr>
          <w:p w14:paraId="60B8D466">
            <w:pPr>
              <w:widowControl/>
              <w:adjustRightInd/>
              <w:spacing w:line="240" w:lineRule="auto"/>
              <w:jc w:val="center"/>
              <w:rPr>
                <w:rFonts w:ascii="宋体" w:hAnsi="宋体" w:cs="宋体"/>
                <w:bCs/>
                <w:color w:val="000000"/>
                <w:kern w:val="0"/>
                <w:sz w:val="18"/>
                <w:szCs w:val="18"/>
              </w:rPr>
            </w:pPr>
          </w:p>
        </w:tc>
        <w:tc>
          <w:tcPr>
            <w:tcW w:w="244" w:type="pct"/>
            <w:vMerge w:val="continue"/>
            <w:shd w:val="clear" w:color="auto" w:fill="auto"/>
            <w:vAlign w:val="center"/>
          </w:tcPr>
          <w:p w14:paraId="146D83E0">
            <w:pPr>
              <w:widowControl/>
              <w:adjustRightInd/>
              <w:spacing w:line="240" w:lineRule="auto"/>
              <w:jc w:val="center"/>
              <w:rPr>
                <w:rFonts w:ascii="宋体" w:hAnsi="宋体" w:cs="宋体"/>
                <w:bCs/>
                <w:color w:val="000000"/>
                <w:kern w:val="0"/>
                <w:sz w:val="18"/>
                <w:szCs w:val="18"/>
              </w:rPr>
            </w:pPr>
          </w:p>
        </w:tc>
        <w:tc>
          <w:tcPr>
            <w:tcW w:w="249" w:type="pct"/>
            <w:vMerge w:val="continue"/>
            <w:shd w:val="clear" w:color="auto" w:fill="auto"/>
            <w:vAlign w:val="center"/>
          </w:tcPr>
          <w:p w14:paraId="55E66A0A">
            <w:pPr>
              <w:widowControl/>
              <w:adjustRightInd/>
              <w:spacing w:line="240" w:lineRule="auto"/>
              <w:jc w:val="center"/>
              <w:rPr>
                <w:rFonts w:ascii="宋体" w:hAnsi="宋体" w:cs="宋体"/>
                <w:bCs/>
                <w:color w:val="000000"/>
                <w:kern w:val="0"/>
                <w:sz w:val="18"/>
                <w:szCs w:val="18"/>
                <w:highlight w:val="yellow"/>
              </w:rPr>
            </w:pPr>
          </w:p>
        </w:tc>
        <w:tc>
          <w:tcPr>
            <w:tcW w:w="256" w:type="pct"/>
            <w:vMerge w:val="continue"/>
            <w:shd w:val="clear" w:color="auto" w:fill="auto"/>
            <w:vAlign w:val="center"/>
          </w:tcPr>
          <w:p w14:paraId="177341CD">
            <w:pPr>
              <w:widowControl/>
              <w:adjustRightInd/>
              <w:spacing w:line="240" w:lineRule="auto"/>
              <w:jc w:val="center"/>
              <w:rPr>
                <w:rFonts w:ascii="宋体" w:hAnsi="宋体" w:cs="宋体"/>
                <w:bCs/>
                <w:color w:val="000000"/>
                <w:kern w:val="0"/>
                <w:sz w:val="18"/>
                <w:szCs w:val="18"/>
              </w:rPr>
            </w:pPr>
          </w:p>
        </w:tc>
        <w:tc>
          <w:tcPr>
            <w:tcW w:w="272" w:type="pct"/>
            <w:shd w:val="clear" w:color="auto" w:fill="auto"/>
            <w:vAlign w:val="center"/>
          </w:tcPr>
          <w:p w14:paraId="25D191CC">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有城市轨道</w:t>
            </w:r>
          </w:p>
        </w:tc>
        <w:tc>
          <w:tcPr>
            <w:tcW w:w="254" w:type="pct"/>
            <w:shd w:val="clear" w:color="auto" w:fill="auto"/>
            <w:vAlign w:val="center"/>
          </w:tcPr>
          <w:p w14:paraId="5AFC4689">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无城市轨道</w:t>
            </w:r>
          </w:p>
        </w:tc>
        <w:tc>
          <w:tcPr>
            <w:tcW w:w="267" w:type="pct"/>
            <w:vMerge w:val="continue"/>
            <w:shd w:val="clear" w:color="auto" w:fill="auto"/>
            <w:vAlign w:val="center"/>
          </w:tcPr>
          <w:p w14:paraId="1B041CC9">
            <w:pPr>
              <w:widowControl/>
              <w:adjustRightInd/>
              <w:spacing w:line="240" w:lineRule="auto"/>
              <w:jc w:val="center"/>
              <w:rPr>
                <w:rFonts w:ascii="宋体" w:hAnsi="宋体" w:cs="宋体"/>
                <w:bCs/>
                <w:color w:val="000000"/>
                <w:kern w:val="0"/>
                <w:sz w:val="18"/>
                <w:szCs w:val="18"/>
              </w:rPr>
            </w:pPr>
          </w:p>
        </w:tc>
        <w:tc>
          <w:tcPr>
            <w:tcW w:w="267" w:type="pct"/>
            <w:vMerge w:val="continue"/>
            <w:shd w:val="clear" w:color="auto" w:fill="auto"/>
            <w:vAlign w:val="center"/>
          </w:tcPr>
          <w:p w14:paraId="2DF00CBD">
            <w:pPr>
              <w:widowControl/>
              <w:adjustRightInd/>
              <w:spacing w:line="240" w:lineRule="auto"/>
              <w:jc w:val="center"/>
              <w:rPr>
                <w:rFonts w:ascii="宋体" w:hAnsi="宋体" w:cs="宋体"/>
                <w:bCs/>
                <w:color w:val="000000"/>
                <w:kern w:val="0"/>
                <w:sz w:val="18"/>
                <w:szCs w:val="18"/>
              </w:rPr>
            </w:pPr>
          </w:p>
        </w:tc>
        <w:tc>
          <w:tcPr>
            <w:tcW w:w="381" w:type="pct"/>
            <w:vMerge w:val="continue"/>
            <w:shd w:val="clear" w:color="auto" w:fill="auto"/>
            <w:vAlign w:val="center"/>
          </w:tcPr>
          <w:p w14:paraId="6B9F7DFA">
            <w:pPr>
              <w:widowControl/>
              <w:adjustRightInd/>
              <w:spacing w:line="240" w:lineRule="auto"/>
              <w:jc w:val="center"/>
              <w:rPr>
                <w:rFonts w:ascii="宋体" w:hAnsi="宋体" w:cs="宋体"/>
                <w:bCs/>
                <w:color w:val="000000"/>
                <w:kern w:val="0"/>
                <w:sz w:val="18"/>
                <w:szCs w:val="18"/>
              </w:rPr>
            </w:pPr>
          </w:p>
        </w:tc>
        <w:tc>
          <w:tcPr>
            <w:tcW w:w="306" w:type="pct"/>
            <w:vMerge w:val="continue"/>
            <w:shd w:val="clear" w:color="auto" w:fill="auto"/>
            <w:vAlign w:val="center"/>
          </w:tcPr>
          <w:p w14:paraId="1D640F18">
            <w:pPr>
              <w:widowControl/>
              <w:adjustRightInd/>
              <w:spacing w:line="240" w:lineRule="auto"/>
              <w:jc w:val="center"/>
              <w:rPr>
                <w:rFonts w:ascii="宋体" w:hAnsi="宋体" w:cs="宋体"/>
                <w:bCs/>
                <w:color w:val="000000"/>
                <w:kern w:val="0"/>
                <w:sz w:val="18"/>
                <w:szCs w:val="18"/>
              </w:rPr>
            </w:pPr>
          </w:p>
        </w:tc>
        <w:tc>
          <w:tcPr>
            <w:tcW w:w="267" w:type="pct"/>
            <w:vMerge w:val="continue"/>
            <w:shd w:val="clear" w:color="auto" w:fill="auto"/>
            <w:vAlign w:val="center"/>
          </w:tcPr>
          <w:p w14:paraId="30C831A4">
            <w:pPr>
              <w:widowControl/>
              <w:adjustRightInd/>
              <w:spacing w:line="240" w:lineRule="auto"/>
              <w:jc w:val="center"/>
              <w:rPr>
                <w:rFonts w:ascii="宋体" w:hAnsi="宋体" w:cs="宋体"/>
                <w:bCs/>
                <w:color w:val="000000"/>
                <w:kern w:val="0"/>
                <w:sz w:val="18"/>
                <w:szCs w:val="18"/>
              </w:rPr>
            </w:pPr>
          </w:p>
        </w:tc>
        <w:tc>
          <w:tcPr>
            <w:tcW w:w="289" w:type="pct"/>
            <w:vMerge w:val="continue"/>
            <w:shd w:val="clear" w:color="auto" w:fill="auto"/>
            <w:vAlign w:val="center"/>
          </w:tcPr>
          <w:p w14:paraId="406FFB17">
            <w:pPr>
              <w:widowControl/>
              <w:adjustRightInd/>
              <w:spacing w:line="240" w:lineRule="auto"/>
              <w:jc w:val="center"/>
              <w:rPr>
                <w:rFonts w:ascii="宋体" w:hAnsi="宋体" w:cs="宋体"/>
                <w:bCs/>
                <w:color w:val="000000"/>
                <w:kern w:val="0"/>
                <w:sz w:val="18"/>
                <w:szCs w:val="18"/>
              </w:rPr>
            </w:pPr>
          </w:p>
        </w:tc>
        <w:tc>
          <w:tcPr>
            <w:tcW w:w="233" w:type="pct"/>
            <w:vMerge w:val="continue"/>
            <w:shd w:val="clear" w:color="auto" w:fill="auto"/>
            <w:vAlign w:val="center"/>
          </w:tcPr>
          <w:p w14:paraId="04947149">
            <w:pPr>
              <w:widowControl/>
              <w:adjustRightInd/>
              <w:spacing w:line="240" w:lineRule="auto"/>
              <w:jc w:val="center"/>
              <w:rPr>
                <w:rFonts w:ascii="宋体" w:hAnsi="宋体" w:cs="宋体"/>
                <w:bCs/>
                <w:color w:val="000000"/>
                <w:kern w:val="0"/>
                <w:sz w:val="18"/>
                <w:szCs w:val="18"/>
              </w:rPr>
            </w:pPr>
          </w:p>
        </w:tc>
        <w:tc>
          <w:tcPr>
            <w:tcW w:w="280" w:type="pct"/>
            <w:vMerge w:val="continue"/>
            <w:shd w:val="clear" w:color="auto" w:fill="auto"/>
            <w:vAlign w:val="center"/>
          </w:tcPr>
          <w:p w14:paraId="6B5B76B9">
            <w:pPr>
              <w:widowControl/>
              <w:adjustRightInd/>
              <w:spacing w:line="240" w:lineRule="auto"/>
              <w:jc w:val="center"/>
              <w:rPr>
                <w:rFonts w:ascii="宋体" w:hAnsi="宋体" w:cs="宋体"/>
                <w:bCs/>
                <w:color w:val="000000"/>
                <w:kern w:val="0"/>
                <w:sz w:val="18"/>
                <w:szCs w:val="18"/>
              </w:rPr>
            </w:pPr>
          </w:p>
        </w:tc>
      </w:tr>
      <w:tr w14:paraId="78CE5D3F">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39" w:hRule="atLeast"/>
        </w:trPr>
        <w:tc>
          <w:tcPr>
            <w:tcW w:w="184" w:type="pct"/>
            <w:shd w:val="clear" w:color="auto" w:fill="auto"/>
            <w:noWrap/>
            <w:vAlign w:val="center"/>
          </w:tcPr>
          <w:p w14:paraId="14E881C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A情景</w:t>
            </w:r>
          </w:p>
        </w:tc>
        <w:tc>
          <w:tcPr>
            <w:tcW w:w="157" w:type="pct"/>
            <w:shd w:val="clear" w:color="auto" w:fill="auto"/>
            <w:vAlign w:val="center"/>
          </w:tcPr>
          <w:p w14:paraId="35C6985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完备</w:t>
            </w:r>
          </w:p>
        </w:tc>
        <w:tc>
          <w:tcPr>
            <w:tcW w:w="229" w:type="pct"/>
            <w:shd w:val="clear" w:color="auto" w:fill="auto"/>
            <w:vAlign w:val="center"/>
          </w:tcPr>
          <w:p w14:paraId="333CDAD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碳排放=人公里排放因子*出行里程</w:t>
            </w:r>
          </w:p>
        </w:tc>
        <w:tc>
          <w:tcPr>
            <w:tcW w:w="125" w:type="pct"/>
            <w:shd w:val="clear" w:color="auto" w:fill="auto"/>
            <w:noWrap/>
            <w:vAlign w:val="center"/>
          </w:tcPr>
          <w:p w14:paraId="647987C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79" w:type="pct"/>
            <w:shd w:val="clear" w:color="auto" w:fill="auto"/>
            <w:noWrap/>
            <w:vAlign w:val="center"/>
          </w:tcPr>
          <w:p w14:paraId="4C3463D0">
            <w:pPr>
              <w:widowControl/>
              <w:adjustRightInd/>
              <w:spacing w:line="240" w:lineRule="auto"/>
              <w:jc w:val="center"/>
              <w:rPr>
                <w:rFonts w:ascii="宋体" w:hAnsi="宋体" w:cs="宋体"/>
                <w:color w:val="000000"/>
                <w:kern w:val="0"/>
                <w:sz w:val="18"/>
                <w:szCs w:val="18"/>
              </w:rPr>
            </w:pPr>
          </w:p>
        </w:tc>
        <w:tc>
          <w:tcPr>
            <w:tcW w:w="132" w:type="pct"/>
            <w:shd w:val="clear" w:color="auto" w:fill="auto"/>
            <w:noWrap/>
            <w:vAlign w:val="center"/>
          </w:tcPr>
          <w:p w14:paraId="3C54AA05">
            <w:pPr>
              <w:widowControl/>
              <w:adjustRightInd/>
              <w:spacing w:line="240" w:lineRule="auto"/>
              <w:jc w:val="center"/>
              <w:rPr>
                <w:rFonts w:ascii="宋体" w:hAnsi="宋体" w:cs="宋体"/>
                <w:color w:val="000000"/>
                <w:kern w:val="0"/>
                <w:sz w:val="18"/>
                <w:szCs w:val="18"/>
              </w:rPr>
            </w:pPr>
          </w:p>
        </w:tc>
        <w:tc>
          <w:tcPr>
            <w:tcW w:w="320" w:type="pct"/>
            <w:shd w:val="clear" w:color="auto" w:fill="auto"/>
            <w:noWrap/>
            <w:vAlign w:val="center"/>
          </w:tcPr>
          <w:p w14:paraId="62AC892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4" w:type="pct"/>
            <w:shd w:val="clear" w:color="auto" w:fill="auto"/>
            <w:vAlign w:val="center"/>
          </w:tcPr>
          <w:p w14:paraId="23789A1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9" w:type="pct"/>
            <w:shd w:val="clear" w:color="auto" w:fill="auto"/>
            <w:vAlign w:val="center"/>
          </w:tcPr>
          <w:p w14:paraId="05A904BB">
            <w:pPr>
              <w:widowControl/>
              <w:adjustRightInd/>
              <w:spacing w:line="240" w:lineRule="auto"/>
              <w:jc w:val="center"/>
              <w:rPr>
                <w:rFonts w:ascii="宋体" w:hAnsi="宋体" w:cs="宋体"/>
                <w:color w:val="000000"/>
                <w:kern w:val="0"/>
                <w:sz w:val="18"/>
                <w:szCs w:val="18"/>
                <w:highlight w:val="yellow"/>
              </w:rPr>
            </w:pPr>
            <w:r>
              <w:rPr>
                <w:rFonts w:hint="eastAsia" w:ascii="宋体" w:hAnsi="宋体" w:cs="宋体"/>
                <w:color w:val="000000"/>
                <w:kern w:val="0"/>
                <w:sz w:val="18"/>
                <w:szCs w:val="18"/>
              </w:rPr>
              <w:t>√</w:t>
            </w:r>
          </w:p>
        </w:tc>
        <w:tc>
          <w:tcPr>
            <w:tcW w:w="256" w:type="pct"/>
            <w:shd w:val="clear" w:color="auto" w:fill="auto"/>
            <w:vAlign w:val="center"/>
          </w:tcPr>
          <w:p w14:paraId="0B9C7DC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72" w:type="pct"/>
            <w:shd w:val="clear" w:color="auto" w:fill="auto"/>
            <w:noWrap/>
            <w:vAlign w:val="center"/>
          </w:tcPr>
          <w:p w14:paraId="049E1F7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4" w:type="pct"/>
            <w:shd w:val="clear" w:color="auto" w:fill="auto"/>
            <w:vAlign w:val="center"/>
          </w:tcPr>
          <w:p w14:paraId="3A3840D8">
            <w:pPr>
              <w:widowControl/>
              <w:adjustRightInd/>
              <w:spacing w:line="240" w:lineRule="auto"/>
              <w:jc w:val="center"/>
              <w:rPr>
                <w:rFonts w:ascii="宋体" w:hAnsi="宋体" w:cs="宋体"/>
                <w:color w:val="000000"/>
                <w:kern w:val="0"/>
                <w:sz w:val="18"/>
                <w:szCs w:val="18"/>
              </w:rPr>
            </w:pPr>
          </w:p>
        </w:tc>
        <w:tc>
          <w:tcPr>
            <w:tcW w:w="267" w:type="pct"/>
            <w:shd w:val="clear" w:color="auto" w:fill="auto"/>
            <w:noWrap/>
            <w:vAlign w:val="center"/>
          </w:tcPr>
          <w:p w14:paraId="2586E4B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7" w:type="pct"/>
            <w:shd w:val="clear" w:color="auto" w:fill="auto"/>
            <w:noWrap/>
            <w:vAlign w:val="center"/>
          </w:tcPr>
          <w:p w14:paraId="06F5032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81" w:type="pct"/>
            <w:shd w:val="clear" w:color="auto" w:fill="auto"/>
            <w:noWrap/>
            <w:vAlign w:val="center"/>
          </w:tcPr>
          <w:p w14:paraId="22BE0EC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6" w:type="pct"/>
            <w:shd w:val="clear" w:color="auto" w:fill="auto"/>
            <w:noWrap/>
            <w:vAlign w:val="center"/>
          </w:tcPr>
          <w:p w14:paraId="7A6128C5">
            <w:pPr>
              <w:widowControl/>
              <w:adjustRightInd/>
              <w:spacing w:line="240" w:lineRule="auto"/>
              <w:jc w:val="center"/>
              <w:rPr>
                <w:rFonts w:ascii="宋体" w:hAnsi="宋体" w:cs="宋体"/>
                <w:color w:val="000000"/>
                <w:kern w:val="0"/>
                <w:sz w:val="18"/>
                <w:szCs w:val="18"/>
              </w:rPr>
            </w:pPr>
          </w:p>
        </w:tc>
        <w:tc>
          <w:tcPr>
            <w:tcW w:w="267" w:type="pct"/>
            <w:shd w:val="clear" w:color="auto" w:fill="auto"/>
            <w:noWrap/>
            <w:vAlign w:val="center"/>
          </w:tcPr>
          <w:p w14:paraId="4D80287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89" w:type="pct"/>
            <w:shd w:val="clear" w:color="auto" w:fill="auto"/>
            <w:vAlign w:val="center"/>
          </w:tcPr>
          <w:p w14:paraId="26A83898">
            <w:pPr>
              <w:widowControl/>
              <w:adjustRightInd/>
              <w:spacing w:line="240" w:lineRule="auto"/>
              <w:jc w:val="center"/>
              <w:rPr>
                <w:rFonts w:ascii="宋体" w:hAnsi="宋体" w:cs="宋体"/>
                <w:color w:val="000000"/>
                <w:kern w:val="0"/>
                <w:sz w:val="18"/>
                <w:szCs w:val="18"/>
              </w:rPr>
            </w:pPr>
          </w:p>
        </w:tc>
        <w:tc>
          <w:tcPr>
            <w:tcW w:w="233" w:type="pct"/>
            <w:shd w:val="clear" w:color="auto" w:fill="auto"/>
            <w:noWrap/>
            <w:vAlign w:val="center"/>
          </w:tcPr>
          <w:p w14:paraId="6893A19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80" w:type="pct"/>
            <w:shd w:val="clear" w:color="auto" w:fill="auto"/>
            <w:noWrap/>
            <w:vAlign w:val="center"/>
          </w:tcPr>
          <w:p w14:paraId="438BA406">
            <w:pPr>
              <w:widowControl/>
              <w:adjustRightInd/>
              <w:spacing w:line="240" w:lineRule="auto"/>
              <w:jc w:val="center"/>
              <w:rPr>
                <w:rFonts w:ascii="宋体" w:hAnsi="宋体" w:cs="宋体"/>
                <w:color w:val="000000"/>
                <w:kern w:val="0"/>
                <w:sz w:val="18"/>
                <w:szCs w:val="18"/>
              </w:rPr>
            </w:pPr>
          </w:p>
        </w:tc>
      </w:tr>
      <w:tr w14:paraId="4A6BBA9E">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60" w:hRule="atLeast"/>
        </w:trPr>
        <w:tc>
          <w:tcPr>
            <w:tcW w:w="184" w:type="pct"/>
            <w:shd w:val="clear" w:color="auto" w:fill="auto"/>
            <w:noWrap/>
            <w:vAlign w:val="center"/>
          </w:tcPr>
          <w:p w14:paraId="7C1FDCDD">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B情景</w:t>
            </w:r>
          </w:p>
        </w:tc>
        <w:tc>
          <w:tcPr>
            <w:tcW w:w="157" w:type="pct"/>
            <w:shd w:val="clear" w:color="auto" w:fill="auto"/>
            <w:vAlign w:val="center"/>
          </w:tcPr>
          <w:p w14:paraId="489B2988">
            <w:pPr>
              <w:widowControl/>
              <w:adjustRightInd/>
              <w:spacing w:line="240" w:lineRule="auto"/>
              <w:jc w:val="center"/>
              <w:rPr>
                <w:rFonts w:ascii="宋体" w:hAnsi="宋体"/>
                <w:sz w:val="18"/>
                <w:szCs w:val="18"/>
              </w:rPr>
            </w:pPr>
            <w:r>
              <w:rPr>
                <w:rFonts w:hint="eastAsia" w:ascii="宋体" w:hAnsi="宋体"/>
                <w:sz w:val="18"/>
                <w:szCs w:val="18"/>
              </w:rPr>
              <w:t>较完备</w:t>
            </w:r>
          </w:p>
        </w:tc>
        <w:tc>
          <w:tcPr>
            <w:tcW w:w="229" w:type="pct"/>
            <w:shd w:val="clear" w:color="auto" w:fill="auto"/>
            <w:vAlign w:val="center"/>
          </w:tcPr>
          <w:p w14:paraId="009BA137">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碳排放=人公里排放因子*出行里程</w:t>
            </w:r>
          </w:p>
        </w:tc>
        <w:tc>
          <w:tcPr>
            <w:tcW w:w="125" w:type="pct"/>
            <w:shd w:val="clear" w:color="auto" w:fill="auto"/>
            <w:noWrap/>
            <w:vAlign w:val="center"/>
          </w:tcPr>
          <w:p w14:paraId="17F61DAB">
            <w:pPr>
              <w:widowControl/>
              <w:adjustRightInd/>
              <w:spacing w:line="240" w:lineRule="auto"/>
              <w:jc w:val="center"/>
              <w:rPr>
                <w:rFonts w:ascii="宋体" w:hAnsi="宋体" w:cs="宋体"/>
                <w:color w:val="000000"/>
                <w:kern w:val="0"/>
                <w:sz w:val="18"/>
                <w:szCs w:val="18"/>
              </w:rPr>
            </w:pPr>
          </w:p>
        </w:tc>
        <w:tc>
          <w:tcPr>
            <w:tcW w:w="279" w:type="pct"/>
            <w:shd w:val="clear" w:color="auto" w:fill="auto"/>
            <w:noWrap/>
            <w:vAlign w:val="center"/>
          </w:tcPr>
          <w:p w14:paraId="112C8536">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132" w:type="pct"/>
            <w:shd w:val="clear" w:color="auto" w:fill="auto"/>
            <w:noWrap/>
            <w:vAlign w:val="center"/>
          </w:tcPr>
          <w:p w14:paraId="7008C9E1">
            <w:pPr>
              <w:widowControl/>
              <w:adjustRightInd/>
              <w:spacing w:line="240" w:lineRule="auto"/>
              <w:jc w:val="center"/>
              <w:rPr>
                <w:rFonts w:ascii="宋体" w:hAnsi="宋体" w:cs="宋体"/>
                <w:color w:val="000000"/>
                <w:kern w:val="0"/>
                <w:sz w:val="18"/>
                <w:szCs w:val="18"/>
              </w:rPr>
            </w:pPr>
          </w:p>
        </w:tc>
        <w:tc>
          <w:tcPr>
            <w:tcW w:w="320" w:type="pct"/>
            <w:shd w:val="clear" w:color="auto" w:fill="auto"/>
            <w:noWrap/>
            <w:vAlign w:val="center"/>
          </w:tcPr>
          <w:p w14:paraId="4375215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有特定时段的运行速度</w:t>
            </w:r>
          </w:p>
        </w:tc>
        <w:tc>
          <w:tcPr>
            <w:tcW w:w="244" w:type="pct"/>
            <w:shd w:val="clear" w:color="auto" w:fill="auto"/>
            <w:vAlign w:val="center"/>
          </w:tcPr>
          <w:p w14:paraId="2BF93829">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49" w:type="pct"/>
            <w:shd w:val="clear" w:color="auto" w:fill="auto"/>
            <w:vAlign w:val="center"/>
          </w:tcPr>
          <w:p w14:paraId="2D727DA5">
            <w:pPr>
              <w:widowControl/>
              <w:adjustRightInd/>
              <w:spacing w:line="240" w:lineRule="auto"/>
              <w:jc w:val="center"/>
              <w:rPr>
                <w:rFonts w:ascii="宋体" w:hAnsi="宋体" w:cs="宋体"/>
                <w:color w:val="000000"/>
                <w:kern w:val="0"/>
                <w:sz w:val="18"/>
                <w:szCs w:val="18"/>
                <w:highlight w:val="yellow"/>
              </w:rPr>
            </w:pPr>
          </w:p>
        </w:tc>
        <w:tc>
          <w:tcPr>
            <w:tcW w:w="256" w:type="pct"/>
            <w:shd w:val="clear" w:color="auto" w:fill="auto"/>
            <w:vAlign w:val="center"/>
          </w:tcPr>
          <w:p w14:paraId="6A04043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72" w:type="pct"/>
            <w:shd w:val="clear" w:color="auto" w:fill="auto"/>
            <w:noWrap/>
            <w:vAlign w:val="center"/>
          </w:tcPr>
          <w:p w14:paraId="559378C5">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54" w:type="pct"/>
            <w:shd w:val="clear" w:color="auto" w:fill="auto"/>
            <w:vAlign w:val="center"/>
          </w:tcPr>
          <w:p w14:paraId="3EBCD459">
            <w:pPr>
              <w:widowControl/>
              <w:adjustRightInd/>
              <w:spacing w:line="240" w:lineRule="auto"/>
              <w:jc w:val="center"/>
              <w:rPr>
                <w:rFonts w:ascii="宋体" w:hAnsi="宋体" w:cs="宋体"/>
                <w:color w:val="000000"/>
                <w:kern w:val="0"/>
                <w:sz w:val="18"/>
                <w:szCs w:val="18"/>
              </w:rPr>
            </w:pPr>
          </w:p>
        </w:tc>
        <w:tc>
          <w:tcPr>
            <w:tcW w:w="267" w:type="pct"/>
            <w:shd w:val="clear" w:color="auto" w:fill="auto"/>
            <w:noWrap/>
            <w:vAlign w:val="center"/>
          </w:tcPr>
          <w:p w14:paraId="0688AAE1">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67" w:type="pct"/>
            <w:shd w:val="clear" w:color="auto" w:fill="auto"/>
            <w:noWrap/>
            <w:vAlign w:val="center"/>
          </w:tcPr>
          <w:p w14:paraId="0CE4EE4B">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381" w:type="pct"/>
            <w:shd w:val="clear" w:color="auto" w:fill="auto"/>
            <w:noWrap/>
            <w:vAlign w:val="center"/>
          </w:tcPr>
          <w:p w14:paraId="09D90FB5">
            <w:pPr>
              <w:widowControl/>
              <w:adjustRightInd/>
              <w:spacing w:line="240" w:lineRule="auto"/>
              <w:jc w:val="center"/>
              <w:rPr>
                <w:rFonts w:ascii="宋体" w:hAnsi="宋体" w:cs="宋体"/>
                <w:color w:val="000000"/>
                <w:kern w:val="0"/>
                <w:sz w:val="18"/>
                <w:szCs w:val="18"/>
              </w:rPr>
            </w:pPr>
          </w:p>
        </w:tc>
        <w:tc>
          <w:tcPr>
            <w:tcW w:w="306" w:type="pct"/>
            <w:shd w:val="clear" w:color="auto" w:fill="auto"/>
            <w:noWrap/>
            <w:vAlign w:val="center"/>
          </w:tcPr>
          <w:p w14:paraId="7A4E11D1">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67" w:type="pct"/>
            <w:shd w:val="clear" w:color="auto" w:fill="auto"/>
            <w:noWrap/>
            <w:vAlign w:val="center"/>
          </w:tcPr>
          <w:p w14:paraId="15D0394E">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89" w:type="pct"/>
            <w:shd w:val="clear" w:color="auto" w:fill="auto"/>
            <w:vAlign w:val="center"/>
          </w:tcPr>
          <w:p w14:paraId="1686D181">
            <w:pPr>
              <w:widowControl/>
              <w:adjustRightInd/>
              <w:spacing w:line="240" w:lineRule="auto"/>
              <w:jc w:val="center"/>
              <w:rPr>
                <w:rFonts w:ascii="宋体" w:hAnsi="宋体" w:cs="宋体"/>
                <w:color w:val="000000"/>
                <w:kern w:val="0"/>
                <w:sz w:val="18"/>
                <w:szCs w:val="18"/>
              </w:rPr>
            </w:pPr>
          </w:p>
        </w:tc>
        <w:tc>
          <w:tcPr>
            <w:tcW w:w="233" w:type="pct"/>
            <w:shd w:val="clear" w:color="auto" w:fill="auto"/>
            <w:noWrap/>
            <w:vAlign w:val="center"/>
          </w:tcPr>
          <w:p w14:paraId="7579B652">
            <w:pPr>
              <w:widowControl/>
              <w:adjustRightInd/>
              <w:spacing w:line="240" w:lineRule="auto"/>
              <w:jc w:val="center"/>
              <w:rPr>
                <w:rFonts w:ascii="宋体" w:hAnsi="宋体" w:cs="宋体"/>
                <w:color w:val="000000"/>
                <w:kern w:val="0"/>
                <w:sz w:val="18"/>
                <w:szCs w:val="18"/>
              </w:rPr>
            </w:pPr>
          </w:p>
        </w:tc>
        <w:tc>
          <w:tcPr>
            <w:tcW w:w="280" w:type="pct"/>
            <w:shd w:val="clear" w:color="auto" w:fill="auto"/>
            <w:noWrap/>
            <w:vAlign w:val="center"/>
          </w:tcPr>
          <w:p w14:paraId="7BC5F0F3">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r>
      <w:tr w14:paraId="18C97A4C">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39" w:hRule="atLeast"/>
        </w:trPr>
        <w:tc>
          <w:tcPr>
            <w:tcW w:w="184" w:type="pct"/>
            <w:shd w:val="clear" w:color="auto" w:fill="auto"/>
            <w:noWrap/>
            <w:vAlign w:val="center"/>
          </w:tcPr>
          <w:p w14:paraId="6D4BC83A">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C情景</w:t>
            </w:r>
          </w:p>
        </w:tc>
        <w:tc>
          <w:tcPr>
            <w:tcW w:w="157" w:type="pct"/>
            <w:shd w:val="clear" w:color="auto" w:fill="auto"/>
            <w:vAlign w:val="center"/>
          </w:tcPr>
          <w:p w14:paraId="7ACC0A80">
            <w:pPr>
              <w:widowControl/>
              <w:adjustRightInd/>
              <w:spacing w:line="240" w:lineRule="auto"/>
              <w:jc w:val="center"/>
              <w:rPr>
                <w:rFonts w:ascii="宋体" w:hAnsi="宋体"/>
                <w:sz w:val="18"/>
                <w:szCs w:val="18"/>
              </w:rPr>
            </w:pPr>
            <w:r>
              <w:rPr>
                <w:rFonts w:hint="eastAsia" w:ascii="宋体" w:hAnsi="宋体"/>
                <w:sz w:val="18"/>
                <w:szCs w:val="18"/>
              </w:rPr>
              <w:t>一般</w:t>
            </w:r>
          </w:p>
        </w:tc>
        <w:tc>
          <w:tcPr>
            <w:tcW w:w="229" w:type="pct"/>
            <w:shd w:val="clear" w:color="auto" w:fill="auto"/>
            <w:vAlign w:val="center"/>
          </w:tcPr>
          <w:p w14:paraId="61AB97FC">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碳排放=推荐值 *出行里程</w:t>
            </w:r>
          </w:p>
        </w:tc>
        <w:tc>
          <w:tcPr>
            <w:tcW w:w="125" w:type="pct"/>
            <w:shd w:val="clear" w:color="auto" w:fill="auto"/>
            <w:noWrap/>
            <w:vAlign w:val="center"/>
          </w:tcPr>
          <w:p w14:paraId="56C996C2">
            <w:pPr>
              <w:widowControl/>
              <w:adjustRightInd/>
              <w:spacing w:line="240" w:lineRule="auto"/>
              <w:jc w:val="center"/>
              <w:rPr>
                <w:rFonts w:ascii="宋体" w:hAnsi="宋体" w:cs="宋体"/>
                <w:color w:val="000000"/>
                <w:kern w:val="0"/>
                <w:sz w:val="18"/>
                <w:szCs w:val="18"/>
              </w:rPr>
            </w:pPr>
          </w:p>
        </w:tc>
        <w:tc>
          <w:tcPr>
            <w:tcW w:w="279" w:type="pct"/>
            <w:shd w:val="clear" w:color="auto" w:fill="auto"/>
            <w:noWrap/>
            <w:vAlign w:val="center"/>
          </w:tcPr>
          <w:p w14:paraId="555E590E">
            <w:pPr>
              <w:widowControl/>
              <w:adjustRightInd/>
              <w:spacing w:line="240" w:lineRule="auto"/>
              <w:jc w:val="center"/>
              <w:rPr>
                <w:rFonts w:ascii="宋体" w:hAnsi="宋体" w:cs="宋体"/>
                <w:color w:val="000000"/>
                <w:kern w:val="0"/>
                <w:sz w:val="18"/>
                <w:szCs w:val="18"/>
              </w:rPr>
            </w:pPr>
          </w:p>
        </w:tc>
        <w:tc>
          <w:tcPr>
            <w:tcW w:w="132" w:type="pct"/>
            <w:shd w:val="clear" w:color="auto" w:fill="auto"/>
            <w:noWrap/>
            <w:vAlign w:val="center"/>
          </w:tcPr>
          <w:p w14:paraId="4D70B7EB">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320" w:type="pct"/>
            <w:shd w:val="clear" w:color="auto" w:fill="auto"/>
            <w:noWrap/>
            <w:vAlign w:val="center"/>
          </w:tcPr>
          <w:p w14:paraId="567BECBF">
            <w:pPr>
              <w:widowControl/>
              <w:adjustRightInd/>
              <w:spacing w:line="240" w:lineRule="auto"/>
              <w:jc w:val="center"/>
              <w:rPr>
                <w:rFonts w:ascii="宋体" w:hAnsi="宋体" w:cs="宋体"/>
                <w:color w:val="000000"/>
                <w:kern w:val="0"/>
                <w:sz w:val="18"/>
                <w:szCs w:val="18"/>
              </w:rPr>
            </w:pPr>
          </w:p>
        </w:tc>
        <w:tc>
          <w:tcPr>
            <w:tcW w:w="244" w:type="pct"/>
            <w:shd w:val="clear" w:color="auto" w:fill="auto"/>
            <w:vAlign w:val="center"/>
          </w:tcPr>
          <w:p w14:paraId="1862D7F0">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49" w:type="pct"/>
            <w:shd w:val="clear" w:color="auto" w:fill="auto"/>
            <w:vAlign w:val="center"/>
          </w:tcPr>
          <w:p w14:paraId="30343F40">
            <w:pPr>
              <w:widowControl/>
              <w:adjustRightInd/>
              <w:spacing w:line="240" w:lineRule="auto"/>
              <w:jc w:val="center"/>
              <w:rPr>
                <w:rFonts w:ascii="宋体" w:hAnsi="宋体" w:cs="宋体"/>
                <w:color w:val="000000"/>
                <w:kern w:val="0"/>
                <w:sz w:val="18"/>
                <w:szCs w:val="18"/>
              </w:rPr>
            </w:pPr>
          </w:p>
        </w:tc>
        <w:tc>
          <w:tcPr>
            <w:tcW w:w="256" w:type="pct"/>
            <w:shd w:val="clear" w:color="auto" w:fill="auto"/>
            <w:vAlign w:val="center"/>
          </w:tcPr>
          <w:p w14:paraId="015E5B41">
            <w:pPr>
              <w:widowControl/>
              <w:adjustRightInd/>
              <w:spacing w:line="240" w:lineRule="auto"/>
              <w:jc w:val="center"/>
              <w:rPr>
                <w:rFonts w:ascii="宋体" w:hAnsi="宋体" w:cs="宋体"/>
                <w:color w:val="000000"/>
                <w:kern w:val="0"/>
                <w:sz w:val="18"/>
                <w:szCs w:val="18"/>
              </w:rPr>
            </w:pPr>
          </w:p>
        </w:tc>
        <w:tc>
          <w:tcPr>
            <w:tcW w:w="272" w:type="pct"/>
            <w:shd w:val="clear" w:color="auto" w:fill="auto"/>
            <w:noWrap/>
            <w:vAlign w:val="center"/>
          </w:tcPr>
          <w:p w14:paraId="4A171B78">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54" w:type="pct"/>
            <w:shd w:val="clear" w:color="auto" w:fill="auto"/>
            <w:vAlign w:val="center"/>
          </w:tcPr>
          <w:p w14:paraId="66797154">
            <w:pPr>
              <w:widowControl/>
              <w:adjustRightInd/>
              <w:spacing w:line="240" w:lineRule="auto"/>
              <w:jc w:val="center"/>
              <w:rPr>
                <w:rFonts w:ascii="宋体" w:hAnsi="宋体" w:cs="宋体"/>
                <w:color w:val="000000"/>
                <w:kern w:val="0"/>
                <w:sz w:val="18"/>
                <w:szCs w:val="18"/>
              </w:rPr>
            </w:pPr>
          </w:p>
        </w:tc>
        <w:tc>
          <w:tcPr>
            <w:tcW w:w="267" w:type="pct"/>
            <w:shd w:val="clear" w:color="auto" w:fill="auto"/>
            <w:noWrap/>
            <w:vAlign w:val="center"/>
          </w:tcPr>
          <w:p w14:paraId="26A32927">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67" w:type="pct"/>
            <w:shd w:val="clear" w:color="auto" w:fill="auto"/>
            <w:noWrap/>
            <w:vAlign w:val="center"/>
          </w:tcPr>
          <w:p w14:paraId="1C275670">
            <w:pPr>
              <w:widowControl/>
              <w:adjustRightInd/>
              <w:spacing w:line="240" w:lineRule="auto"/>
              <w:jc w:val="center"/>
              <w:rPr>
                <w:rFonts w:ascii="宋体" w:hAnsi="宋体" w:cs="宋体"/>
                <w:color w:val="000000"/>
                <w:kern w:val="0"/>
                <w:sz w:val="18"/>
                <w:szCs w:val="18"/>
              </w:rPr>
            </w:pPr>
          </w:p>
        </w:tc>
        <w:tc>
          <w:tcPr>
            <w:tcW w:w="381" w:type="pct"/>
            <w:shd w:val="clear" w:color="auto" w:fill="auto"/>
            <w:noWrap/>
            <w:vAlign w:val="center"/>
          </w:tcPr>
          <w:p w14:paraId="4D4F591D">
            <w:pPr>
              <w:widowControl/>
              <w:adjustRightInd/>
              <w:spacing w:line="240" w:lineRule="auto"/>
              <w:jc w:val="center"/>
              <w:rPr>
                <w:rFonts w:ascii="宋体" w:hAnsi="宋体" w:cs="宋体"/>
                <w:color w:val="000000"/>
                <w:kern w:val="0"/>
                <w:sz w:val="18"/>
                <w:szCs w:val="18"/>
              </w:rPr>
            </w:pPr>
          </w:p>
        </w:tc>
        <w:tc>
          <w:tcPr>
            <w:tcW w:w="306" w:type="pct"/>
            <w:shd w:val="clear" w:color="auto" w:fill="auto"/>
            <w:noWrap/>
            <w:vAlign w:val="center"/>
          </w:tcPr>
          <w:p w14:paraId="60007B10">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c>
          <w:tcPr>
            <w:tcW w:w="267" w:type="pct"/>
            <w:shd w:val="clear" w:color="auto" w:fill="auto"/>
            <w:noWrap/>
            <w:vAlign w:val="center"/>
          </w:tcPr>
          <w:p w14:paraId="400F567A">
            <w:pPr>
              <w:widowControl/>
              <w:adjustRightInd/>
              <w:spacing w:line="240" w:lineRule="auto"/>
              <w:jc w:val="center"/>
              <w:rPr>
                <w:rFonts w:ascii="宋体" w:hAnsi="宋体" w:cs="宋体"/>
                <w:color w:val="000000"/>
                <w:kern w:val="0"/>
                <w:sz w:val="18"/>
                <w:szCs w:val="18"/>
              </w:rPr>
            </w:pPr>
          </w:p>
        </w:tc>
        <w:tc>
          <w:tcPr>
            <w:tcW w:w="289" w:type="pct"/>
            <w:shd w:val="clear" w:color="auto" w:fill="auto"/>
            <w:vAlign w:val="center"/>
          </w:tcPr>
          <w:p w14:paraId="489299D2">
            <w:pPr>
              <w:widowControl/>
              <w:adjustRightInd/>
              <w:spacing w:line="240" w:lineRule="auto"/>
              <w:jc w:val="center"/>
              <w:rPr>
                <w:rFonts w:ascii="宋体" w:hAnsi="宋体" w:cs="宋体"/>
                <w:color w:val="000000"/>
                <w:kern w:val="0"/>
                <w:sz w:val="18"/>
                <w:szCs w:val="18"/>
              </w:rPr>
            </w:pPr>
          </w:p>
        </w:tc>
        <w:tc>
          <w:tcPr>
            <w:tcW w:w="233" w:type="pct"/>
            <w:shd w:val="clear" w:color="auto" w:fill="auto"/>
            <w:noWrap/>
            <w:vAlign w:val="center"/>
          </w:tcPr>
          <w:p w14:paraId="6A836A0A">
            <w:pPr>
              <w:widowControl/>
              <w:adjustRightInd/>
              <w:spacing w:line="240" w:lineRule="auto"/>
              <w:jc w:val="center"/>
              <w:rPr>
                <w:rFonts w:ascii="宋体" w:hAnsi="宋体" w:cs="宋体"/>
                <w:color w:val="000000"/>
                <w:kern w:val="0"/>
                <w:sz w:val="18"/>
                <w:szCs w:val="18"/>
              </w:rPr>
            </w:pPr>
          </w:p>
        </w:tc>
        <w:tc>
          <w:tcPr>
            <w:tcW w:w="280" w:type="pct"/>
            <w:shd w:val="clear" w:color="auto" w:fill="auto"/>
            <w:noWrap/>
            <w:vAlign w:val="center"/>
          </w:tcPr>
          <w:p w14:paraId="66892D1A">
            <w:pPr>
              <w:widowControl/>
              <w:adjustRightInd/>
              <w:spacing w:line="240" w:lineRule="auto"/>
              <w:jc w:val="center"/>
              <w:rPr>
                <w:rFonts w:ascii="宋体" w:hAnsi="宋体" w:cs="宋体"/>
                <w:color w:val="000000"/>
                <w:kern w:val="0"/>
                <w:sz w:val="18"/>
                <w:szCs w:val="18"/>
              </w:rPr>
            </w:pPr>
            <w:r>
              <w:rPr>
                <w:rFonts w:hint="eastAsia" w:ascii="宋体" w:hAnsi="宋体"/>
                <w:sz w:val="18"/>
                <w:szCs w:val="18"/>
              </w:rPr>
              <w:t>√</w:t>
            </w:r>
          </w:p>
        </w:tc>
      </w:tr>
    </w:tbl>
    <w:p w14:paraId="2A9DAA47">
      <w:pPr>
        <w:pStyle w:val="56"/>
        <w:ind w:firstLine="420"/>
      </w:pPr>
    </w:p>
    <w:p w14:paraId="5AB44264">
      <w:pPr>
        <w:pStyle w:val="56"/>
        <w:ind w:firstLine="420"/>
      </w:pPr>
    </w:p>
    <w:p w14:paraId="7ECD0FBC">
      <w:pPr>
        <w:widowControl/>
        <w:adjustRightInd/>
        <w:spacing w:line="240" w:lineRule="auto"/>
        <w:jc w:val="left"/>
        <w:sectPr>
          <w:headerReference r:id="rId12" w:type="default"/>
          <w:footerReference r:id="rId14" w:type="default"/>
          <w:headerReference r:id="rId13" w:type="even"/>
          <w:footerReference r:id="rId15" w:type="even"/>
          <w:pgSz w:w="16838" w:h="11906" w:orient="landscape"/>
          <w:pgMar w:top="1134" w:right="1871" w:bottom="1134" w:left="1134" w:header="1418" w:footer="1247" w:gutter="284"/>
          <w:cols w:space="425" w:num="1"/>
          <w:formProt w:val="0"/>
          <w:docGrid w:type="lines" w:linePitch="312" w:charSpace="0"/>
        </w:sectPr>
      </w:pPr>
      <w:r>
        <w:br w:type="page"/>
      </w:r>
    </w:p>
    <w:p w14:paraId="0213962C">
      <w:pPr>
        <w:pStyle w:val="198"/>
        <w:rPr>
          <w:vanish w:val="0"/>
        </w:rPr>
      </w:pPr>
    </w:p>
    <w:p w14:paraId="0DD808BD">
      <w:pPr>
        <w:pStyle w:val="199"/>
        <w:rPr>
          <w:vanish w:val="0"/>
        </w:rPr>
      </w:pPr>
    </w:p>
    <w:p w14:paraId="7D04C6CC">
      <w:pPr>
        <w:pStyle w:val="76"/>
        <w:spacing w:after="156"/>
      </w:pPr>
      <w:r>
        <w:br w:type="textWrapping"/>
      </w:r>
      <w:bookmarkStart w:id="98" w:name="_Toc131518027"/>
      <w:r>
        <w:rPr>
          <w:rFonts w:hint="eastAsia"/>
        </w:rPr>
        <w:t>（资料性）</w:t>
      </w:r>
      <w:r>
        <w:br w:type="textWrapping"/>
      </w:r>
      <w:r>
        <w:rPr>
          <w:rFonts w:hint="eastAsia"/>
        </w:rPr>
        <w:t>人公里排放因子推荐值</w:t>
      </w:r>
      <w:bookmarkEnd w:id="98"/>
    </w:p>
    <w:p w14:paraId="7FAE13E3">
      <w:pPr>
        <w:pStyle w:val="56"/>
        <w:ind w:firstLine="420"/>
      </w:pPr>
      <w:r>
        <w:rPr>
          <w:rFonts w:hint="eastAsia"/>
        </w:rPr>
        <w:t>基于各省市交通委员会和交通运输厅2021年公开发布的交通出行、行业能耗等相关数据基础，核算出全国2022年绿色出行碳排放因子推荐值，具体见表B.1。</w:t>
      </w:r>
    </w:p>
    <w:p w14:paraId="718C7045">
      <w:pPr>
        <w:pStyle w:val="77"/>
        <w:spacing w:before="156" w:after="156"/>
      </w:pPr>
      <w:r>
        <w:rPr>
          <w:rFonts w:hint="eastAsia"/>
        </w:rPr>
        <w:t>2022年人公里排放因子因子推荐值</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832"/>
        <w:gridCol w:w="5799"/>
      </w:tblGrid>
      <w:tr w14:paraId="1ADC5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35" w:type="dxa"/>
            <w:gridSpan w:val="2"/>
            <w:shd w:val="clear" w:color="auto" w:fill="auto"/>
          </w:tcPr>
          <w:p w14:paraId="63E8BFD4">
            <w:pPr>
              <w:pStyle w:val="56"/>
              <w:ind w:firstLine="0" w:firstLineChars="0"/>
              <w:jc w:val="center"/>
            </w:pPr>
            <w:r>
              <w:rPr>
                <w:rFonts w:hint="eastAsia"/>
              </w:rPr>
              <w:t>类型</w:t>
            </w:r>
          </w:p>
        </w:tc>
        <w:tc>
          <w:tcPr>
            <w:tcW w:w="5799" w:type="dxa"/>
            <w:shd w:val="clear" w:color="auto" w:fill="auto"/>
          </w:tcPr>
          <w:p w14:paraId="43B94A26">
            <w:pPr>
              <w:pStyle w:val="56"/>
              <w:ind w:firstLine="0" w:firstLineChars="0"/>
              <w:jc w:val="center"/>
            </w:pPr>
            <w:r>
              <w:rPr>
                <w:rFonts w:hint="eastAsia"/>
              </w:rPr>
              <w:t>排放因子（kgC</w:t>
            </w:r>
            <w:r>
              <w:t>O</w:t>
            </w:r>
            <w:r>
              <w:rPr>
                <w:vertAlign w:val="subscript"/>
              </w:rPr>
              <w:t>2</w:t>
            </w:r>
            <w:r>
              <w:t>/PKM</w:t>
            </w:r>
            <w:r>
              <w:rPr>
                <w:rFonts w:hint="eastAsia"/>
              </w:rPr>
              <w:t>）</w:t>
            </w:r>
          </w:p>
        </w:tc>
      </w:tr>
      <w:tr w14:paraId="5B4BF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35" w:type="dxa"/>
            <w:gridSpan w:val="2"/>
            <w:shd w:val="clear" w:color="auto" w:fill="auto"/>
          </w:tcPr>
          <w:p w14:paraId="22C64D3A">
            <w:pPr>
              <w:pStyle w:val="56"/>
              <w:ind w:firstLine="0" w:firstLineChars="0"/>
              <w:jc w:val="center"/>
            </w:pPr>
            <w:r>
              <w:rPr>
                <w:rFonts w:hint="eastAsia"/>
              </w:rPr>
              <w:t>高排放出行（汽油小客车）</w:t>
            </w:r>
          </w:p>
        </w:tc>
        <w:tc>
          <w:tcPr>
            <w:tcW w:w="5799" w:type="dxa"/>
            <w:shd w:val="clear" w:color="auto" w:fill="auto"/>
          </w:tcPr>
          <w:p w14:paraId="54C869FF">
            <w:pPr>
              <w:pStyle w:val="56"/>
              <w:ind w:firstLine="0" w:firstLineChars="0"/>
              <w:jc w:val="center"/>
            </w:pPr>
            <w:r>
              <w:rPr>
                <w:rFonts w:hint="eastAsia"/>
              </w:rPr>
              <w:t>0</w:t>
            </w:r>
            <w:r>
              <w:t>.041</w:t>
            </w:r>
          </w:p>
        </w:tc>
      </w:tr>
      <w:tr w14:paraId="279E2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35" w:type="dxa"/>
            <w:gridSpan w:val="2"/>
            <w:shd w:val="clear" w:color="auto" w:fill="auto"/>
          </w:tcPr>
          <w:p w14:paraId="4109F3D7">
            <w:pPr>
              <w:pStyle w:val="56"/>
              <w:ind w:firstLine="0" w:firstLineChars="0"/>
              <w:jc w:val="center"/>
              <w:rPr>
                <w:rFonts w:hint="eastAsia"/>
              </w:rPr>
            </w:pPr>
            <w:r>
              <w:rPr>
                <w:rFonts w:hint="eastAsia"/>
              </w:rPr>
              <w:t>高排放出行（柴油出租车）</w:t>
            </w:r>
          </w:p>
        </w:tc>
        <w:tc>
          <w:tcPr>
            <w:tcW w:w="5799" w:type="dxa"/>
            <w:shd w:val="clear" w:color="auto" w:fill="auto"/>
          </w:tcPr>
          <w:p w14:paraId="243F806F">
            <w:pPr>
              <w:pStyle w:val="56"/>
              <w:ind w:firstLine="0" w:firstLineChars="0"/>
              <w:jc w:val="center"/>
            </w:pPr>
            <w:r>
              <w:rPr>
                <w:rFonts w:hint="eastAsia"/>
              </w:rPr>
              <w:t>0</w:t>
            </w:r>
            <w:r>
              <w:t>.045</w:t>
            </w:r>
          </w:p>
        </w:tc>
      </w:tr>
      <w:tr w14:paraId="6AAE3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vMerge w:val="restart"/>
            <w:shd w:val="clear" w:color="auto" w:fill="auto"/>
            <w:vAlign w:val="center"/>
          </w:tcPr>
          <w:p w14:paraId="0FCCB9C2">
            <w:pPr>
              <w:pStyle w:val="56"/>
              <w:ind w:firstLine="0" w:firstLineChars="0"/>
              <w:jc w:val="center"/>
            </w:pPr>
            <w:r>
              <w:rPr>
                <w:rFonts w:hint="eastAsia"/>
              </w:rPr>
              <w:t>绿色低碳行为</w:t>
            </w:r>
          </w:p>
        </w:tc>
        <w:tc>
          <w:tcPr>
            <w:tcW w:w="2832" w:type="dxa"/>
            <w:shd w:val="clear" w:color="auto" w:fill="auto"/>
          </w:tcPr>
          <w:p w14:paraId="6383ED22">
            <w:pPr>
              <w:pStyle w:val="56"/>
              <w:ind w:firstLine="0" w:firstLineChars="0"/>
              <w:jc w:val="center"/>
            </w:pPr>
            <w:r>
              <w:rPr>
                <w:rFonts w:hint="eastAsia"/>
              </w:rPr>
              <w:t>柴油公交车</w:t>
            </w:r>
          </w:p>
        </w:tc>
        <w:tc>
          <w:tcPr>
            <w:tcW w:w="5799" w:type="dxa"/>
            <w:shd w:val="clear" w:color="auto" w:fill="auto"/>
          </w:tcPr>
          <w:p w14:paraId="73B2F1BD">
            <w:pPr>
              <w:pStyle w:val="56"/>
              <w:ind w:firstLine="0" w:firstLineChars="0"/>
              <w:jc w:val="center"/>
            </w:pPr>
            <w:r>
              <w:rPr>
                <w:rFonts w:hint="eastAsia"/>
              </w:rPr>
              <w:t>0.015</w:t>
            </w:r>
          </w:p>
        </w:tc>
      </w:tr>
      <w:tr w14:paraId="030EC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vMerge w:val="continue"/>
            <w:shd w:val="clear" w:color="auto" w:fill="auto"/>
          </w:tcPr>
          <w:p w14:paraId="6F88D063">
            <w:pPr>
              <w:pStyle w:val="56"/>
              <w:ind w:firstLine="0" w:firstLineChars="0"/>
              <w:jc w:val="center"/>
            </w:pPr>
          </w:p>
        </w:tc>
        <w:tc>
          <w:tcPr>
            <w:tcW w:w="2832" w:type="dxa"/>
            <w:shd w:val="clear" w:color="auto" w:fill="auto"/>
          </w:tcPr>
          <w:p w14:paraId="401ACC3E">
            <w:pPr>
              <w:pStyle w:val="56"/>
              <w:ind w:firstLine="0" w:firstLineChars="0"/>
              <w:jc w:val="center"/>
            </w:pPr>
            <w:r>
              <w:rPr>
                <w:rFonts w:hint="eastAsia"/>
              </w:rPr>
              <w:t>电动公交车</w:t>
            </w:r>
          </w:p>
        </w:tc>
        <w:tc>
          <w:tcPr>
            <w:tcW w:w="5799" w:type="dxa"/>
            <w:shd w:val="clear" w:color="auto" w:fill="auto"/>
          </w:tcPr>
          <w:p w14:paraId="2CDBBFCC">
            <w:pPr>
              <w:pStyle w:val="56"/>
              <w:ind w:firstLine="0" w:firstLineChars="0"/>
              <w:jc w:val="center"/>
            </w:pPr>
            <w:r>
              <w:rPr>
                <w:rFonts w:hint="eastAsia"/>
              </w:rPr>
              <w:t>0.009</w:t>
            </w:r>
          </w:p>
        </w:tc>
      </w:tr>
      <w:tr w14:paraId="2341D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vMerge w:val="continue"/>
            <w:shd w:val="clear" w:color="auto" w:fill="auto"/>
          </w:tcPr>
          <w:p w14:paraId="5ECC3C19">
            <w:pPr>
              <w:pStyle w:val="56"/>
              <w:ind w:firstLine="0" w:firstLineChars="0"/>
              <w:jc w:val="center"/>
            </w:pPr>
          </w:p>
        </w:tc>
        <w:tc>
          <w:tcPr>
            <w:tcW w:w="2832" w:type="dxa"/>
            <w:shd w:val="clear" w:color="auto" w:fill="auto"/>
          </w:tcPr>
          <w:p w14:paraId="5FB9DE4F">
            <w:pPr>
              <w:pStyle w:val="56"/>
              <w:ind w:firstLine="0" w:firstLineChars="0"/>
              <w:jc w:val="center"/>
            </w:pPr>
            <w:r>
              <w:rPr>
                <w:rFonts w:hint="eastAsia"/>
              </w:rPr>
              <w:t>城市地铁</w:t>
            </w:r>
          </w:p>
        </w:tc>
        <w:tc>
          <w:tcPr>
            <w:tcW w:w="5799" w:type="dxa"/>
            <w:shd w:val="clear" w:color="auto" w:fill="auto"/>
          </w:tcPr>
          <w:p w14:paraId="53F24A86">
            <w:pPr>
              <w:pStyle w:val="56"/>
              <w:ind w:firstLine="0" w:firstLineChars="0"/>
              <w:jc w:val="center"/>
            </w:pPr>
            <w:r>
              <w:rPr>
                <w:rFonts w:hint="eastAsia"/>
              </w:rPr>
              <w:t>0.015</w:t>
            </w:r>
          </w:p>
        </w:tc>
      </w:tr>
      <w:tr w14:paraId="7657C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vMerge w:val="continue"/>
            <w:shd w:val="clear" w:color="auto" w:fill="auto"/>
          </w:tcPr>
          <w:p w14:paraId="36C0125B">
            <w:pPr>
              <w:pStyle w:val="56"/>
              <w:ind w:firstLine="0" w:firstLineChars="0"/>
              <w:jc w:val="center"/>
            </w:pPr>
          </w:p>
        </w:tc>
        <w:tc>
          <w:tcPr>
            <w:tcW w:w="2832" w:type="dxa"/>
            <w:shd w:val="clear" w:color="auto" w:fill="auto"/>
          </w:tcPr>
          <w:p w14:paraId="0A7F44E7">
            <w:pPr>
              <w:pStyle w:val="56"/>
              <w:ind w:firstLine="0" w:firstLineChars="0"/>
              <w:jc w:val="center"/>
            </w:pPr>
            <w:r>
              <w:rPr>
                <w:rFonts w:hint="eastAsia"/>
              </w:rPr>
              <w:t>骑行</w:t>
            </w:r>
          </w:p>
        </w:tc>
        <w:tc>
          <w:tcPr>
            <w:tcW w:w="5799" w:type="dxa"/>
            <w:shd w:val="clear" w:color="auto" w:fill="auto"/>
          </w:tcPr>
          <w:p w14:paraId="6B486B1A">
            <w:pPr>
              <w:pStyle w:val="56"/>
              <w:ind w:firstLine="0" w:firstLineChars="0"/>
              <w:jc w:val="center"/>
              <w:rPr>
                <w:rFonts w:hint="eastAsia"/>
              </w:rPr>
            </w:pPr>
            <w:r>
              <w:rPr>
                <w:rFonts w:hint="eastAsia"/>
              </w:rPr>
              <w:t>0</w:t>
            </w:r>
          </w:p>
        </w:tc>
      </w:tr>
      <w:tr w14:paraId="4B040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3" w:type="dxa"/>
            <w:vMerge w:val="continue"/>
            <w:shd w:val="clear" w:color="auto" w:fill="auto"/>
          </w:tcPr>
          <w:p w14:paraId="7A73196C">
            <w:pPr>
              <w:pStyle w:val="56"/>
              <w:ind w:firstLine="0" w:firstLineChars="0"/>
              <w:jc w:val="center"/>
            </w:pPr>
          </w:p>
        </w:tc>
        <w:tc>
          <w:tcPr>
            <w:tcW w:w="2832" w:type="dxa"/>
            <w:shd w:val="clear" w:color="auto" w:fill="auto"/>
          </w:tcPr>
          <w:p w14:paraId="64D69697">
            <w:pPr>
              <w:pStyle w:val="56"/>
              <w:ind w:firstLine="0" w:firstLineChars="0"/>
              <w:jc w:val="center"/>
            </w:pPr>
            <w:r>
              <w:rPr>
                <w:rFonts w:hint="eastAsia"/>
              </w:rPr>
              <w:t>驾乘新能源小客车</w:t>
            </w:r>
          </w:p>
        </w:tc>
        <w:tc>
          <w:tcPr>
            <w:tcW w:w="5799" w:type="dxa"/>
            <w:shd w:val="clear" w:color="auto" w:fill="auto"/>
          </w:tcPr>
          <w:p w14:paraId="6E86E920">
            <w:pPr>
              <w:pStyle w:val="56"/>
              <w:ind w:firstLine="0" w:firstLineChars="0"/>
              <w:jc w:val="center"/>
            </w:pPr>
            <w:r>
              <w:rPr>
                <w:rFonts w:hint="eastAsia"/>
              </w:rPr>
              <w:t>0.017</w:t>
            </w:r>
          </w:p>
        </w:tc>
      </w:tr>
    </w:tbl>
    <w:p w14:paraId="2B21A536">
      <w:pPr>
        <w:pStyle w:val="56"/>
        <w:ind w:firstLine="420"/>
      </w:pPr>
    </w:p>
    <w:p w14:paraId="22D13883">
      <w:pPr>
        <w:pStyle w:val="56"/>
        <w:ind w:firstLine="420"/>
        <w:sectPr>
          <w:headerReference r:id="rId16" w:type="default"/>
          <w:footerReference r:id="rId18" w:type="default"/>
          <w:headerReference r:id="rId17" w:type="even"/>
          <w:pgSz w:w="11906" w:h="16838"/>
          <w:pgMar w:top="1928" w:right="1134" w:bottom="1134" w:left="1134" w:header="1418" w:footer="1134" w:gutter="284"/>
          <w:cols w:space="425" w:num="1"/>
          <w:formProt w:val="0"/>
          <w:docGrid w:type="lines" w:linePitch="312" w:charSpace="0"/>
        </w:sectPr>
      </w:pPr>
    </w:p>
    <w:p w14:paraId="03EE2750">
      <w:pPr>
        <w:pStyle w:val="198"/>
        <w:rPr>
          <w:vanish w:val="0"/>
        </w:rPr>
      </w:pPr>
    </w:p>
    <w:p w14:paraId="0BC072DD">
      <w:pPr>
        <w:pStyle w:val="199"/>
        <w:rPr>
          <w:vanish w:val="0"/>
        </w:rPr>
      </w:pPr>
    </w:p>
    <w:p w14:paraId="356DCE25">
      <w:pPr>
        <w:pStyle w:val="76"/>
        <w:spacing w:after="156"/>
      </w:pPr>
      <w:r>
        <w:br w:type="textWrapping"/>
      </w:r>
      <w:bookmarkStart w:id="99" w:name="_Toc131518028"/>
      <w:r>
        <w:rPr>
          <w:rFonts w:hint="eastAsia"/>
        </w:rPr>
        <w:t>（资料性）</w:t>
      </w:r>
      <w:r>
        <w:br w:type="textWrapping"/>
      </w:r>
      <w:r>
        <w:rPr>
          <w:rFonts w:hint="eastAsia"/>
        </w:rPr>
        <w:t>参数缺省值</w:t>
      </w:r>
      <w:bookmarkEnd w:id="99"/>
    </w:p>
    <w:p w14:paraId="31964C1B">
      <w:pPr>
        <w:pStyle w:val="56"/>
        <w:ind w:firstLine="420"/>
      </w:pPr>
      <w:r>
        <w:rPr>
          <w:rFonts w:hint="eastAsia"/>
        </w:rPr>
        <w:t>常见化石燃料特性参数推荐值见表C.1。</w:t>
      </w:r>
    </w:p>
    <w:p w14:paraId="63C13535">
      <w:pPr>
        <w:pStyle w:val="77"/>
        <w:spacing w:before="156" w:after="156"/>
      </w:pPr>
      <w:r>
        <w:rPr>
          <w:rFonts w:hint="eastAsia"/>
        </w:rPr>
        <w:t>常见化石燃料特性参数推荐值</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1399"/>
        <w:gridCol w:w="1122"/>
        <w:gridCol w:w="2266"/>
        <w:gridCol w:w="1914"/>
        <w:gridCol w:w="1912"/>
      </w:tblGrid>
      <w:tr w14:paraId="62B96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1" w:type="pct"/>
            <w:gridSpan w:val="2"/>
            <w:tcBorders>
              <w:top w:val="single" w:color="000000" w:sz="8" w:space="0"/>
              <w:left w:val="single" w:color="000000" w:sz="8" w:space="0"/>
              <w:bottom w:val="single" w:color="000000" w:sz="8" w:space="0"/>
            </w:tcBorders>
            <w:vAlign w:val="center"/>
          </w:tcPr>
          <w:p w14:paraId="3327FEAD">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化石燃料类型</w:t>
            </w:r>
          </w:p>
        </w:tc>
        <w:tc>
          <w:tcPr>
            <w:tcW w:w="586" w:type="pct"/>
            <w:tcBorders>
              <w:top w:val="single" w:color="000000" w:sz="8" w:space="0"/>
              <w:bottom w:val="single" w:color="000000" w:sz="8" w:space="0"/>
            </w:tcBorders>
            <w:vAlign w:val="center"/>
          </w:tcPr>
          <w:p w14:paraId="33F11AA3">
            <w:pPr>
              <w:widowControl/>
              <w:tabs>
                <w:tab w:val="center" w:pos="4201"/>
                <w:tab w:val="right" w:leader="dot" w:pos="9298"/>
              </w:tabs>
              <w:autoSpaceDE w:val="0"/>
              <w:autoSpaceDN w:val="0"/>
              <w:jc w:val="center"/>
              <w:rPr>
                <w:rFonts w:ascii="宋体" w:hAnsi="宋体"/>
                <w:kern w:val="0"/>
                <w:sz w:val="20"/>
                <w:szCs w:val="18"/>
              </w:rPr>
            </w:pPr>
            <w:r>
              <w:rPr>
                <w:rFonts w:hint="eastAsia" w:ascii="宋体" w:hAnsi="宋体"/>
                <w:kern w:val="0"/>
                <w:sz w:val="20"/>
                <w:szCs w:val="18"/>
              </w:rPr>
              <w:t>计量单位</w:t>
            </w:r>
          </w:p>
        </w:tc>
        <w:tc>
          <w:tcPr>
            <w:tcW w:w="1184" w:type="pct"/>
            <w:tcBorders>
              <w:top w:val="single" w:color="000000" w:sz="8" w:space="0"/>
              <w:bottom w:val="single" w:color="000000" w:sz="8" w:space="0"/>
            </w:tcBorders>
          </w:tcPr>
          <w:p w14:paraId="541ADA65">
            <w:pPr>
              <w:widowControl/>
              <w:tabs>
                <w:tab w:val="center" w:pos="4201"/>
                <w:tab w:val="right" w:leader="dot" w:pos="9298"/>
              </w:tabs>
              <w:autoSpaceDE w:val="0"/>
              <w:autoSpaceDN w:val="0"/>
              <w:jc w:val="center"/>
              <w:rPr>
                <w:rFonts w:ascii="宋体" w:hAnsi="宋体"/>
                <w:kern w:val="0"/>
                <w:sz w:val="20"/>
                <w:szCs w:val="18"/>
              </w:rPr>
            </w:pPr>
            <w:r>
              <w:rPr>
                <w:rFonts w:hint="eastAsia" w:ascii="宋体" w:hAnsi="宋体"/>
                <w:kern w:val="0"/>
                <w:sz w:val="20"/>
                <w:szCs w:val="18"/>
              </w:rPr>
              <w:t>低位发热量</w:t>
            </w:r>
          </w:p>
          <w:p w14:paraId="64647BFD">
            <w:pPr>
              <w:widowControl/>
              <w:tabs>
                <w:tab w:val="center" w:pos="4201"/>
                <w:tab w:val="right" w:leader="dot" w:pos="9298"/>
              </w:tabs>
              <w:autoSpaceDE w:val="0"/>
              <w:autoSpaceDN w:val="0"/>
              <w:jc w:val="center"/>
              <w:rPr>
                <w:kern w:val="0"/>
                <w:sz w:val="20"/>
                <w:szCs w:val="18"/>
                <w:lang w:val="en-AU"/>
              </w:rPr>
            </w:pPr>
            <w:r>
              <w:rPr>
                <w:kern w:val="0"/>
                <w:sz w:val="20"/>
                <w:szCs w:val="18"/>
              </w:rPr>
              <w:t>（GJ/t</w:t>
            </w:r>
            <w:r>
              <w:rPr>
                <w:rFonts w:hint="eastAsia"/>
                <w:kern w:val="0"/>
                <w:sz w:val="20"/>
                <w:szCs w:val="18"/>
              </w:rPr>
              <w:t>，</w:t>
            </w:r>
            <w:r>
              <w:rPr>
                <w:kern w:val="0"/>
                <w:sz w:val="20"/>
                <w:szCs w:val="18"/>
                <w:lang w:val="en-AU"/>
              </w:rPr>
              <w:t>GJ/10</w:t>
            </w:r>
            <w:r>
              <w:rPr>
                <w:kern w:val="0"/>
                <w:sz w:val="20"/>
                <w:szCs w:val="18"/>
                <w:vertAlign w:val="superscript"/>
                <w:lang w:val="en-AU"/>
              </w:rPr>
              <w:t>4</w:t>
            </w:r>
            <w:r>
              <w:rPr>
                <w:kern w:val="0"/>
                <w:sz w:val="20"/>
                <w:szCs w:val="18"/>
                <w:lang w:val="en-AU"/>
              </w:rPr>
              <w:t>Nm</w:t>
            </w:r>
            <w:r>
              <w:rPr>
                <w:kern w:val="0"/>
                <w:sz w:val="20"/>
                <w:szCs w:val="18"/>
                <w:vertAlign w:val="superscript"/>
                <w:lang w:val="en-AU"/>
              </w:rPr>
              <w:t>3</w:t>
            </w:r>
            <w:r>
              <w:rPr>
                <w:kern w:val="0"/>
                <w:sz w:val="20"/>
                <w:szCs w:val="18"/>
                <w:lang w:val="en-AU"/>
              </w:rPr>
              <w:t>）</w:t>
            </w:r>
          </w:p>
        </w:tc>
        <w:tc>
          <w:tcPr>
            <w:tcW w:w="1000" w:type="pct"/>
            <w:tcBorders>
              <w:top w:val="single" w:color="000000" w:sz="8" w:space="0"/>
              <w:bottom w:val="single" w:color="000000" w:sz="8" w:space="0"/>
            </w:tcBorders>
            <w:vAlign w:val="center"/>
          </w:tcPr>
          <w:p w14:paraId="3A5AC9EE">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单位热值含碳量</w:t>
            </w:r>
          </w:p>
          <w:p w14:paraId="53D87B7F">
            <w:pPr>
              <w:widowControl/>
              <w:tabs>
                <w:tab w:val="center" w:pos="4201"/>
                <w:tab w:val="right" w:leader="dot" w:pos="9298"/>
              </w:tabs>
              <w:autoSpaceDE w:val="0"/>
              <w:autoSpaceDN w:val="0"/>
              <w:jc w:val="center"/>
              <w:rPr>
                <w:kern w:val="0"/>
                <w:szCs w:val="18"/>
                <w:lang w:val="en-AU"/>
              </w:rPr>
            </w:pPr>
            <w:r>
              <w:rPr>
                <w:kern w:val="0"/>
                <w:szCs w:val="18"/>
              </w:rPr>
              <w:t>（t</w:t>
            </w:r>
            <w:r>
              <w:rPr>
                <w:kern w:val="0"/>
                <w:szCs w:val="18"/>
                <w:lang w:val="en-AU"/>
              </w:rPr>
              <w:t>C/GJ）</w:t>
            </w:r>
          </w:p>
        </w:tc>
        <w:tc>
          <w:tcPr>
            <w:tcW w:w="999" w:type="pct"/>
            <w:tcBorders>
              <w:top w:val="single" w:color="000000" w:sz="8" w:space="0"/>
              <w:bottom w:val="single" w:color="000000" w:sz="8" w:space="0"/>
            </w:tcBorders>
          </w:tcPr>
          <w:p w14:paraId="7F8D21E8">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燃料碳氧化率</w:t>
            </w:r>
          </w:p>
          <w:p w14:paraId="432D62BB">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w:t>
            </w:r>
          </w:p>
        </w:tc>
      </w:tr>
      <w:tr w14:paraId="00910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pct"/>
            <w:vMerge w:val="restart"/>
            <w:tcBorders>
              <w:top w:val="single" w:color="000000" w:sz="8" w:space="0"/>
              <w:left w:val="single" w:color="000000" w:sz="8" w:space="0"/>
            </w:tcBorders>
            <w:vAlign w:val="center"/>
          </w:tcPr>
          <w:p w14:paraId="2E238489">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化石燃料</w:t>
            </w:r>
          </w:p>
        </w:tc>
        <w:tc>
          <w:tcPr>
            <w:tcW w:w="731" w:type="pct"/>
            <w:tcBorders>
              <w:top w:val="single" w:color="000000" w:sz="8" w:space="0"/>
              <w:left w:val="single" w:color="000000" w:sz="8" w:space="0"/>
            </w:tcBorders>
            <w:vAlign w:val="center"/>
          </w:tcPr>
          <w:p w14:paraId="2B9A646D">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柴油</w:t>
            </w:r>
          </w:p>
        </w:tc>
        <w:tc>
          <w:tcPr>
            <w:tcW w:w="586" w:type="pct"/>
            <w:tcBorders>
              <w:top w:val="single" w:color="000000" w:sz="8" w:space="0"/>
              <w:bottom w:val="single" w:color="000000" w:sz="8" w:space="0"/>
            </w:tcBorders>
          </w:tcPr>
          <w:p w14:paraId="371B07AD">
            <w:pPr>
              <w:widowControl/>
              <w:tabs>
                <w:tab w:val="center" w:pos="4201"/>
                <w:tab w:val="right" w:leader="dot" w:pos="9298"/>
              </w:tabs>
              <w:autoSpaceDE w:val="0"/>
              <w:autoSpaceDN w:val="0"/>
              <w:jc w:val="center"/>
              <w:rPr>
                <w:rFonts w:ascii="宋体" w:hAnsi="宋体"/>
                <w:kern w:val="0"/>
                <w:sz w:val="20"/>
                <w:szCs w:val="18"/>
                <w:lang w:val="en-AU"/>
              </w:rPr>
            </w:pPr>
            <w:r>
              <w:rPr>
                <w:rFonts w:hint="eastAsia" w:ascii="宋体" w:hAnsi="宋体"/>
                <w:kern w:val="0"/>
                <w:sz w:val="20"/>
                <w:szCs w:val="18"/>
              </w:rPr>
              <w:t>t</w:t>
            </w:r>
          </w:p>
        </w:tc>
        <w:tc>
          <w:tcPr>
            <w:tcW w:w="1184" w:type="pct"/>
            <w:tcBorders>
              <w:top w:val="single" w:color="000000" w:sz="8" w:space="0"/>
              <w:bottom w:val="single" w:color="000000" w:sz="8" w:space="0"/>
            </w:tcBorders>
          </w:tcPr>
          <w:p w14:paraId="6C8F8B42">
            <w:pPr>
              <w:widowControl/>
              <w:tabs>
                <w:tab w:val="center" w:pos="4201"/>
                <w:tab w:val="right" w:leader="dot" w:pos="9298"/>
              </w:tabs>
              <w:autoSpaceDE w:val="0"/>
              <w:autoSpaceDN w:val="0"/>
              <w:jc w:val="center"/>
              <w:rPr>
                <w:rFonts w:ascii="宋体" w:hAnsi="宋体"/>
                <w:sz w:val="20"/>
                <w:szCs w:val="18"/>
                <w:lang w:val="en-AU"/>
              </w:rPr>
            </w:pPr>
            <w:r>
              <w:rPr>
                <w:rFonts w:ascii="宋体" w:hAnsi="宋体"/>
                <w:kern w:val="0"/>
                <w:sz w:val="20"/>
                <w:szCs w:val="18"/>
              </w:rPr>
              <w:t>43.330</w:t>
            </w:r>
          </w:p>
        </w:tc>
        <w:tc>
          <w:tcPr>
            <w:tcW w:w="1000" w:type="pct"/>
            <w:tcBorders>
              <w:top w:val="single" w:color="000000" w:sz="8" w:space="0"/>
              <w:bottom w:val="single" w:color="000000" w:sz="8" w:space="0"/>
            </w:tcBorders>
            <w:vAlign w:val="center"/>
          </w:tcPr>
          <w:p w14:paraId="2EEBA5E6">
            <w:pPr>
              <w:widowControl/>
              <w:tabs>
                <w:tab w:val="center" w:pos="4201"/>
                <w:tab w:val="right" w:leader="dot" w:pos="9298"/>
              </w:tabs>
              <w:autoSpaceDE w:val="0"/>
              <w:autoSpaceDN w:val="0"/>
              <w:jc w:val="center"/>
              <w:rPr>
                <w:rFonts w:ascii="宋体" w:hAnsi="宋体"/>
                <w:kern w:val="0"/>
                <w:szCs w:val="18"/>
              </w:rPr>
            </w:pPr>
            <w:r>
              <w:rPr>
                <w:rFonts w:ascii="宋体" w:hAnsi="宋体"/>
                <w:kern w:val="0"/>
                <w:szCs w:val="18"/>
              </w:rPr>
              <w:t>20.20</w:t>
            </w:r>
            <m:oMath>
              <m:r>
                <m:rPr/>
                <w:rPr>
                  <w:rFonts w:ascii="Cambria Math" w:hAnsi="Cambria Math"/>
                  <w:kern w:val="0"/>
                  <w:szCs w:val="18"/>
                </w:rPr>
                <m:t>×</m:t>
              </m:r>
            </m:oMath>
            <w:r>
              <w:rPr>
                <w:rFonts w:asciiTheme="minorEastAsia" w:hAnsiTheme="minorEastAsia" w:eastAsiaTheme="minorEastAsia"/>
              </w:rPr>
              <w:t>10</w:t>
            </w:r>
            <w:r>
              <w:rPr>
                <w:rFonts w:asciiTheme="minorEastAsia" w:hAnsiTheme="minorEastAsia" w:eastAsiaTheme="minorEastAsia"/>
                <w:vertAlign w:val="superscript"/>
              </w:rPr>
              <w:t>-3</w:t>
            </w:r>
          </w:p>
        </w:tc>
        <w:tc>
          <w:tcPr>
            <w:tcW w:w="999" w:type="pct"/>
            <w:tcBorders>
              <w:top w:val="single" w:color="000000" w:sz="8" w:space="0"/>
              <w:bottom w:val="single" w:color="000000" w:sz="8" w:space="0"/>
            </w:tcBorders>
          </w:tcPr>
          <w:p w14:paraId="1DDF2D15">
            <w:pPr>
              <w:widowControl/>
              <w:tabs>
                <w:tab w:val="center" w:pos="4201"/>
                <w:tab w:val="right" w:leader="dot" w:pos="9298"/>
              </w:tabs>
              <w:autoSpaceDE w:val="0"/>
              <w:autoSpaceDN w:val="0"/>
              <w:jc w:val="center"/>
              <w:rPr>
                <w:rFonts w:ascii="宋体"/>
                <w:kern w:val="0"/>
                <w:szCs w:val="18"/>
              </w:rPr>
            </w:pPr>
            <w:r>
              <w:rPr>
                <w:rFonts w:ascii="宋体"/>
                <w:kern w:val="0"/>
                <w:szCs w:val="18"/>
              </w:rPr>
              <w:t>98%</w:t>
            </w:r>
          </w:p>
        </w:tc>
      </w:tr>
      <w:tr w14:paraId="3707D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pct"/>
            <w:vMerge w:val="continue"/>
            <w:tcBorders>
              <w:left w:val="single" w:color="000000" w:sz="8" w:space="0"/>
            </w:tcBorders>
            <w:vAlign w:val="center"/>
          </w:tcPr>
          <w:p w14:paraId="796BCE84">
            <w:pPr>
              <w:widowControl/>
              <w:tabs>
                <w:tab w:val="center" w:pos="4201"/>
                <w:tab w:val="right" w:leader="dot" w:pos="9298"/>
              </w:tabs>
              <w:autoSpaceDE w:val="0"/>
              <w:autoSpaceDN w:val="0"/>
              <w:jc w:val="center"/>
              <w:rPr>
                <w:rFonts w:ascii="宋体"/>
                <w:kern w:val="0"/>
                <w:szCs w:val="18"/>
              </w:rPr>
            </w:pPr>
          </w:p>
        </w:tc>
        <w:tc>
          <w:tcPr>
            <w:tcW w:w="731" w:type="pct"/>
            <w:tcBorders>
              <w:left w:val="single" w:color="000000" w:sz="8" w:space="0"/>
            </w:tcBorders>
            <w:vAlign w:val="center"/>
          </w:tcPr>
          <w:p w14:paraId="14679ADF">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汽油</w:t>
            </w:r>
          </w:p>
        </w:tc>
        <w:tc>
          <w:tcPr>
            <w:tcW w:w="586" w:type="pct"/>
            <w:tcBorders>
              <w:top w:val="single" w:color="000000" w:sz="8" w:space="0"/>
              <w:bottom w:val="single" w:color="000000" w:sz="8" w:space="0"/>
            </w:tcBorders>
          </w:tcPr>
          <w:p w14:paraId="603C6143">
            <w:pPr>
              <w:widowControl/>
              <w:tabs>
                <w:tab w:val="center" w:pos="4201"/>
                <w:tab w:val="right" w:leader="dot" w:pos="9298"/>
              </w:tabs>
              <w:autoSpaceDE w:val="0"/>
              <w:autoSpaceDN w:val="0"/>
              <w:jc w:val="center"/>
              <w:rPr>
                <w:rFonts w:ascii="宋体" w:hAnsi="宋体"/>
                <w:kern w:val="0"/>
                <w:sz w:val="20"/>
                <w:szCs w:val="18"/>
              </w:rPr>
            </w:pPr>
            <w:r>
              <w:rPr>
                <w:rFonts w:hint="eastAsia" w:ascii="宋体" w:hAnsi="宋体"/>
                <w:kern w:val="0"/>
                <w:sz w:val="20"/>
                <w:szCs w:val="18"/>
              </w:rPr>
              <w:t>t</w:t>
            </w:r>
          </w:p>
        </w:tc>
        <w:tc>
          <w:tcPr>
            <w:tcW w:w="1184" w:type="pct"/>
            <w:tcBorders>
              <w:top w:val="single" w:color="000000" w:sz="8" w:space="0"/>
              <w:bottom w:val="single" w:color="000000" w:sz="8" w:space="0"/>
            </w:tcBorders>
          </w:tcPr>
          <w:p w14:paraId="7ED12179">
            <w:pPr>
              <w:widowControl/>
              <w:tabs>
                <w:tab w:val="center" w:pos="4201"/>
                <w:tab w:val="right" w:leader="dot" w:pos="9298"/>
              </w:tabs>
              <w:autoSpaceDE w:val="0"/>
              <w:autoSpaceDN w:val="0"/>
              <w:jc w:val="center"/>
              <w:rPr>
                <w:rFonts w:ascii="宋体" w:hAnsi="宋体"/>
                <w:kern w:val="0"/>
                <w:sz w:val="20"/>
                <w:szCs w:val="18"/>
              </w:rPr>
            </w:pPr>
            <w:r>
              <w:rPr>
                <w:rFonts w:ascii="宋体" w:hAnsi="宋体"/>
                <w:kern w:val="0"/>
                <w:sz w:val="20"/>
                <w:szCs w:val="18"/>
              </w:rPr>
              <w:t>44.800</w:t>
            </w:r>
          </w:p>
        </w:tc>
        <w:tc>
          <w:tcPr>
            <w:tcW w:w="1000" w:type="pct"/>
            <w:tcBorders>
              <w:top w:val="single" w:color="000000" w:sz="8" w:space="0"/>
              <w:bottom w:val="single" w:color="000000" w:sz="8" w:space="0"/>
            </w:tcBorders>
            <w:vAlign w:val="center"/>
          </w:tcPr>
          <w:p w14:paraId="02862BB9">
            <w:pPr>
              <w:widowControl/>
              <w:tabs>
                <w:tab w:val="center" w:pos="4201"/>
                <w:tab w:val="right" w:leader="dot" w:pos="9298"/>
              </w:tabs>
              <w:autoSpaceDE w:val="0"/>
              <w:autoSpaceDN w:val="0"/>
              <w:jc w:val="center"/>
              <w:rPr>
                <w:rFonts w:ascii="宋体" w:hAnsi="宋体"/>
                <w:kern w:val="0"/>
                <w:szCs w:val="18"/>
              </w:rPr>
            </w:pPr>
            <w:r>
              <w:rPr>
                <w:rFonts w:ascii="宋体" w:hAnsi="宋体"/>
                <w:kern w:val="0"/>
                <w:szCs w:val="18"/>
              </w:rPr>
              <w:t>18.90</w:t>
            </w:r>
            <m:oMath>
              <m:r>
                <m:rPr/>
                <w:rPr>
                  <w:rFonts w:ascii="Cambria Math" w:hAnsi="Cambria Math"/>
                  <w:kern w:val="0"/>
                  <w:szCs w:val="18"/>
                </w:rPr>
                <m:t>×</m:t>
              </m:r>
            </m:oMath>
            <w:r>
              <w:rPr>
                <w:rFonts w:asciiTheme="minorEastAsia" w:hAnsiTheme="minorEastAsia" w:eastAsiaTheme="minorEastAsia"/>
              </w:rPr>
              <w:t>10</w:t>
            </w:r>
            <w:r>
              <w:rPr>
                <w:rFonts w:asciiTheme="minorEastAsia" w:hAnsiTheme="minorEastAsia" w:eastAsiaTheme="minorEastAsia"/>
                <w:vertAlign w:val="superscript"/>
              </w:rPr>
              <w:t>-3</w:t>
            </w:r>
          </w:p>
        </w:tc>
        <w:tc>
          <w:tcPr>
            <w:tcW w:w="999" w:type="pct"/>
            <w:tcBorders>
              <w:top w:val="single" w:color="000000" w:sz="8" w:space="0"/>
              <w:bottom w:val="single" w:color="000000" w:sz="8" w:space="0"/>
            </w:tcBorders>
          </w:tcPr>
          <w:p w14:paraId="55CBEF05">
            <w:pPr>
              <w:widowControl/>
              <w:tabs>
                <w:tab w:val="center" w:pos="4201"/>
                <w:tab w:val="right" w:leader="dot" w:pos="9298"/>
              </w:tabs>
              <w:autoSpaceDE w:val="0"/>
              <w:autoSpaceDN w:val="0"/>
              <w:jc w:val="center"/>
              <w:rPr>
                <w:rFonts w:ascii="宋体"/>
                <w:kern w:val="0"/>
                <w:szCs w:val="18"/>
              </w:rPr>
            </w:pPr>
            <w:r>
              <w:rPr>
                <w:rFonts w:ascii="宋体"/>
                <w:kern w:val="0"/>
                <w:szCs w:val="18"/>
              </w:rPr>
              <w:t>98%</w:t>
            </w:r>
          </w:p>
        </w:tc>
      </w:tr>
      <w:tr w14:paraId="17366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pct"/>
            <w:vMerge w:val="continue"/>
            <w:tcBorders>
              <w:left w:val="single" w:color="000000" w:sz="8" w:space="0"/>
            </w:tcBorders>
            <w:vAlign w:val="center"/>
          </w:tcPr>
          <w:p w14:paraId="6BA688EA">
            <w:pPr>
              <w:widowControl/>
              <w:tabs>
                <w:tab w:val="center" w:pos="4201"/>
                <w:tab w:val="right" w:leader="dot" w:pos="9298"/>
              </w:tabs>
              <w:autoSpaceDE w:val="0"/>
              <w:autoSpaceDN w:val="0"/>
              <w:jc w:val="center"/>
              <w:rPr>
                <w:rFonts w:ascii="宋体"/>
                <w:kern w:val="0"/>
                <w:szCs w:val="18"/>
              </w:rPr>
            </w:pPr>
          </w:p>
        </w:tc>
        <w:tc>
          <w:tcPr>
            <w:tcW w:w="731" w:type="pct"/>
            <w:tcBorders>
              <w:left w:val="single" w:color="000000" w:sz="8" w:space="0"/>
            </w:tcBorders>
            <w:vAlign w:val="center"/>
          </w:tcPr>
          <w:p w14:paraId="07ADEA21">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天然气</w:t>
            </w:r>
          </w:p>
        </w:tc>
        <w:tc>
          <w:tcPr>
            <w:tcW w:w="586" w:type="pct"/>
            <w:tcBorders>
              <w:top w:val="single" w:color="000000" w:sz="8" w:space="0"/>
              <w:bottom w:val="single" w:color="000000" w:sz="8" w:space="0"/>
            </w:tcBorders>
          </w:tcPr>
          <w:p w14:paraId="32E5CD77">
            <w:pPr>
              <w:widowControl/>
              <w:tabs>
                <w:tab w:val="center" w:pos="4201"/>
                <w:tab w:val="right" w:leader="dot" w:pos="9298"/>
              </w:tabs>
              <w:autoSpaceDE w:val="0"/>
              <w:autoSpaceDN w:val="0"/>
              <w:jc w:val="center"/>
              <w:rPr>
                <w:rFonts w:ascii="宋体" w:hAnsi="宋体"/>
                <w:kern w:val="0"/>
                <w:sz w:val="20"/>
                <w:szCs w:val="18"/>
              </w:rPr>
            </w:pPr>
            <m:oMathPara>
              <m:oMath>
                <m:sSup>
                  <m:sSupPr>
                    <m:ctrlPr>
                      <w:rPr>
                        <w:rFonts w:ascii="Cambria Math" w:hAnsi="Cambria Math"/>
                        <w:i/>
                        <w:kern w:val="0"/>
                        <w:sz w:val="20"/>
                        <w:szCs w:val="18"/>
                      </w:rPr>
                    </m:ctrlPr>
                  </m:sSupPr>
                  <m:e>
                    <m:r>
                      <m:rPr/>
                      <w:rPr>
                        <w:rFonts w:hint="eastAsia" w:ascii="Cambria Math" w:hAnsi="Cambria Math"/>
                        <w:kern w:val="0"/>
                        <w:sz w:val="20"/>
                        <w:szCs w:val="18"/>
                      </w:rPr>
                      <m:t>1</m:t>
                    </m:r>
                    <m:r>
                      <m:rPr/>
                      <w:rPr>
                        <w:rFonts w:ascii="Cambria Math" w:hAnsi="Cambria Math"/>
                        <w:kern w:val="0"/>
                        <w:sz w:val="20"/>
                        <w:szCs w:val="18"/>
                      </w:rPr>
                      <m:t>0</m:t>
                    </m:r>
                    <m:ctrlPr>
                      <w:rPr>
                        <w:rFonts w:ascii="Cambria Math" w:hAnsi="Cambria Math"/>
                        <w:i/>
                        <w:kern w:val="0"/>
                        <w:sz w:val="20"/>
                        <w:szCs w:val="18"/>
                      </w:rPr>
                    </m:ctrlPr>
                  </m:e>
                  <m:sup>
                    <m:r>
                      <m:rPr/>
                      <w:rPr>
                        <w:rFonts w:ascii="Cambria Math" w:hAnsi="Cambria Math"/>
                        <w:kern w:val="0"/>
                        <w:sz w:val="20"/>
                        <w:szCs w:val="18"/>
                      </w:rPr>
                      <m:t>4</m:t>
                    </m:r>
                    <m:ctrlPr>
                      <w:rPr>
                        <w:rFonts w:ascii="Cambria Math" w:hAnsi="Cambria Math"/>
                        <w:i/>
                        <w:kern w:val="0"/>
                        <w:sz w:val="20"/>
                        <w:szCs w:val="18"/>
                      </w:rPr>
                    </m:ctrlPr>
                  </m:sup>
                </m:sSup>
                <m:sSup>
                  <m:sSupPr>
                    <m:ctrlPr>
                      <w:rPr>
                        <w:rFonts w:ascii="Cambria Math" w:hAnsi="Cambria Math"/>
                        <w:i/>
                        <w:kern w:val="0"/>
                        <w:sz w:val="20"/>
                        <w:szCs w:val="18"/>
                      </w:rPr>
                    </m:ctrlPr>
                  </m:sSupPr>
                  <m:e>
                    <m:r>
                      <m:rPr/>
                      <w:rPr>
                        <w:rFonts w:ascii="Cambria Math" w:hAnsi="Cambria Math"/>
                        <w:kern w:val="0"/>
                        <w:sz w:val="20"/>
                        <w:szCs w:val="18"/>
                        <w:lang w:val="en-AU"/>
                      </w:rPr>
                      <m:t>N</m:t>
                    </m:r>
                    <m:r>
                      <m:rPr/>
                      <w:rPr>
                        <w:rFonts w:hint="eastAsia" w:ascii="Cambria Math" w:hAnsi="Cambria Math"/>
                        <w:kern w:val="0"/>
                        <w:sz w:val="20"/>
                        <w:szCs w:val="18"/>
                        <w:lang w:val="en-AU"/>
                      </w:rPr>
                      <m:t>m</m:t>
                    </m:r>
                    <m:ctrlPr>
                      <w:rPr>
                        <w:rFonts w:hint="eastAsia" w:ascii="Cambria Math" w:hAnsi="Cambria Math"/>
                        <w:i/>
                        <w:kern w:val="0"/>
                        <w:sz w:val="20"/>
                        <w:szCs w:val="18"/>
                      </w:rPr>
                    </m:ctrlPr>
                  </m:e>
                  <m:sup>
                    <m:r>
                      <m:rPr/>
                      <w:rPr>
                        <w:rFonts w:ascii="Cambria Math" w:hAnsi="Cambria Math"/>
                        <w:kern w:val="0"/>
                        <w:sz w:val="20"/>
                        <w:szCs w:val="18"/>
                      </w:rPr>
                      <m:t>3</m:t>
                    </m:r>
                    <m:ctrlPr>
                      <w:rPr>
                        <w:rFonts w:ascii="Cambria Math" w:hAnsi="Cambria Math"/>
                        <w:i/>
                        <w:kern w:val="0"/>
                        <w:sz w:val="20"/>
                        <w:szCs w:val="18"/>
                      </w:rPr>
                    </m:ctrlPr>
                  </m:sup>
                </m:sSup>
              </m:oMath>
            </m:oMathPara>
          </w:p>
        </w:tc>
        <w:tc>
          <w:tcPr>
            <w:tcW w:w="1184" w:type="pct"/>
            <w:tcBorders>
              <w:top w:val="single" w:color="000000" w:sz="8" w:space="0"/>
              <w:bottom w:val="single" w:color="000000" w:sz="8" w:space="0"/>
            </w:tcBorders>
          </w:tcPr>
          <w:p w14:paraId="7318FA96">
            <w:pPr>
              <w:widowControl/>
              <w:tabs>
                <w:tab w:val="center" w:pos="4201"/>
                <w:tab w:val="right" w:leader="dot" w:pos="9298"/>
              </w:tabs>
              <w:autoSpaceDE w:val="0"/>
              <w:autoSpaceDN w:val="0"/>
              <w:jc w:val="center"/>
              <w:rPr>
                <w:rFonts w:ascii="宋体" w:hAnsi="宋体"/>
                <w:kern w:val="0"/>
                <w:sz w:val="20"/>
                <w:szCs w:val="18"/>
              </w:rPr>
            </w:pPr>
            <w:r>
              <w:rPr>
                <w:rFonts w:ascii="宋体" w:hAnsi="宋体"/>
                <w:kern w:val="0"/>
                <w:sz w:val="20"/>
                <w:szCs w:val="18"/>
              </w:rPr>
              <w:t>389.31</w:t>
            </w:r>
          </w:p>
        </w:tc>
        <w:tc>
          <w:tcPr>
            <w:tcW w:w="1000" w:type="pct"/>
            <w:tcBorders>
              <w:top w:val="single" w:color="000000" w:sz="8" w:space="0"/>
              <w:bottom w:val="single" w:color="000000" w:sz="8" w:space="0"/>
            </w:tcBorders>
            <w:vAlign w:val="center"/>
          </w:tcPr>
          <w:p w14:paraId="0E64A8C2">
            <w:pPr>
              <w:widowControl/>
              <w:tabs>
                <w:tab w:val="center" w:pos="4201"/>
                <w:tab w:val="right" w:leader="dot" w:pos="9298"/>
              </w:tabs>
              <w:autoSpaceDE w:val="0"/>
              <w:autoSpaceDN w:val="0"/>
              <w:jc w:val="center"/>
              <w:rPr>
                <w:rFonts w:ascii="宋体" w:hAnsi="宋体"/>
                <w:kern w:val="0"/>
                <w:szCs w:val="18"/>
              </w:rPr>
            </w:pPr>
            <w:r>
              <w:rPr>
                <w:rFonts w:ascii="宋体" w:hAnsi="宋体"/>
                <w:kern w:val="0"/>
                <w:szCs w:val="18"/>
              </w:rPr>
              <w:t>15.30</w:t>
            </w:r>
            <m:oMath>
              <m:r>
                <m:rPr/>
                <w:rPr>
                  <w:rFonts w:ascii="Cambria Math" w:hAnsi="Cambria Math"/>
                  <w:kern w:val="0"/>
                  <w:szCs w:val="18"/>
                </w:rPr>
                <m:t>×</m:t>
              </m:r>
            </m:oMath>
            <w:r>
              <w:rPr>
                <w:rFonts w:asciiTheme="minorEastAsia" w:hAnsiTheme="minorEastAsia" w:eastAsiaTheme="minorEastAsia"/>
              </w:rPr>
              <w:t>10</w:t>
            </w:r>
            <w:r>
              <w:rPr>
                <w:rFonts w:asciiTheme="minorEastAsia" w:hAnsiTheme="minorEastAsia" w:eastAsiaTheme="minorEastAsia"/>
                <w:vertAlign w:val="superscript"/>
              </w:rPr>
              <w:t>-3</w:t>
            </w:r>
          </w:p>
        </w:tc>
        <w:tc>
          <w:tcPr>
            <w:tcW w:w="999" w:type="pct"/>
            <w:tcBorders>
              <w:top w:val="single" w:color="000000" w:sz="8" w:space="0"/>
              <w:bottom w:val="single" w:color="000000" w:sz="8" w:space="0"/>
            </w:tcBorders>
          </w:tcPr>
          <w:p w14:paraId="59048A54">
            <w:pPr>
              <w:widowControl/>
              <w:tabs>
                <w:tab w:val="center" w:pos="4201"/>
                <w:tab w:val="right" w:leader="dot" w:pos="9298"/>
              </w:tabs>
              <w:autoSpaceDE w:val="0"/>
              <w:autoSpaceDN w:val="0"/>
              <w:jc w:val="center"/>
              <w:rPr>
                <w:rFonts w:ascii="宋体"/>
                <w:kern w:val="0"/>
                <w:szCs w:val="18"/>
              </w:rPr>
            </w:pPr>
            <w:r>
              <w:rPr>
                <w:rFonts w:ascii="宋体"/>
                <w:kern w:val="0"/>
                <w:szCs w:val="18"/>
              </w:rPr>
              <w:t>98%</w:t>
            </w:r>
          </w:p>
        </w:tc>
      </w:tr>
      <w:tr w14:paraId="3119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Borders>
              <w:left w:val="single" w:color="000000" w:sz="8" w:space="0"/>
              <w:bottom w:val="single" w:color="000000" w:sz="8" w:space="0"/>
            </w:tcBorders>
            <w:vAlign w:val="center"/>
          </w:tcPr>
          <w:p w14:paraId="408424C4">
            <w:pPr>
              <w:widowControl/>
              <w:tabs>
                <w:tab w:val="center" w:pos="4201"/>
                <w:tab w:val="right" w:leader="dot" w:pos="9298"/>
              </w:tabs>
              <w:autoSpaceDE w:val="0"/>
              <w:autoSpaceDN w:val="0"/>
              <w:jc w:val="left"/>
              <w:rPr>
                <w:rFonts w:ascii="宋体"/>
                <w:kern w:val="0"/>
                <w:szCs w:val="18"/>
              </w:rPr>
            </w:pPr>
            <w:r>
              <w:rPr>
                <w:rFonts w:hint="eastAsia" w:ascii="宋体"/>
                <w:kern w:val="0"/>
                <w:szCs w:val="18"/>
              </w:rPr>
              <w:t>注1</w:t>
            </w:r>
            <w:r>
              <w:rPr>
                <w:rFonts w:ascii="宋体"/>
                <w:kern w:val="0"/>
                <w:szCs w:val="18"/>
              </w:rPr>
              <w:t>:</w:t>
            </w:r>
            <w:r>
              <w:rPr>
                <w:rFonts w:hint="eastAsia" w:ascii="宋体"/>
                <w:kern w:val="0"/>
                <w:szCs w:val="18"/>
              </w:rPr>
              <w:t>低位热值来源于《中国温室气体清单研究》。</w:t>
            </w:r>
          </w:p>
          <w:p w14:paraId="02EA3AD9">
            <w:pPr>
              <w:widowControl/>
              <w:tabs>
                <w:tab w:val="center" w:pos="4201"/>
                <w:tab w:val="right" w:leader="dot" w:pos="9298"/>
              </w:tabs>
              <w:autoSpaceDE w:val="0"/>
              <w:autoSpaceDN w:val="0"/>
              <w:jc w:val="left"/>
              <w:rPr>
                <w:rFonts w:ascii="宋体"/>
                <w:kern w:val="0"/>
                <w:szCs w:val="18"/>
              </w:rPr>
            </w:pPr>
            <w:r>
              <w:rPr>
                <w:rFonts w:hint="eastAsia" w:ascii="宋体"/>
                <w:kern w:val="0"/>
                <w:szCs w:val="18"/>
              </w:rPr>
              <w:t>注2</w:t>
            </w:r>
            <w:r>
              <w:rPr>
                <w:rFonts w:ascii="宋体"/>
                <w:kern w:val="0"/>
                <w:szCs w:val="18"/>
              </w:rPr>
              <w:t>:</w:t>
            </w:r>
            <w:r>
              <w:rPr>
                <w:rFonts w:hint="eastAsia" w:ascii="宋体"/>
                <w:kern w:val="0"/>
                <w:szCs w:val="18"/>
              </w:rPr>
              <w:t>单位热值含碳量来源于《省级温室气体清单指南（试行）》。</w:t>
            </w:r>
          </w:p>
          <w:p w14:paraId="16966C4A">
            <w:pPr>
              <w:widowControl/>
              <w:tabs>
                <w:tab w:val="center" w:pos="4201"/>
                <w:tab w:val="right" w:leader="dot" w:pos="9298"/>
              </w:tabs>
              <w:autoSpaceDE w:val="0"/>
              <w:autoSpaceDN w:val="0"/>
              <w:jc w:val="left"/>
              <w:rPr>
                <w:rFonts w:ascii="宋体"/>
                <w:kern w:val="0"/>
                <w:szCs w:val="18"/>
              </w:rPr>
            </w:pPr>
            <w:r>
              <w:rPr>
                <w:rFonts w:hint="eastAsia" w:ascii="宋体"/>
                <w:kern w:val="0"/>
                <w:szCs w:val="18"/>
              </w:rPr>
              <w:t>注3</w:t>
            </w:r>
            <w:r>
              <w:rPr>
                <w:rFonts w:ascii="宋体"/>
                <w:kern w:val="0"/>
                <w:szCs w:val="18"/>
              </w:rPr>
              <w:t>:</w:t>
            </w:r>
            <w:r>
              <w:rPr>
                <w:rFonts w:hint="eastAsia" w:ascii="宋体"/>
                <w:kern w:val="0"/>
                <w:szCs w:val="18"/>
              </w:rPr>
              <w:t>燃料碳氧化率来源于《省级温室气体清单指南（试行）》。</w:t>
            </w:r>
          </w:p>
        </w:tc>
      </w:tr>
    </w:tbl>
    <w:p w14:paraId="70532D1B">
      <w:pPr>
        <w:pStyle w:val="77"/>
        <w:spacing w:before="156" w:after="156"/>
      </w:pPr>
      <w:r>
        <w:rPr>
          <w:rFonts w:hint="eastAsia"/>
        </w:rPr>
        <w:t>不同能源类型的碳排放因子推荐值</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8"/>
        <w:gridCol w:w="1912"/>
        <w:gridCol w:w="1914"/>
        <w:gridCol w:w="3836"/>
      </w:tblGrid>
      <w:tr w14:paraId="450E5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pct"/>
            <w:tcBorders>
              <w:top w:val="single" w:color="000000" w:sz="8" w:space="0"/>
              <w:left w:val="single" w:color="000000" w:sz="8" w:space="0"/>
              <w:bottom w:val="single" w:color="000000" w:sz="8" w:space="0"/>
            </w:tcBorders>
          </w:tcPr>
          <w:p w14:paraId="56DAD35A">
            <w:pPr>
              <w:widowControl/>
              <w:tabs>
                <w:tab w:val="center" w:pos="4201"/>
                <w:tab w:val="right" w:leader="dot" w:pos="9298"/>
              </w:tabs>
              <w:autoSpaceDE w:val="0"/>
              <w:autoSpaceDN w:val="0"/>
              <w:jc w:val="center"/>
              <w:rPr>
                <w:rFonts w:ascii="宋体"/>
                <w:kern w:val="0"/>
                <w:szCs w:val="18"/>
              </w:rPr>
            </w:pPr>
            <w:bookmarkStart w:id="100" w:name="_Hlk116479145"/>
            <w:r>
              <w:rPr>
                <w:rFonts w:hint="eastAsia" w:ascii="宋体"/>
                <w:kern w:val="0"/>
                <w:szCs w:val="18"/>
              </w:rPr>
              <w:t>年份</w:t>
            </w:r>
          </w:p>
        </w:tc>
        <w:tc>
          <w:tcPr>
            <w:tcW w:w="999" w:type="pct"/>
            <w:tcBorders>
              <w:top w:val="single" w:color="000000" w:sz="8" w:space="0"/>
              <w:left w:val="single" w:color="000000" w:sz="8" w:space="0"/>
              <w:bottom w:val="single" w:color="000000" w:sz="8" w:space="0"/>
              <w:right w:val="single" w:color="000000" w:sz="8" w:space="0"/>
            </w:tcBorders>
          </w:tcPr>
          <w:p w14:paraId="6D0A87C6">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能源类型</w:t>
            </w:r>
          </w:p>
        </w:tc>
        <w:tc>
          <w:tcPr>
            <w:tcW w:w="1000" w:type="pct"/>
            <w:tcBorders>
              <w:top w:val="single" w:color="000000" w:sz="8" w:space="0"/>
              <w:bottom w:val="single" w:color="000000" w:sz="8" w:space="0"/>
            </w:tcBorders>
            <w:vAlign w:val="center"/>
          </w:tcPr>
          <w:p w14:paraId="3F050483">
            <w:pPr>
              <w:widowControl/>
              <w:tabs>
                <w:tab w:val="center" w:pos="4201"/>
                <w:tab w:val="right" w:leader="dot" w:pos="9298"/>
              </w:tabs>
              <w:autoSpaceDE w:val="0"/>
              <w:autoSpaceDN w:val="0"/>
              <w:jc w:val="center"/>
              <w:rPr>
                <w:rFonts w:ascii="宋体"/>
                <w:kern w:val="0"/>
                <w:szCs w:val="18"/>
              </w:rPr>
            </w:pPr>
            <w:r>
              <w:rPr>
                <w:rFonts w:hint="eastAsia" w:ascii="宋体"/>
                <w:kern w:val="0"/>
                <w:sz w:val="20"/>
                <w:szCs w:val="18"/>
              </w:rPr>
              <w:t>排放因子</w:t>
            </w:r>
            <m:oMath>
              <m:sSub>
                <m:sSubPr>
                  <m:ctrlPr>
                    <w:rPr>
                      <w:rFonts w:ascii="Cambria Math" w:hAnsi="Cambria Math"/>
                      <w:i/>
                      <w:kern w:val="0"/>
                      <w:sz w:val="20"/>
                      <w:szCs w:val="18"/>
                    </w:rPr>
                  </m:ctrlPr>
                </m:sSubPr>
                <m:e>
                  <m:r>
                    <m:rPr/>
                    <w:rPr>
                      <w:rFonts w:ascii="Cambria Math" w:hAnsi="Cambria Math"/>
                      <w:kern w:val="0"/>
                      <w:sz w:val="20"/>
                      <w:szCs w:val="18"/>
                    </w:rPr>
                    <m:t>EF</m:t>
                  </m:r>
                  <m:ctrlPr>
                    <w:rPr>
                      <w:rFonts w:ascii="Cambria Math" w:hAnsi="Cambria Math"/>
                      <w:i/>
                      <w:kern w:val="0"/>
                      <w:sz w:val="20"/>
                      <w:szCs w:val="18"/>
                    </w:rPr>
                  </m:ctrlPr>
                </m:e>
                <m:sub>
                  <m:r>
                    <m:rPr/>
                    <w:rPr>
                      <w:rFonts w:ascii="Cambria Math" w:hAnsi="Cambria Math"/>
                      <w:kern w:val="0"/>
                      <w:sz w:val="20"/>
                      <w:szCs w:val="18"/>
                    </w:rPr>
                    <m:t>CO2</m:t>
                  </m:r>
                  <m:ctrlPr>
                    <w:rPr>
                      <w:rFonts w:ascii="Cambria Math" w:hAnsi="Cambria Math"/>
                      <w:i/>
                      <w:kern w:val="0"/>
                      <w:sz w:val="20"/>
                      <w:szCs w:val="18"/>
                    </w:rPr>
                  </m:ctrlPr>
                </m:sub>
              </m:sSub>
            </m:oMath>
          </w:p>
        </w:tc>
        <w:tc>
          <w:tcPr>
            <w:tcW w:w="2004" w:type="pct"/>
            <w:tcBorders>
              <w:top w:val="single" w:color="000000" w:sz="8" w:space="0"/>
              <w:bottom w:val="single" w:color="000000" w:sz="8" w:space="0"/>
            </w:tcBorders>
          </w:tcPr>
          <w:p w14:paraId="6F58220B">
            <w:pPr>
              <w:widowControl/>
              <w:tabs>
                <w:tab w:val="center" w:pos="4201"/>
                <w:tab w:val="right" w:leader="dot" w:pos="9298"/>
              </w:tabs>
              <w:autoSpaceDE w:val="0"/>
              <w:autoSpaceDN w:val="0"/>
              <w:jc w:val="center"/>
              <w:rPr>
                <w:rFonts w:ascii="黑体" w:hAnsi="黑体" w:eastAsia="黑体"/>
                <w:kern w:val="0"/>
                <w:sz w:val="20"/>
                <w:szCs w:val="18"/>
              </w:rPr>
            </w:pPr>
            <w:r>
              <w:rPr>
                <w:rFonts w:hint="eastAsia" w:ascii="宋体" w:hAnsi="宋体"/>
                <w:kern w:val="0"/>
                <w:sz w:val="20"/>
                <w:szCs w:val="18"/>
              </w:rPr>
              <w:t>计量单位</w:t>
            </w:r>
          </w:p>
        </w:tc>
      </w:tr>
      <w:bookmarkEnd w:id="100"/>
      <w:tr w14:paraId="522F4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pct"/>
            <w:tcBorders>
              <w:top w:val="single" w:color="000000" w:sz="8" w:space="0"/>
              <w:left w:val="single" w:color="000000" w:sz="8" w:space="0"/>
              <w:bottom w:val="single" w:color="000000" w:sz="8" w:space="0"/>
            </w:tcBorders>
          </w:tcPr>
          <w:p w14:paraId="08052338">
            <w:pPr>
              <w:widowControl/>
              <w:tabs>
                <w:tab w:val="center" w:pos="4201"/>
                <w:tab w:val="right" w:leader="dot" w:pos="9298"/>
              </w:tabs>
              <w:autoSpaceDE w:val="0"/>
              <w:autoSpaceDN w:val="0"/>
              <w:jc w:val="center"/>
              <w:rPr>
                <w:rFonts w:ascii="宋体"/>
                <w:kern w:val="0"/>
                <w:szCs w:val="18"/>
              </w:rPr>
            </w:pPr>
            <w:r>
              <w:rPr>
                <w:rFonts w:ascii="宋体"/>
                <w:kern w:val="0"/>
                <w:szCs w:val="18"/>
              </w:rPr>
              <w:t>2022</w:t>
            </w:r>
          </w:p>
        </w:tc>
        <w:tc>
          <w:tcPr>
            <w:tcW w:w="999" w:type="pct"/>
            <w:tcBorders>
              <w:top w:val="single" w:color="000000" w:sz="8" w:space="0"/>
              <w:left w:val="single" w:color="000000" w:sz="8" w:space="0"/>
              <w:bottom w:val="single" w:color="000000" w:sz="8" w:space="0"/>
              <w:right w:val="single" w:color="000000" w:sz="8" w:space="0"/>
            </w:tcBorders>
          </w:tcPr>
          <w:p w14:paraId="35B6E8F6">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汽油</w:t>
            </w:r>
          </w:p>
        </w:tc>
        <w:tc>
          <w:tcPr>
            <w:tcW w:w="1000" w:type="pct"/>
            <w:tcBorders>
              <w:top w:val="single" w:color="000000" w:sz="8" w:space="0"/>
              <w:bottom w:val="single" w:color="000000" w:sz="8" w:space="0"/>
            </w:tcBorders>
            <w:vAlign w:val="center"/>
          </w:tcPr>
          <w:p w14:paraId="1649FC95">
            <w:pPr>
              <w:widowControl/>
              <w:tabs>
                <w:tab w:val="center" w:pos="4201"/>
                <w:tab w:val="right" w:leader="dot" w:pos="9298"/>
              </w:tabs>
              <w:autoSpaceDE w:val="0"/>
              <w:autoSpaceDN w:val="0"/>
              <w:jc w:val="center"/>
              <w:rPr>
                <w:rFonts w:ascii="宋体" w:hAnsi="宋体"/>
                <w:kern w:val="0"/>
                <w:szCs w:val="18"/>
              </w:rPr>
            </w:pPr>
            <w:r>
              <w:rPr>
                <w:rFonts w:ascii="宋体" w:hAnsi="宋体"/>
              </w:rPr>
              <w:t xml:space="preserve">67.857 </w:t>
            </w:r>
          </w:p>
        </w:tc>
        <w:tc>
          <w:tcPr>
            <w:tcW w:w="2004" w:type="pct"/>
            <w:tcBorders>
              <w:top w:val="single" w:color="000000" w:sz="8" w:space="0"/>
              <w:bottom w:val="single" w:color="000000" w:sz="8" w:space="0"/>
            </w:tcBorders>
            <w:vAlign w:val="center"/>
          </w:tcPr>
          <w:p w14:paraId="574D0195">
            <w:pPr>
              <w:widowControl/>
              <w:tabs>
                <w:tab w:val="center" w:pos="4201"/>
                <w:tab w:val="right" w:leader="dot" w:pos="9298"/>
              </w:tabs>
              <w:autoSpaceDE w:val="0"/>
              <w:autoSpaceDN w:val="0"/>
              <w:jc w:val="center"/>
              <w:rPr>
                <w:kern w:val="0"/>
                <w:sz w:val="20"/>
                <w:szCs w:val="18"/>
              </w:rPr>
            </w:pPr>
            <w:r>
              <w:t>tCO</w:t>
            </w:r>
            <w:r>
              <w:rPr>
                <w:vertAlign w:val="subscript"/>
              </w:rPr>
              <w:t>2</w:t>
            </w:r>
            <w:r>
              <w:t>/MJ</w:t>
            </w:r>
          </w:p>
        </w:tc>
      </w:tr>
      <w:tr w14:paraId="7DFCC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pct"/>
            <w:tcBorders>
              <w:top w:val="single" w:color="000000" w:sz="8" w:space="0"/>
              <w:left w:val="single" w:color="000000" w:sz="8" w:space="0"/>
              <w:bottom w:val="single" w:color="000000" w:sz="8" w:space="0"/>
            </w:tcBorders>
          </w:tcPr>
          <w:p w14:paraId="395405E4">
            <w:pPr>
              <w:widowControl/>
              <w:tabs>
                <w:tab w:val="center" w:pos="4201"/>
                <w:tab w:val="right" w:leader="dot" w:pos="9298"/>
              </w:tabs>
              <w:autoSpaceDE w:val="0"/>
              <w:autoSpaceDN w:val="0"/>
              <w:jc w:val="center"/>
              <w:rPr>
                <w:rFonts w:ascii="宋体"/>
                <w:kern w:val="0"/>
                <w:szCs w:val="18"/>
              </w:rPr>
            </w:pPr>
            <w:r>
              <w:rPr>
                <w:rFonts w:ascii="宋体"/>
                <w:kern w:val="0"/>
                <w:szCs w:val="18"/>
              </w:rPr>
              <w:t>2022</w:t>
            </w:r>
          </w:p>
        </w:tc>
        <w:tc>
          <w:tcPr>
            <w:tcW w:w="999" w:type="pct"/>
            <w:tcBorders>
              <w:top w:val="single" w:color="000000" w:sz="8" w:space="0"/>
              <w:left w:val="single" w:color="000000" w:sz="8" w:space="0"/>
              <w:bottom w:val="single" w:color="000000" w:sz="8" w:space="0"/>
              <w:right w:val="single" w:color="000000" w:sz="8" w:space="0"/>
            </w:tcBorders>
          </w:tcPr>
          <w:p w14:paraId="53CB512F">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天然气</w:t>
            </w:r>
          </w:p>
        </w:tc>
        <w:tc>
          <w:tcPr>
            <w:tcW w:w="1000" w:type="pct"/>
            <w:tcBorders>
              <w:top w:val="single" w:color="000000" w:sz="8" w:space="0"/>
              <w:bottom w:val="single" w:color="000000" w:sz="8" w:space="0"/>
            </w:tcBorders>
            <w:vAlign w:val="center"/>
          </w:tcPr>
          <w:p w14:paraId="20EB1F07">
            <w:pPr>
              <w:widowControl/>
              <w:tabs>
                <w:tab w:val="center" w:pos="4201"/>
                <w:tab w:val="right" w:leader="dot" w:pos="9298"/>
              </w:tabs>
              <w:autoSpaceDE w:val="0"/>
              <w:autoSpaceDN w:val="0"/>
              <w:jc w:val="center"/>
              <w:rPr>
                <w:rFonts w:ascii="宋体"/>
                <w:kern w:val="0"/>
                <w:szCs w:val="18"/>
              </w:rPr>
            </w:pPr>
            <w:r>
              <w:rPr>
                <w:rFonts w:ascii="宋体"/>
                <w:kern w:val="0"/>
                <w:szCs w:val="18"/>
              </w:rPr>
              <w:t>0.00565</w:t>
            </w:r>
          </w:p>
        </w:tc>
        <w:tc>
          <w:tcPr>
            <w:tcW w:w="2004" w:type="pct"/>
            <w:tcBorders>
              <w:top w:val="single" w:color="000000" w:sz="8" w:space="0"/>
              <w:bottom w:val="single" w:color="000000" w:sz="8" w:space="0"/>
            </w:tcBorders>
          </w:tcPr>
          <w:p w14:paraId="41871213">
            <w:pPr>
              <w:widowControl/>
              <w:tabs>
                <w:tab w:val="center" w:pos="4201"/>
                <w:tab w:val="right" w:leader="dot" w:pos="9298"/>
              </w:tabs>
              <w:autoSpaceDE w:val="0"/>
              <w:autoSpaceDN w:val="0"/>
              <w:jc w:val="center"/>
              <w:rPr>
                <w:kern w:val="0"/>
                <w:sz w:val="20"/>
                <w:szCs w:val="18"/>
              </w:rPr>
            </w:pPr>
            <w:r>
              <w:t>tCO</w:t>
            </w:r>
            <w:r>
              <w:rPr>
                <w:vertAlign w:val="subscript"/>
              </w:rPr>
              <w:t>2</w:t>
            </w:r>
            <w:r>
              <w:t>/MJ</w:t>
            </w:r>
          </w:p>
        </w:tc>
      </w:tr>
      <w:tr w14:paraId="4CD9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pct"/>
            <w:tcBorders>
              <w:top w:val="single" w:color="000000" w:sz="8" w:space="0"/>
              <w:left w:val="single" w:color="000000" w:sz="8" w:space="0"/>
              <w:bottom w:val="single" w:color="000000" w:sz="8" w:space="0"/>
            </w:tcBorders>
          </w:tcPr>
          <w:p w14:paraId="1DA5F670">
            <w:pPr>
              <w:widowControl/>
              <w:tabs>
                <w:tab w:val="center" w:pos="4201"/>
                <w:tab w:val="right" w:leader="dot" w:pos="9298"/>
              </w:tabs>
              <w:autoSpaceDE w:val="0"/>
              <w:autoSpaceDN w:val="0"/>
              <w:jc w:val="center"/>
              <w:rPr>
                <w:rFonts w:ascii="宋体"/>
                <w:kern w:val="0"/>
                <w:szCs w:val="18"/>
              </w:rPr>
            </w:pPr>
            <w:r>
              <w:rPr>
                <w:rFonts w:ascii="宋体"/>
                <w:kern w:val="0"/>
                <w:szCs w:val="18"/>
              </w:rPr>
              <w:t>2022</w:t>
            </w:r>
          </w:p>
        </w:tc>
        <w:tc>
          <w:tcPr>
            <w:tcW w:w="999" w:type="pct"/>
            <w:tcBorders>
              <w:top w:val="single" w:color="000000" w:sz="8" w:space="0"/>
              <w:left w:val="single" w:color="000000" w:sz="8" w:space="0"/>
              <w:bottom w:val="single" w:color="000000" w:sz="8" w:space="0"/>
              <w:right w:val="single" w:color="000000" w:sz="8" w:space="0"/>
            </w:tcBorders>
          </w:tcPr>
          <w:p w14:paraId="190F7264">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柴油</w:t>
            </w:r>
          </w:p>
        </w:tc>
        <w:tc>
          <w:tcPr>
            <w:tcW w:w="1000" w:type="pct"/>
            <w:tcBorders>
              <w:top w:val="single" w:color="000000" w:sz="8" w:space="0"/>
              <w:bottom w:val="single" w:color="000000" w:sz="8" w:space="0"/>
            </w:tcBorders>
            <w:vAlign w:val="center"/>
          </w:tcPr>
          <w:p w14:paraId="588F385D">
            <w:pPr>
              <w:widowControl/>
              <w:tabs>
                <w:tab w:val="center" w:pos="4201"/>
                <w:tab w:val="right" w:leader="dot" w:pos="9298"/>
              </w:tabs>
              <w:autoSpaceDE w:val="0"/>
              <w:autoSpaceDN w:val="0"/>
              <w:jc w:val="center"/>
              <w:rPr>
                <w:rFonts w:ascii="宋体"/>
                <w:kern w:val="0"/>
                <w:szCs w:val="18"/>
              </w:rPr>
            </w:pPr>
            <w:r>
              <w:rPr>
                <w:rFonts w:ascii="宋体"/>
                <w:kern w:val="0"/>
                <w:szCs w:val="18"/>
              </w:rPr>
              <w:t>72.698</w:t>
            </w:r>
          </w:p>
        </w:tc>
        <w:tc>
          <w:tcPr>
            <w:tcW w:w="2004" w:type="pct"/>
            <w:tcBorders>
              <w:top w:val="single" w:color="000000" w:sz="8" w:space="0"/>
              <w:bottom w:val="single" w:color="000000" w:sz="8" w:space="0"/>
            </w:tcBorders>
          </w:tcPr>
          <w:p w14:paraId="42EC2BA0">
            <w:pPr>
              <w:widowControl/>
              <w:tabs>
                <w:tab w:val="center" w:pos="4201"/>
                <w:tab w:val="right" w:leader="dot" w:pos="9298"/>
              </w:tabs>
              <w:autoSpaceDE w:val="0"/>
              <w:autoSpaceDN w:val="0"/>
              <w:jc w:val="center"/>
              <w:rPr>
                <w:kern w:val="0"/>
                <w:sz w:val="20"/>
                <w:szCs w:val="18"/>
              </w:rPr>
            </w:pPr>
            <w:r>
              <w:t>tCO</w:t>
            </w:r>
            <w:r>
              <w:rPr>
                <w:vertAlign w:val="subscript"/>
              </w:rPr>
              <w:t>2</w:t>
            </w:r>
            <w:r>
              <w:t>/MJ</w:t>
            </w:r>
          </w:p>
        </w:tc>
      </w:tr>
      <w:tr w14:paraId="5EE6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pct"/>
            <w:tcBorders>
              <w:top w:val="single" w:color="000000" w:sz="8" w:space="0"/>
              <w:left w:val="single" w:color="000000" w:sz="8" w:space="0"/>
              <w:bottom w:val="single" w:color="000000" w:sz="8" w:space="0"/>
            </w:tcBorders>
          </w:tcPr>
          <w:p w14:paraId="067E8F70">
            <w:pPr>
              <w:widowControl/>
              <w:tabs>
                <w:tab w:val="center" w:pos="4201"/>
                <w:tab w:val="right" w:leader="dot" w:pos="9298"/>
              </w:tabs>
              <w:autoSpaceDE w:val="0"/>
              <w:autoSpaceDN w:val="0"/>
              <w:jc w:val="center"/>
              <w:rPr>
                <w:rFonts w:ascii="宋体"/>
                <w:kern w:val="0"/>
                <w:szCs w:val="18"/>
              </w:rPr>
            </w:pPr>
            <w:r>
              <w:rPr>
                <w:rFonts w:ascii="宋体"/>
                <w:kern w:val="0"/>
                <w:szCs w:val="18"/>
              </w:rPr>
              <w:t>2022</w:t>
            </w:r>
          </w:p>
        </w:tc>
        <w:tc>
          <w:tcPr>
            <w:tcW w:w="999" w:type="pct"/>
            <w:tcBorders>
              <w:top w:val="single" w:color="000000" w:sz="8" w:space="0"/>
              <w:left w:val="single" w:color="000000" w:sz="8" w:space="0"/>
              <w:bottom w:val="single" w:color="000000" w:sz="8" w:space="0"/>
              <w:right w:val="single" w:color="000000" w:sz="8" w:space="0"/>
            </w:tcBorders>
          </w:tcPr>
          <w:p w14:paraId="56BC6B35">
            <w:pPr>
              <w:widowControl/>
              <w:tabs>
                <w:tab w:val="center" w:pos="4201"/>
                <w:tab w:val="right" w:leader="dot" w:pos="9298"/>
              </w:tabs>
              <w:autoSpaceDE w:val="0"/>
              <w:autoSpaceDN w:val="0"/>
              <w:jc w:val="center"/>
              <w:rPr>
                <w:rFonts w:ascii="宋体"/>
                <w:kern w:val="0"/>
                <w:szCs w:val="18"/>
              </w:rPr>
            </w:pPr>
            <w:r>
              <w:rPr>
                <w:rFonts w:hint="eastAsia" w:ascii="宋体"/>
                <w:kern w:val="0"/>
                <w:szCs w:val="18"/>
              </w:rPr>
              <w:t>电力</w:t>
            </w:r>
          </w:p>
        </w:tc>
        <w:tc>
          <w:tcPr>
            <w:tcW w:w="1000" w:type="pct"/>
            <w:tcBorders>
              <w:top w:val="single" w:color="000000" w:sz="8" w:space="0"/>
              <w:bottom w:val="single" w:color="000000" w:sz="8" w:space="0"/>
            </w:tcBorders>
            <w:vAlign w:val="center"/>
          </w:tcPr>
          <w:p w14:paraId="49ABAF13">
            <w:pPr>
              <w:widowControl/>
              <w:tabs>
                <w:tab w:val="center" w:pos="4201"/>
                <w:tab w:val="right" w:leader="dot" w:pos="9298"/>
              </w:tabs>
              <w:autoSpaceDE w:val="0"/>
              <w:autoSpaceDN w:val="0"/>
              <w:jc w:val="center"/>
              <w:rPr>
                <w:rFonts w:ascii="宋体"/>
                <w:kern w:val="0"/>
                <w:szCs w:val="18"/>
              </w:rPr>
            </w:pPr>
            <w:r>
              <w:rPr>
                <w:rFonts w:ascii="宋体"/>
                <w:kern w:val="0"/>
                <w:szCs w:val="18"/>
              </w:rPr>
              <w:t>0.5810</w:t>
            </w:r>
          </w:p>
        </w:tc>
        <w:tc>
          <w:tcPr>
            <w:tcW w:w="2004" w:type="pct"/>
            <w:tcBorders>
              <w:top w:val="single" w:color="000000" w:sz="8" w:space="0"/>
              <w:bottom w:val="single" w:color="000000" w:sz="8" w:space="0"/>
            </w:tcBorders>
          </w:tcPr>
          <w:p w14:paraId="2BDF1DDB">
            <w:pPr>
              <w:widowControl/>
              <w:tabs>
                <w:tab w:val="center" w:pos="4201"/>
                <w:tab w:val="right" w:leader="dot" w:pos="9298"/>
              </w:tabs>
              <w:autoSpaceDE w:val="0"/>
              <w:autoSpaceDN w:val="0"/>
              <w:jc w:val="center"/>
            </w:pPr>
            <m:oMathPara>
              <m:oMath>
                <m:r>
                  <m:rPr/>
                  <w:rPr>
                    <w:rFonts w:ascii="Cambria Math" w:hAnsi="Cambria Math"/>
                    <w:kern w:val="0"/>
                    <w:sz w:val="20"/>
                    <w:szCs w:val="18"/>
                  </w:rPr>
                  <m:t>tCO</m:t>
                </m:r>
                <m:r>
                  <m:rPr/>
                  <w:rPr>
                    <w:rFonts w:ascii="Cambria Math" w:hAnsi="Cambria Math"/>
                    <w:kern w:val="0"/>
                    <w:sz w:val="20"/>
                    <w:szCs w:val="18"/>
                    <w:vertAlign w:val="subscript"/>
                  </w:rPr>
                  <m:t>2</m:t>
                </m:r>
                <m:r>
                  <m:rPr/>
                  <w:rPr>
                    <w:rFonts w:ascii="Cambria Math" w:hAnsi="Cambria Math"/>
                    <w:kern w:val="0"/>
                    <w:sz w:val="20"/>
                    <w:szCs w:val="18"/>
                  </w:rPr>
                  <m:t>/M</m:t>
                </m:r>
                <m:r>
                  <m:rPr/>
                  <w:rPr>
                    <w:rFonts w:ascii="Cambria Math" w:hAnsi="Cambria Math"/>
                    <w:sz w:val="20"/>
                    <w:szCs w:val="18"/>
                    <w:lang w:val="en-AU"/>
                  </w:rPr>
                  <m:t>W</m:t>
                </m:r>
                <m:r>
                  <m:rPr/>
                  <w:rPr>
                    <w:rFonts w:ascii="Cambria Math" w:hAnsi="Cambria Math" w:cs="Cambria Math"/>
                    <w:sz w:val="20"/>
                    <w:szCs w:val="18"/>
                    <w:lang w:val="en-AU"/>
                  </w:rPr>
                  <m:t>ℎ</m:t>
                </m:r>
              </m:oMath>
            </m:oMathPara>
          </w:p>
        </w:tc>
      </w:tr>
      <w:tr w14:paraId="4FF74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4"/>
            <w:tcBorders>
              <w:top w:val="single" w:color="000000" w:sz="8" w:space="0"/>
              <w:left w:val="single" w:color="000000" w:sz="8" w:space="0"/>
            </w:tcBorders>
          </w:tcPr>
          <w:p w14:paraId="5A9D078D">
            <w:pPr>
              <w:widowControl/>
              <w:tabs>
                <w:tab w:val="center" w:pos="4201"/>
                <w:tab w:val="right" w:leader="dot" w:pos="9298"/>
              </w:tabs>
              <w:autoSpaceDE w:val="0"/>
              <w:autoSpaceDN w:val="0"/>
              <w:jc w:val="left"/>
              <w:rPr>
                <w:rFonts w:ascii="宋体"/>
                <w:kern w:val="0"/>
                <w:szCs w:val="18"/>
              </w:rPr>
            </w:pPr>
            <w:r>
              <w:rPr>
                <w:rFonts w:hint="eastAsia" w:ascii="宋体"/>
                <w:kern w:val="0"/>
                <w:szCs w:val="18"/>
              </w:rPr>
              <w:t>注1：电力排放因子推荐值采用生态环境部公布的《企业温室气体排放核算方法与报告指南发电设施（2022年修订版）》中全国电网排放因子。</w:t>
            </w:r>
          </w:p>
          <w:p w14:paraId="016ADFC7">
            <w:pPr>
              <w:widowControl/>
              <w:tabs>
                <w:tab w:val="center" w:pos="4201"/>
                <w:tab w:val="right" w:leader="dot" w:pos="9298"/>
              </w:tabs>
              <w:autoSpaceDE w:val="0"/>
              <w:autoSpaceDN w:val="0"/>
              <w:jc w:val="left"/>
              <w:rPr>
                <w:rFonts w:ascii="宋体"/>
                <w:kern w:val="0"/>
                <w:szCs w:val="18"/>
                <w:lang w:val="en-AU"/>
              </w:rPr>
            </w:pPr>
            <w:r>
              <w:rPr>
                <w:rFonts w:hint="eastAsia" w:ascii="宋体"/>
                <w:kern w:val="0"/>
                <w:szCs w:val="18"/>
              </w:rPr>
              <w:t>注2</w:t>
            </w:r>
            <w:r>
              <w:rPr>
                <w:rFonts w:ascii="宋体"/>
                <w:kern w:val="0"/>
                <w:szCs w:val="18"/>
              </w:rPr>
              <w:t>:</w:t>
            </w:r>
            <w:r>
              <w:rPr>
                <w:rFonts w:hint="eastAsia" w:ascii="宋体"/>
                <w:kern w:val="0"/>
                <w:szCs w:val="18"/>
              </w:rPr>
              <w:t>汽油、天然气、柴油碳排放因子推荐值来源于《</w:t>
            </w:r>
            <w:r>
              <w:rPr>
                <w:rFonts w:hint="eastAsia" w:ascii="宋体"/>
                <w:kern w:val="0"/>
                <w:szCs w:val="18"/>
                <w:lang w:val="en-AU"/>
              </w:rPr>
              <w:t>IPCC2006年国家温室气体清单指南》。</w:t>
            </w:r>
          </w:p>
        </w:tc>
      </w:tr>
    </w:tbl>
    <w:p w14:paraId="4906DFD3">
      <w:pPr>
        <w:pStyle w:val="56"/>
        <w:ind w:firstLine="420"/>
        <w:sectPr>
          <w:pgSz w:w="11906" w:h="16838"/>
          <w:pgMar w:top="1928" w:right="1134" w:bottom="1134" w:left="1134" w:header="1418" w:footer="1134" w:gutter="284"/>
          <w:cols w:space="425" w:num="1"/>
          <w:formProt w:val="0"/>
          <w:docGrid w:type="lines" w:linePitch="312" w:charSpace="0"/>
        </w:sectPr>
      </w:pPr>
    </w:p>
    <w:p w14:paraId="6FA2451D">
      <w:pPr>
        <w:pStyle w:val="198"/>
        <w:rPr>
          <w:vanish w:val="0"/>
        </w:rPr>
      </w:pPr>
    </w:p>
    <w:p w14:paraId="0CEDB456">
      <w:pPr>
        <w:pStyle w:val="199"/>
        <w:rPr>
          <w:vanish w:val="0"/>
        </w:rPr>
      </w:pPr>
    </w:p>
    <w:p w14:paraId="5689E62E">
      <w:pPr>
        <w:pStyle w:val="76"/>
        <w:spacing w:after="156"/>
      </w:pPr>
      <w:r>
        <w:br w:type="textWrapping"/>
      </w:r>
      <w:bookmarkStart w:id="101" w:name="_Toc131518029"/>
      <w:r>
        <w:rPr>
          <w:rFonts w:hint="eastAsia"/>
        </w:rPr>
        <w:t>（资料性）</w:t>
      </w:r>
      <w:r>
        <w:br w:type="textWrapping"/>
      </w:r>
      <w:r>
        <w:rPr>
          <w:rFonts w:hint="eastAsia"/>
        </w:rPr>
        <w:t>双次和单次刷卡方式对应出行里程的监测方法</w:t>
      </w:r>
      <w:bookmarkEnd w:id="101"/>
    </w:p>
    <w:p w14:paraId="0599C808">
      <w:pPr>
        <w:pStyle w:val="229"/>
      </w:pPr>
      <w:r>
        <w:rPr>
          <w:rFonts w:hint="eastAsia"/>
        </w:rPr>
        <w:t>鉴于城市中乘坐公共汽电车存在单次刷卡和双次刷卡两种刷卡方式，在识别出行方式和计算出行里程时应区分处理。</w:t>
      </w:r>
    </w:p>
    <w:p w14:paraId="503AECD3">
      <w:pPr>
        <w:pStyle w:val="78"/>
        <w:spacing w:before="156" w:after="156"/>
      </w:pPr>
      <w:bookmarkStart w:id="102" w:name="_Toc130559577"/>
      <w:bookmarkStart w:id="103" w:name="_Toc131518030"/>
      <w:bookmarkStart w:id="104" w:name="_Toc130559709"/>
      <w:r>
        <w:rPr>
          <w:rFonts w:hint="eastAsia"/>
        </w:rPr>
        <w:t>双次刷卡方式所对应出行里程的监测方法</w:t>
      </w:r>
      <w:bookmarkEnd w:id="102"/>
      <w:bookmarkEnd w:id="103"/>
      <w:bookmarkEnd w:id="104"/>
    </w:p>
    <w:p w14:paraId="45EAD84B">
      <w:pPr>
        <w:pStyle w:val="229"/>
      </w:pPr>
      <w:r>
        <w:rPr>
          <w:rFonts w:hint="eastAsia"/>
        </w:rPr>
        <w:t>在公共汽电车的刷卡方式为双次刷卡方式时，应根据票务数据信息中监测到的单次上车时间、下车时间、公共汽电车GPS行驶轨迹信息，利用相关里程计算方法进行里程计算。</w:t>
      </w:r>
    </w:p>
    <w:p w14:paraId="61701375">
      <w:pPr>
        <w:pStyle w:val="78"/>
        <w:spacing w:before="156" w:after="156"/>
      </w:pPr>
      <w:bookmarkStart w:id="105" w:name="_Toc130559578"/>
      <w:bookmarkStart w:id="106" w:name="_Toc130559710"/>
      <w:bookmarkStart w:id="107" w:name="_Toc131518031"/>
      <w:r>
        <w:rPr>
          <w:rFonts w:hint="eastAsia"/>
        </w:rPr>
        <w:t>单次刷卡方式所对应出行里程的监测方法</w:t>
      </w:r>
      <w:bookmarkEnd w:id="105"/>
      <w:bookmarkEnd w:id="106"/>
      <w:bookmarkEnd w:id="107"/>
    </w:p>
    <w:p w14:paraId="3EA31601">
      <w:pPr>
        <w:pStyle w:val="229"/>
      </w:pPr>
      <w:r>
        <w:rPr>
          <w:rFonts w:hint="eastAsia"/>
        </w:rPr>
        <w:t>在公共汽电车的刷卡方式为单次刷卡方式时，票务数据信息仅包含上车时间和上车的GPS轨迹信息，因此考虑优先采用公共汽电车的年平均行驶距离作为公共汽电车出行的里程。在无法获得年平均行驶距离时，则默认个人单次出行乘坐公共汽电车的下车位置为公交终点站。即乘坐公共汽电车出行的里程默认为个人单次乘坐公共汽电车出行上车位置到终点站的距离。</w:t>
      </w:r>
    </w:p>
    <w:p w14:paraId="0BD7A47D">
      <w:pPr>
        <w:pStyle w:val="229"/>
      </w:pPr>
      <w:r>
        <w:rPr>
          <w:rFonts w:hint="eastAsia"/>
        </w:rPr>
        <w:t>数据来源优先考虑行业主管部门或相关权威机构正式发布的年度报告。</w:t>
      </w:r>
    </w:p>
    <w:p w14:paraId="7B7E9CD1">
      <w:pPr>
        <w:pStyle w:val="229"/>
        <w:tabs>
          <w:tab w:val="left" w:pos="4201"/>
          <w:tab w:val="clear" w:pos="9298"/>
        </w:tabs>
      </w:pPr>
      <w:r>
        <w:tab/>
      </w:r>
    </w:p>
    <w:p w14:paraId="77C918FB">
      <w:pPr>
        <w:pStyle w:val="56"/>
        <w:ind w:firstLine="420"/>
      </w:pPr>
    </w:p>
    <w:p w14:paraId="643DDE96">
      <w:pPr>
        <w:pStyle w:val="56"/>
        <w:ind w:firstLine="420"/>
      </w:pPr>
    </w:p>
    <w:p w14:paraId="7FFCC906">
      <w:pPr>
        <w:pStyle w:val="56"/>
        <w:ind w:firstLine="420"/>
      </w:pPr>
    </w:p>
    <w:p w14:paraId="4D8EF1EE">
      <w:pPr>
        <w:pStyle w:val="56"/>
        <w:ind w:firstLine="420"/>
      </w:pPr>
    </w:p>
    <w:p w14:paraId="531010B2">
      <w:pPr>
        <w:pStyle w:val="56"/>
        <w:ind w:firstLine="420"/>
        <w:sectPr>
          <w:pgSz w:w="11906" w:h="16838"/>
          <w:pgMar w:top="1928" w:right="1134" w:bottom="1134" w:left="1134" w:header="1418" w:footer="1134" w:gutter="284"/>
          <w:cols w:space="425" w:num="1"/>
          <w:formProt w:val="0"/>
          <w:docGrid w:type="lines" w:linePitch="312" w:charSpace="0"/>
        </w:sectPr>
      </w:pPr>
    </w:p>
    <w:p w14:paraId="7364FC72">
      <w:pPr>
        <w:pStyle w:val="198"/>
        <w:rPr>
          <w:vanish w:val="0"/>
        </w:rPr>
      </w:pPr>
    </w:p>
    <w:p w14:paraId="4A8D3AE4">
      <w:pPr>
        <w:pStyle w:val="199"/>
        <w:rPr>
          <w:vanish w:val="0"/>
        </w:rPr>
      </w:pPr>
    </w:p>
    <w:p w14:paraId="0846037A">
      <w:pPr>
        <w:pStyle w:val="76"/>
        <w:spacing w:after="156"/>
      </w:pPr>
      <w:r>
        <w:br w:type="textWrapping"/>
      </w:r>
      <w:bookmarkStart w:id="108" w:name="_Toc131518032"/>
      <w:r>
        <w:rPr>
          <w:rFonts w:hint="eastAsia"/>
        </w:rPr>
        <w:t>（资料性）</w:t>
      </w:r>
      <w:r>
        <w:br w:type="textWrapping"/>
      </w:r>
      <w:r>
        <w:rPr>
          <w:rFonts w:hint="eastAsia"/>
        </w:rPr>
        <w:t>自愿停驶的人公里排放因子和出行里程的监测方法</w:t>
      </w:r>
      <w:bookmarkEnd w:id="108"/>
    </w:p>
    <w:p w14:paraId="3DC40CAB">
      <w:pPr>
        <w:pStyle w:val="78"/>
        <w:spacing w:before="156" w:after="156"/>
      </w:pPr>
      <w:bookmarkStart w:id="109" w:name="_Toc130559580"/>
      <w:bookmarkStart w:id="110" w:name="_Toc130559712"/>
      <w:bookmarkStart w:id="111" w:name="_Toc131518033"/>
      <w:r>
        <w:rPr>
          <w:rFonts w:hint="eastAsia"/>
        </w:rPr>
        <w:t>自愿停驶的人公里排放因子</w:t>
      </w:r>
      <w:bookmarkEnd w:id="109"/>
      <w:bookmarkEnd w:id="110"/>
      <w:bookmarkEnd w:id="111"/>
    </w:p>
    <w:p w14:paraId="30990B80">
      <w:pPr>
        <w:pStyle w:val="211"/>
        <w:numPr>
          <w:ilvl w:val="0"/>
          <w:numId w:val="0"/>
        </w:numPr>
        <w:ind w:firstLine="420" w:firstLineChars="200"/>
      </w:pPr>
      <w:r>
        <w:rPr>
          <w:rFonts w:hint="eastAsia"/>
        </w:rPr>
        <w:t xml:space="preserve">自愿停驶后的情景，即存在其他绿色出行行为的情景。 </w:t>
      </w:r>
    </w:p>
    <w:p w14:paraId="6ECE79DE">
      <w:pPr>
        <w:pStyle w:val="56"/>
        <w:ind w:firstLine="420"/>
      </w:pPr>
      <w:r>
        <w:rPr>
          <w:rFonts w:hint="eastAsia"/>
        </w:rPr>
        <w:t>情景：自愿停驶后，存在其他绿色出行行为。</w:t>
      </w:r>
    </w:p>
    <w:p w14:paraId="6FF1233E">
      <w:pPr>
        <w:pStyle w:val="211"/>
        <w:numPr>
          <w:ilvl w:val="0"/>
          <w:numId w:val="0"/>
        </w:numPr>
        <w:ind w:firstLine="420" w:firstLineChars="200"/>
      </w:pPr>
      <w:r>
        <w:rPr>
          <w:rFonts w:hint="eastAsia"/>
        </w:rPr>
        <w:t>针对该情景，可采用基础年的抽样调查统计方法，对基础年个人乘坐公共汽电车、城市轨道交通、骑行、步行和合乘燃油/新能源小客车等绿色出行方式的年出行总量和人均单次出行距离进行统计分析，计算各类绿色出行方式在五种绿色出行方式的权重系数。因此，通过对其他绿色出行方式的人公里排放因子和出行权重系数的加权平均计算获得自愿停驶后的人公里排放因子。</w:t>
      </w:r>
    </w:p>
    <w:p w14:paraId="79FE7CA8">
      <w:pPr>
        <w:pStyle w:val="211"/>
        <w:numPr>
          <w:ilvl w:val="0"/>
          <w:numId w:val="0"/>
        </w:numPr>
        <w:ind w:firstLine="420" w:firstLineChars="200"/>
      </w:pPr>
      <w:r>
        <w:rPr>
          <w:rFonts w:hint="eastAsia"/>
        </w:rPr>
        <w:t>数据来源应为政府交通运输部门发布的正式报告或正式数据、权威的环保、交通研究机构的年度报告或项目参与方测量值，国内外参考文献等。</w:t>
      </w:r>
    </w:p>
    <w:p w14:paraId="2BEB0B3D">
      <w:pPr>
        <w:pStyle w:val="78"/>
        <w:spacing w:before="156" w:after="156"/>
      </w:pPr>
      <w:bookmarkStart w:id="112" w:name="_Toc130559713"/>
      <w:bookmarkStart w:id="113" w:name="_Toc131518034"/>
      <w:bookmarkStart w:id="114" w:name="_Toc130559581"/>
      <w:r>
        <w:rPr>
          <w:rFonts w:hint="eastAsia"/>
        </w:rPr>
        <w:t>自愿停驶的出行里程监测方法</w:t>
      </w:r>
      <w:bookmarkEnd w:id="112"/>
      <w:bookmarkEnd w:id="113"/>
      <w:bookmarkEnd w:id="114"/>
    </w:p>
    <w:p w14:paraId="46ABCC4A">
      <w:pPr>
        <w:pStyle w:val="56"/>
        <w:ind w:firstLine="420"/>
      </w:pPr>
      <w:r>
        <w:rPr>
          <w:rFonts w:hint="eastAsia"/>
        </w:rPr>
        <w:t>情景：自愿停驶后，存在其他绿色出行行为。</w:t>
      </w:r>
    </w:p>
    <w:p w14:paraId="75F2269E">
      <w:pPr>
        <w:pStyle w:val="211"/>
        <w:numPr>
          <w:ilvl w:val="0"/>
          <w:numId w:val="0"/>
        </w:numPr>
        <w:ind w:firstLine="420" w:firstLineChars="200"/>
      </w:pPr>
      <w:r>
        <w:rPr>
          <w:rFonts w:hint="eastAsia"/>
        </w:rPr>
        <w:t>针对该情景，通过调查统计的方法，对基础年乘坐公共汽电车、城市轨道交通、步行、骑行和合乘燃油/新能源小客车五大绿色出行方式的年出行总量和人均单次出行距离进行统计分析，计算各类绿色出行方式的年出行总量在五种绿色出行方式的权重系数。因此，通过加权平均计算获得自愿停驶后的出行里程。</w:t>
      </w:r>
    </w:p>
    <w:p w14:paraId="4A64436E">
      <w:pPr>
        <w:pStyle w:val="211"/>
        <w:numPr>
          <w:ilvl w:val="0"/>
          <w:numId w:val="0"/>
        </w:numPr>
        <w:ind w:firstLine="420" w:firstLineChars="200"/>
      </w:pPr>
    </w:p>
    <w:p w14:paraId="452C442C">
      <w:pPr>
        <w:pStyle w:val="56"/>
        <w:ind w:firstLine="420"/>
      </w:pPr>
    </w:p>
    <w:p w14:paraId="1DA1B129">
      <w:pPr>
        <w:pStyle w:val="56"/>
        <w:ind w:firstLine="420"/>
      </w:pPr>
    </w:p>
    <w:p w14:paraId="45BF4230">
      <w:pPr>
        <w:pStyle w:val="56"/>
        <w:ind w:firstLine="420"/>
      </w:pPr>
    </w:p>
    <w:p w14:paraId="7E2B9098">
      <w:pPr>
        <w:pStyle w:val="56"/>
        <w:ind w:firstLine="420"/>
      </w:pPr>
    </w:p>
    <w:p w14:paraId="7DEA61DE">
      <w:pPr>
        <w:pStyle w:val="56"/>
        <w:ind w:firstLine="420"/>
      </w:pPr>
    </w:p>
    <w:bookmarkEnd w:id="96"/>
    <w:p w14:paraId="65ECCB9E">
      <w:pPr>
        <w:pStyle w:val="56"/>
        <w:ind w:firstLine="0" w:firstLineChars="0"/>
        <w:jc w:val="center"/>
      </w:pPr>
      <w:bookmarkStart w:id="115" w:name="BookMark8"/>
      <w:r>
        <w:drawing>
          <wp:inline distT="0" distB="0" distL="0" distR="0">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A3BC">
    <w:pPr>
      <w:pStyle w:val="17"/>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459CC">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B7D6">
    <w:pPr>
      <w:pStyle w:val="52"/>
    </w:pPr>
    <w:r>
      <w:fldChar w:fldCharType="begin"/>
    </w:r>
    <w:r>
      <w:instrText xml:space="preserve">PAGE   \* MERGEFORMAT</w:instrText>
    </w:r>
    <w:r>
      <w:fldChar w:fldCharType="separate"/>
    </w:r>
    <w:r>
      <w:rPr>
        <w:lang w:val="zh-CN"/>
      </w:rPr>
      <w:t>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C988">
    <w:pPr>
      <w:pStyle w:val="52"/>
    </w:pPr>
    <w:r>
      <mc:AlternateContent>
        <mc:Choice Requires="wps">
          <w:drawing>
            <wp:anchor distT="0" distB="0" distL="114300" distR="114300" simplePos="0" relativeHeight="251664384" behindDoc="0" locked="0" layoutInCell="1" allowOverlap="1">
              <wp:simplePos x="0" y="0"/>
              <wp:positionH relativeFrom="page">
                <wp:posOffset>719455</wp:posOffset>
              </wp:positionH>
              <wp:positionV relativeFrom="page">
                <wp:posOffset>6539230</wp:posOffset>
              </wp:positionV>
              <wp:extent cx="1828800" cy="1828800"/>
              <wp:effectExtent l="0" t="0" r="0" b="508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E219DA9">
                          <w:pPr>
                            <w:pStyle w:val="52"/>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514.9pt;height:144pt;width:144pt;mso-position-horizontal-relative:page;mso-position-vertical-relative:page;mso-wrap-style:none;z-index:251664384;v-text-anchor:bottom;mso-width-relative:page;mso-height-relative:page;" filled="f" stroked="f" coordsize="21600,21600" o:gfxdata="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ursa2QAAAA0BAAAPAAAAAAAAAAEAIAAAACIAAABkcnMvZG93&#10;bnJldi54bWxQSwECFAAUAAAACACHTuJA1dZ7TjgCAABpBAAADgAAAAAAAAABACAAAAAoAQAAZHJz&#10;L2Uyb0RvYy54bWxQSwUGAAAAAAYABgBZAQAA0gUAAAAA&#10;">
              <v:fill on="f" focussize="0,0"/>
              <v:stroke on="f" weight="0.5pt"/>
              <v:imagedata o:title=""/>
              <o:lock v:ext="edit" aspectratio="f"/>
              <v:textbox style="layout-flow:vertical-ideographic;mso-fit-shape-to-text:t;">
                <w:txbxContent>
                  <w:p w14:paraId="6E219DA9">
                    <w:pPr>
                      <w:pStyle w:val="52"/>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B7B3">
    <w:pPr>
      <w:pStyle w:val="17"/>
    </w:pPr>
    <w:r>
      <mc:AlternateContent>
        <mc:Choice Requires="wps">
          <w:drawing>
            <wp:anchor distT="0" distB="0" distL="114300" distR="114300" simplePos="0" relativeHeight="251666432"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7414F3">
                          <w:pPr>
                            <w:pStyle w:val="17"/>
                          </w:pPr>
                          <w:r>
                            <w:fldChar w:fldCharType="begin"/>
                          </w:r>
                          <w:r>
                            <w:instrText xml:space="preserve">PAGE   \* MERGEFORMAT</w:instrText>
                          </w:r>
                          <w:r>
                            <w:fldChar w:fldCharType="separate"/>
                          </w:r>
                          <w:r>
                            <w:rPr>
                              <w:lang w:val="zh-CN"/>
                            </w:rPr>
                            <w:t>12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6432;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gYhOXWAAAACwEAAA8AAAAAAAAAAQAgAAAAIgAAAGRycy9kb3ducmV2LnhtbFBLAQIU&#10;ABQAAAAIAIdO4kBLOrW6LgIAAFkEAAAOAAAAAAAAAAEAIAAAACUBAABkcnMvZTJvRG9jLnhtbFBL&#10;BQYAAAAABgAGAFkBAADFBQAAAAA=&#10;">
              <v:fill on="f" focussize="0,0"/>
              <v:stroke on="f" weight="0.5pt"/>
              <v:imagedata o:title=""/>
              <o:lock v:ext="edit" aspectratio="f"/>
              <v:textbox inset="0mm,0mm,0mm,0mm" style="layout-flow:vertical-ideographic;mso-fit-shape-to-text:t;">
                <w:txbxContent>
                  <w:p w14:paraId="387414F3">
                    <w:pPr>
                      <w:pStyle w:val="17"/>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0CB3">
    <w:pPr>
      <w:pStyle w:val="52"/>
    </w:pPr>
    <w:r>
      <w:fldChar w:fldCharType="begin"/>
    </w:r>
    <w:r>
      <w:instrText xml:space="preserve">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51B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98A4">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D2B1">
    <w:pPr>
      <w:pStyle w:val="61"/>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F3C24">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EC87">
    <w:pPr>
      <w:pStyle w:val="61"/>
      <w:spacing w:after="0"/>
    </w:pPr>
    <w:r>
      <mc:AlternateContent>
        <mc:Choice Requires="wps">
          <w:drawing>
            <wp:anchor distT="0" distB="0" distL="114300" distR="114300" simplePos="0" relativeHeight="251663360" behindDoc="0" locked="0" layoutInCell="1" allowOverlap="1">
              <wp:simplePos x="0" y="0"/>
              <wp:positionH relativeFrom="page">
                <wp:posOffset>9539605</wp:posOffset>
              </wp:positionH>
              <wp:positionV relativeFrom="page">
                <wp:posOffset>5694680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2C5D8B">
                          <w:pPr>
                            <w:pStyle w:val="61"/>
                          </w:pPr>
                          <w:r>
                            <w:fldChar w:fldCharType="begin"/>
                          </w:r>
                          <w:r>
                            <w:instrText xml:space="preserve"> STYLEREF  标准文件_文件编号  \* MERGEFORMAT </w:instrText>
                          </w:r>
                          <w:r>
                            <w:fldChar w:fldCharType="separate"/>
                          </w:r>
                          <w:r>
                            <w:t>GB/T XXXXX—XXXX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751.15pt;margin-top:448.4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28QdwAAAAOAQAADwAAAAAAAAABACAAAAAiAAAAZHJz&#10;L2Rvd25yZXYueG1sUEsBAhQAFAAAAAgAh07iQLVMPpg5AgAAZwQAAA4AAAAAAAAAAQAgAAAAKwEA&#10;AGRycy9lMm9Eb2MueG1sUEsFBgAAAAAGAAYAWQEAANYFAAAAAA==&#10;">
              <v:fill on="f" focussize="0,0"/>
              <v:stroke on="f" weight="0.5pt"/>
              <v:imagedata o:title=""/>
              <o:lock v:ext="edit" aspectratio="f"/>
              <v:textbox style="layout-flow:vertical-ideographic;mso-fit-shape-to-text:t;">
                <w:txbxContent>
                  <w:p w14:paraId="352C5D8B">
                    <w:pPr>
                      <w:pStyle w:val="61"/>
                    </w:pPr>
                    <w:r>
                      <w:fldChar w:fldCharType="begin"/>
                    </w:r>
                    <w:r>
                      <w:instrText xml:space="preserve"> STYLEREF  标准文件_文件编号  \* MERGEFORMAT </w:instrText>
                    </w:r>
                    <w:r>
                      <w:fldChar w:fldCharType="separate"/>
                    </w:r>
                    <w:r>
                      <w:t>GB/T XXXXX—XXXX</w:t>
                    </w:r>
                    <w: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7C62">
    <w:pPr>
      <w:pStyle w:val="62"/>
    </w:pPr>
    <w:r>
      <mc:AlternateContent>
        <mc:Choice Requires="wps">
          <w:drawing>
            <wp:anchor distT="0" distB="0" distL="114300" distR="114300" simplePos="0" relativeHeight="251665408"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7E9EBC">
                          <w:pPr>
                            <w:pStyle w:val="62"/>
                          </w:pPr>
                          <w:r>
                            <w:fldChar w:fldCharType="begin"/>
                          </w:r>
                          <w:r>
                            <w:instrText xml:space="preserve"> STYLEREF  标准文件_文件编号 \* MERGEFORMAT </w:instrText>
                          </w:r>
                          <w:r>
                            <w:fldChar w:fldCharType="separate"/>
                          </w:r>
                          <w:r>
                            <w:t>GB/T XXXXX—XXXX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5408;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IuxzZAAAADQEAAA8AAAAAAAAAAQAgAAAAIgAAAGRycy9kb3ducmV2LnhtbFBL&#10;AQIUABQAAAAIAIdO4kDq5mAJLgIAAFkEAAAOAAAAAAAAAAEAIAAAACgBAABkcnMvZTJvRG9jLnht&#10;bFBLBQYAAAAABgAGAFkBAADIBQAAAAA=&#10;">
              <v:fill on="f" focussize="0,0"/>
              <v:stroke on="f" weight="0.5pt"/>
              <v:imagedata o:title=""/>
              <o:lock v:ext="edit" aspectratio="f"/>
              <v:textbox inset="0mm,0mm,0mm,0mm" style="layout-flow:vertical-ideographic;mso-fit-shape-to-text:t;">
                <w:txbxContent>
                  <w:p w14:paraId="6F7E9EBC">
                    <w:pPr>
                      <w:pStyle w:val="62"/>
                    </w:pPr>
                    <w:r>
                      <w:fldChar w:fldCharType="begin"/>
                    </w:r>
                    <w:r>
                      <w:instrText xml:space="preserve"> STYLEREF  标准文件_文件编号 \* MERGEFORMAT </w:instrText>
                    </w:r>
                    <w:r>
                      <w:fldChar w:fldCharType="separate"/>
                    </w:r>
                    <w:r>
                      <w:t>GB/T XXXXX—XXXX</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374E4">
    <w:pPr>
      <w:pStyle w:val="61"/>
      <w:spacing w:after="0"/>
    </w:pPr>
    <w:r>
      <w:fldChar w:fldCharType="begin"/>
    </w:r>
    <w:r>
      <w:instrText xml:space="preserve"> STYLEREF  标准文件_文件编号  \* MERGEFORMAT </w:instrText>
    </w:r>
    <w:r>
      <w:fldChar w:fldCharType="separate"/>
    </w:r>
    <w:r>
      <w:t>GB/T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C91B">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C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3CB3"/>
    <w:rsid w:val="00044286"/>
    <w:rsid w:val="00047F28"/>
    <w:rsid w:val="000503AA"/>
    <w:rsid w:val="000506A1"/>
    <w:rsid w:val="000515DD"/>
    <w:rsid w:val="0005265A"/>
    <w:rsid w:val="000539DD"/>
    <w:rsid w:val="00053BD3"/>
    <w:rsid w:val="00054F27"/>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6C2"/>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35F9D"/>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0EC"/>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049"/>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484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122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2A3"/>
    <w:rsid w:val="003D262C"/>
    <w:rsid w:val="003D6D61"/>
    <w:rsid w:val="003E091D"/>
    <w:rsid w:val="003E15A9"/>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2525D"/>
    <w:rsid w:val="0042641F"/>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2E4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89F"/>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5F3ED0"/>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1429"/>
    <w:rsid w:val="006640E5"/>
    <w:rsid w:val="006646F1"/>
    <w:rsid w:val="00664929"/>
    <w:rsid w:val="00664F62"/>
    <w:rsid w:val="00665018"/>
    <w:rsid w:val="006655E1"/>
    <w:rsid w:val="006717CA"/>
    <w:rsid w:val="00672060"/>
    <w:rsid w:val="00672BFD"/>
    <w:rsid w:val="006770F4"/>
    <w:rsid w:val="00677A84"/>
    <w:rsid w:val="0068026D"/>
    <w:rsid w:val="00680A27"/>
    <w:rsid w:val="006816A4"/>
    <w:rsid w:val="006819B8"/>
    <w:rsid w:val="006840A6"/>
    <w:rsid w:val="006842C3"/>
    <w:rsid w:val="006850CD"/>
    <w:rsid w:val="00685AAB"/>
    <w:rsid w:val="00685F4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8C3"/>
    <w:rsid w:val="006E5DEE"/>
    <w:rsid w:val="006F03A8"/>
    <w:rsid w:val="006F0ED7"/>
    <w:rsid w:val="006F2ACA"/>
    <w:rsid w:val="006F2ADC"/>
    <w:rsid w:val="006F2BFE"/>
    <w:rsid w:val="006F31E9"/>
    <w:rsid w:val="006F6284"/>
    <w:rsid w:val="007002C5"/>
    <w:rsid w:val="00704387"/>
    <w:rsid w:val="00707669"/>
    <w:rsid w:val="00707E82"/>
    <w:rsid w:val="00711CBA"/>
    <w:rsid w:val="00711FB5"/>
    <w:rsid w:val="00712759"/>
    <w:rsid w:val="00712A01"/>
    <w:rsid w:val="00714F58"/>
    <w:rsid w:val="007224E1"/>
    <w:rsid w:val="00722FBF"/>
    <w:rsid w:val="00722FC2"/>
    <w:rsid w:val="00725949"/>
    <w:rsid w:val="00727FA2"/>
    <w:rsid w:val="007322D9"/>
    <w:rsid w:val="00732BC0"/>
    <w:rsid w:val="0073720F"/>
    <w:rsid w:val="00737778"/>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86150"/>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6CD"/>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76137"/>
    <w:rsid w:val="008810FD"/>
    <w:rsid w:val="00883F93"/>
    <w:rsid w:val="00884DB3"/>
    <w:rsid w:val="00885A9D"/>
    <w:rsid w:val="008864D6"/>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44E"/>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579DE"/>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A75DA"/>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2743"/>
    <w:rsid w:val="00A648CD"/>
    <w:rsid w:val="00A6537A"/>
    <w:rsid w:val="00A67866"/>
    <w:rsid w:val="00A70B07"/>
    <w:rsid w:val="00A723F8"/>
    <w:rsid w:val="00A77CCB"/>
    <w:rsid w:val="00A81A2C"/>
    <w:rsid w:val="00A83D8D"/>
    <w:rsid w:val="00A8446B"/>
    <w:rsid w:val="00A8473F"/>
    <w:rsid w:val="00A862D6"/>
    <w:rsid w:val="00A8715E"/>
    <w:rsid w:val="00A9295B"/>
    <w:rsid w:val="00A93B09"/>
    <w:rsid w:val="00A952D7"/>
    <w:rsid w:val="00A95595"/>
    <w:rsid w:val="00A963F7"/>
    <w:rsid w:val="00A96AD8"/>
    <w:rsid w:val="00AA052C"/>
    <w:rsid w:val="00AA1DFE"/>
    <w:rsid w:val="00AA1E45"/>
    <w:rsid w:val="00AA2A24"/>
    <w:rsid w:val="00AA4286"/>
    <w:rsid w:val="00AA456B"/>
    <w:rsid w:val="00AA57F5"/>
    <w:rsid w:val="00AA672E"/>
    <w:rsid w:val="00AA6BEB"/>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35E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87AF4"/>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07C77"/>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780"/>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51C"/>
    <w:rsid w:val="00CD4A20"/>
    <w:rsid w:val="00CD50A1"/>
    <w:rsid w:val="00CD519E"/>
    <w:rsid w:val="00CE0C4F"/>
    <w:rsid w:val="00CE30EA"/>
    <w:rsid w:val="00CF048A"/>
    <w:rsid w:val="00CF155A"/>
    <w:rsid w:val="00CF20D9"/>
    <w:rsid w:val="00CF2947"/>
    <w:rsid w:val="00CF44B1"/>
    <w:rsid w:val="00CF686F"/>
    <w:rsid w:val="00CF6E60"/>
    <w:rsid w:val="00CF7BCA"/>
    <w:rsid w:val="00D008FD"/>
    <w:rsid w:val="00D0321C"/>
    <w:rsid w:val="00D035EC"/>
    <w:rsid w:val="00D063E0"/>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17DE"/>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31C3"/>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66D1B"/>
    <w:rsid w:val="00E70388"/>
    <w:rsid w:val="00E70F92"/>
    <w:rsid w:val="00E74C54"/>
    <w:rsid w:val="00E77A03"/>
    <w:rsid w:val="00E822E8"/>
    <w:rsid w:val="00E82554"/>
    <w:rsid w:val="00E82606"/>
    <w:rsid w:val="00E846C8"/>
    <w:rsid w:val="00E84957"/>
    <w:rsid w:val="00E84A55"/>
    <w:rsid w:val="00E854E7"/>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17AD"/>
    <w:rsid w:val="00F56511"/>
    <w:rsid w:val="00F6194E"/>
    <w:rsid w:val="00F623AC"/>
    <w:rsid w:val="00F625AE"/>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30D"/>
    <w:rsid w:val="00FE3901"/>
    <w:rsid w:val="00FE4BCE"/>
    <w:rsid w:val="00FE54AE"/>
    <w:rsid w:val="00FE576A"/>
    <w:rsid w:val="00FE61CF"/>
    <w:rsid w:val="00FE7E79"/>
    <w:rsid w:val="00FF3E7D"/>
    <w:rsid w:val="00FF5B99"/>
    <w:rsid w:val="00FF730C"/>
    <w:rsid w:val="00FF73F4"/>
    <w:rsid w:val="00FF7CE4"/>
    <w:rsid w:val="00FF7E39"/>
    <w:rsid w:val="010E2553"/>
    <w:rsid w:val="0471233B"/>
    <w:rsid w:val="37166263"/>
    <w:rsid w:val="519160E2"/>
    <w:rsid w:val="769A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段"/>
    <w:link w:val="2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0">
    <w:name w:val="段 Char"/>
    <w:link w:val="229"/>
    <w:qFormat/>
    <w:uiPriority w:val="0"/>
    <w:rPr>
      <w:rFonts w:ascii="宋体" w:hAnsi="Times New Roman"/>
      <w:sz w:val="21"/>
    </w:rPr>
  </w:style>
  <w:style w:type="table" w:customStyle="1" w:styleId="231">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png"/><Relationship Id="rId21" Type="http://schemas.openxmlformats.org/officeDocument/2006/relationships/image" Target="media/image2.tiff"/><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5CC64C6DEB48D7BFCA000915F1FB59"/>
        <w:style w:val=""/>
        <w:category>
          <w:name w:val="常规"/>
          <w:gallery w:val="placeholder"/>
        </w:category>
        <w:types>
          <w:type w:val="bbPlcHdr"/>
        </w:types>
        <w:behaviors>
          <w:behavior w:val="content"/>
        </w:behaviors>
        <w:description w:val=""/>
        <w:guid w:val="{BC69300B-811A-4C05-820E-4C5860327458}"/>
      </w:docPartPr>
      <w:docPartBody>
        <w:p w14:paraId="39E795F9">
          <w:pPr>
            <w:pStyle w:val="5"/>
          </w:pPr>
          <w:r>
            <w:rPr>
              <w:rStyle w:val="4"/>
              <w:rFonts w:hint="eastAsia"/>
            </w:rPr>
            <w:t>单击或点击此处输入文字。</w:t>
          </w:r>
        </w:p>
      </w:docPartBody>
    </w:docPart>
    <w:docPart>
      <w:docPartPr>
        <w:name w:val="6F6F18B982C14E128A98A8B439823B9E"/>
        <w:style w:val=""/>
        <w:category>
          <w:name w:val="常规"/>
          <w:gallery w:val="placeholder"/>
        </w:category>
        <w:types>
          <w:type w:val="bbPlcHdr"/>
        </w:types>
        <w:behaviors>
          <w:behavior w:val="content"/>
        </w:behaviors>
        <w:description w:val=""/>
        <w:guid w:val="{0EA39FB0-F83F-4F83-B536-2934A2D97C7B}"/>
      </w:docPartPr>
      <w:docPartBody>
        <w:p w14:paraId="22504EF4">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CB"/>
    <w:rsid w:val="00550484"/>
    <w:rsid w:val="006C1C02"/>
    <w:rsid w:val="006C3C05"/>
    <w:rsid w:val="007741D5"/>
    <w:rsid w:val="007C507B"/>
    <w:rsid w:val="008775B0"/>
    <w:rsid w:val="00877898"/>
    <w:rsid w:val="00A23950"/>
    <w:rsid w:val="00D92ACB"/>
    <w:rsid w:val="00E37B9D"/>
    <w:rsid w:val="00E87A7A"/>
    <w:rsid w:val="00EB4B07"/>
    <w:rsid w:val="00F3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E5CC64C6DEB48D7BFCA000915F1FB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F6F18B982C14E128A98A8B439823B9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6398D-31D5-4787-AA00-826CDBF74844}">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18</Pages>
  <Words>2683</Words>
  <Characters>2961</Characters>
  <Lines>98</Lines>
  <Paragraphs>27</Paragraphs>
  <TotalTime>11</TotalTime>
  <ScaleCrop>false</ScaleCrop>
  <LinksUpToDate>false</LinksUpToDate>
  <CharactersWithSpaces>3057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2023-04-07T08:10:00Z</dcterms:created>
  <dc:creator>1</dc:creator>
  <dc:description>&lt;config cover="true" show_menu="true" version="1.0.0" doctype="SDKXY"&gt;_x000d_
&lt;/config&gt;</dc:description>
  <cp:lastModifiedBy>zl</cp:lastModifiedBy>
  <cp:lastPrinted>2023-12-08T04:57:00Z</cp:lastPrinted>
  <dcterms:modified xsi:type="dcterms:W3CDTF">2025-05-21T06:48:23Z</dcterms:modified>
  <dc:title>国家标准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KSOTemplateDocerSaveRecord">
    <vt:lpwstr>eyJoZGlkIjoiODU0ODY2ZDc3MTczM2MwNDg4YzJiMmNkNDZjNjdlZjgiLCJ1c2VySWQiOiIyNzUxNjc3NjQifQ==</vt:lpwstr>
  </property>
  <property fmtid="{D5CDD505-2E9C-101B-9397-08002B2CF9AE}" pid="16" name="ICV">
    <vt:lpwstr>4D7CA88A1A3941A7BC57DE3824C294A1_13</vt:lpwstr>
  </property>
</Properties>
</file>